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b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sz w:val="32"/>
          <w:szCs w:val="32"/>
          <w:lang w:eastAsia="zh-CN"/>
        </w:rPr>
        <w:t>浙江日鑫自动化系统有限公司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b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sz w:val="32"/>
          <w:szCs w:val="32"/>
          <w:lang w:eastAsia="zh-CN"/>
        </w:rPr>
        <w:t>浙江日鑫自动化年产1000套环保设备项目</w:t>
      </w:r>
    </w:p>
    <w:p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验收意见</w:t>
      </w:r>
    </w:p>
    <w:p>
      <w:pPr>
        <w:spacing w:line="360" w:lineRule="auto"/>
        <w:ind w:firstLine="480" w:firstLineChars="20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2023年</w:t>
      </w:r>
      <w:r>
        <w:rPr>
          <w:rFonts w:hint="eastAsia"/>
          <w:kern w:val="0"/>
          <w:sz w:val="24"/>
          <w:szCs w:val="24"/>
          <w:lang w:val="en-US" w:eastAsia="zh-CN"/>
        </w:rPr>
        <w:t>11</w:t>
      </w:r>
      <w:r>
        <w:rPr>
          <w:kern w:val="0"/>
          <w:sz w:val="24"/>
          <w:szCs w:val="24"/>
        </w:rPr>
        <w:t>月</w:t>
      </w:r>
      <w:r>
        <w:rPr>
          <w:rFonts w:hint="eastAsia"/>
          <w:kern w:val="0"/>
          <w:sz w:val="24"/>
          <w:szCs w:val="24"/>
          <w:lang w:val="en-US" w:eastAsia="zh-CN"/>
        </w:rPr>
        <w:t>17</w:t>
      </w:r>
      <w:r>
        <w:rPr>
          <w:kern w:val="0"/>
          <w:sz w:val="24"/>
          <w:szCs w:val="24"/>
        </w:rPr>
        <w:t>日，建设单位</w:t>
      </w:r>
      <w:r>
        <w:rPr>
          <w:rFonts w:hint="eastAsia"/>
          <w:kern w:val="0"/>
          <w:sz w:val="24"/>
          <w:szCs w:val="24"/>
          <w:lang w:eastAsia="zh-CN"/>
        </w:rPr>
        <w:t>浙江日鑫自动化系统有限公司</w:t>
      </w:r>
      <w:r>
        <w:rPr>
          <w:kern w:val="0"/>
          <w:sz w:val="24"/>
          <w:szCs w:val="24"/>
        </w:rPr>
        <w:t>根据《</w:t>
      </w:r>
      <w:r>
        <w:rPr>
          <w:rFonts w:hint="eastAsia"/>
          <w:kern w:val="0"/>
          <w:sz w:val="24"/>
          <w:szCs w:val="24"/>
          <w:lang w:eastAsia="zh-CN"/>
        </w:rPr>
        <w:t>浙江日鑫自动化系统有限公司浙江日鑫自动化年产1000套环保设备项目</w:t>
      </w:r>
      <w:r>
        <w:rPr>
          <w:kern w:val="0"/>
          <w:sz w:val="24"/>
          <w:szCs w:val="24"/>
        </w:rPr>
        <w:t>竣工环境保护验收监测报告表》，并对照《建设项目竣工环境保护验收暂行办法》，严格依照国家有关法律法规、建设项目竣工环境保护验收技术规范、本项目环境影响</w:t>
      </w:r>
      <w:r>
        <w:rPr>
          <w:rFonts w:hint="eastAsia"/>
          <w:kern w:val="0"/>
          <w:sz w:val="24"/>
          <w:szCs w:val="24"/>
          <w:lang w:val="en-US" w:eastAsia="zh-CN"/>
        </w:rPr>
        <w:t>报告</w:t>
      </w:r>
      <w:r>
        <w:rPr>
          <w:kern w:val="0"/>
          <w:sz w:val="24"/>
          <w:szCs w:val="24"/>
        </w:rPr>
        <w:t>表和</w:t>
      </w:r>
      <w:r>
        <w:rPr>
          <w:rFonts w:hint="eastAsia"/>
          <w:kern w:val="0"/>
          <w:sz w:val="24"/>
          <w:szCs w:val="24"/>
          <w:lang w:val="en-US" w:eastAsia="zh-CN"/>
        </w:rPr>
        <w:t>审查意见</w:t>
      </w:r>
      <w:r>
        <w:rPr>
          <w:kern w:val="0"/>
          <w:sz w:val="24"/>
          <w:szCs w:val="24"/>
        </w:rPr>
        <w:t>等要求对本项目进行验收，提出意见如下：</w:t>
      </w:r>
    </w:p>
    <w:p>
      <w:pPr>
        <w:spacing w:line="360" w:lineRule="auto"/>
        <w:ind w:firstLine="482" w:firstLineChars="200"/>
        <w:outlineLvl w:val="0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一、建设项目基本情况：</w:t>
      </w:r>
    </w:p>
    <w:p>
      <w:pPr>
        <w:tabs>
          <w:tab w:val="left" w:pos="5495"/>
          <w:tab w:val="left" w:pos="6305"/>
        </w:tabs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  <w:lang w:eastAsia="zh-CN"/>
        </w:rPr>
        <w:t>浙江日鑫自动化系统有限公司</w:t>
      </w:r>
      <w:r>
        <w:rPr>
          <w:rFonts w:ascii="Times New Roman" w:hAnsi="Times New Roman" w:eastAsia="宋体" w:cs="Times New Roman"/>
          <w:sz w:val="24"/>
        </w:rPr>
        <w:t>项目建设地点位于</w:t>
      </w:r>
      <w:r>
        <w:rPr>
          <w:rFonts w:ascii="Times New Roman" w:hAnsi="Times New Roman" w:cs="Times New Roman"/>
          <w:sz w:val="24"/>
        </w:rPr>
        <w:t>浙江省湖州市德清县新安镇太平桥工业园区</w:t>
      </w:r>
      <w:r>
        <w:rPr>
          <w:rFonts w:ascii="Times New Roman" w:hAnsi="Times New Roman" w:eastAsia="宋体" w:cs="Times New Roman"/>
          <w:sz w:val="24"/>
        </w:rPr>
        <w:t>（东经120度11分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25.216</w:t>
      </w:r>
      <w:r>
        <w:rPr>
          <w:rFonts w:ascii="Times New Roman" w:hAnsi="Times New Roman" w:eastAsia="宋体" w:cs="Times New Roman"/>
          <w:sz w:val="24"/>
        </w:rPr>
        <w:t>秒，北纬30度33分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5.630</w:t>
      </w:r>
      <w:r>
        <w:rPr>
          <w:rFonts w:ascii="Times New Roman" w:hAnsi="Times New Roman" w:eastAsia="宋体" w:cs="Times New Roman"/>
          <w:sz w:val="24"/>
        </w:rPr>
        <w:t>秒），主要从事</w:t>
      </w:r>
      <w:r>
        <w:rPr>
          <w:rFonts w:hint="eastAsia" w:ascii="Times New Roman" w:hAnsi="Times New Roman" w:eastAsia="宋体" w:cs="Times New Roman"/>
          <w:sz w:val="24"/>
        </w:rPr>
        <w:t>焊接管、螺旋管、防火风管、角铁风管、共板风管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的生产与</w:t>
      </w:r>
      <w:r>
        <w:rPr>
          <w:rFonts w:ascii="Times New Roman" w:hAnsi="Times New Roman" w:eastAsia="宋体" w:cs="Times New Roman"/>
          <w:sz w:val="24"/>
        </w:rPr>
        <w:t>销售，本项目实际拥有职工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80</w:t>
      </w:r>
      <w:r>
        <w:rPr>
          <w:rFonts w:ascii="Times New Roman" w:hAnsi="Times New Roman" w:eastAsia="宋体" w:cs="Times New Roman"/>
          <w:sz w:val="24"/>
        </w:rPr>
        <w:t>人，实行白天一班8h制生产，年生产天数330天，厂区内设职工食堂。企业于2023年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6</w:t>
      </w:r>
      <w:r>
        <w:rPr>
          <w:rFonts w:ascii="Times New Roman" w:hAnsi="Times New Roman" w:eastAsia="宋体" w:cs="Times New Roman"/>
          <w:sz w:val="24"/>
        </w:rPr>
        <w:t>月，委托湖州博胜环保科技有限公司编制完成了《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浙江日鑫自动化年产1000套环保设备项目</w:t>
      </w:r>
      <w:r>
        <w:rPr>
          <w:rFonts w:ascii="Times New Roman" w:hAnsi="Times New Roman" w:eastAsia="宋体" w:cs="Times New Roman"/>
          <w:sz w:val="24"/>
        </w:rPr>
        <w:t>环境影响报告表》，并于2023年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7</w:t>
      </w:r>
      <w:r>
        <w:rPr>
          <w:rFonts w:ascii="Times New Roman" w:hAnsi="Times New Roman" w:eastAsia="宋体" w:cs="Times New Roman"/>
          <w:sz w:val="24"/>
        </w:rPr>
        <w:t>月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10</w:t>
      </w:r>
      <w:r>
        <w:rPr>
          <w:rFonts w:ascii="Times New Roman" w:hAnsi="Times New Roman" w:eastAsia="宋体" w:cs="Times New Roman"/>
          <w:sz w:val="24"/>
        </w:rPr>
        <w:t>日通过了湖州市生态环境局德清分局的审</w:t>
      </w:r>
      <w:r>
        <w:rPr>
          <w:rFonts w:ascii="Times New Roman" w:hAnsi="Times New Roman" w:cs="Times New Roman"/>
          <w:sz w:val="24"/>
        </w:rPr>
        <w:t>批</w:t>
      </w:r>
      <w:r>
        <w:rPr>
          <w:rFonts w:ascii="Times New Roman" w:hAnsi="Times New Roman" w:eastAsia="宋体" w:cs="Times New Roman"/>
          <w:sz w:val="24"/>
        </w:rPr>
        <w:t>，审</w:t>
      </w:r>
      <w:r>
        <w:rPr>
          <w:rFonts w:ascii="Times New Roman" w:hAnsi="Times New Roman" w:cs="Times New Roman"/>
          <w:sz w:val="24"/>
        </w:rPr>
        <w:t>批</w:t>
      </w:r>
      <w:r>
        <w:rPr>
          <w:rFonts w:ascii="Times New Roman" w:hAnsi="Times New Roman" w:eastAsia="宋体" w:cs="Times New Roman"/>
          <w:sz w:val="24"/>
        </w:rPr>
        <w:t>文号为：湖德环建[2023]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67</w:t>
      </w:r>
      <w:r>
        <w:rPr>
          <w:rFonts w:ascii="Times New Roman" w:hAnsi="Times New Roman" w:eastAsia="宋体" w:cs="Times New Roman"/>
          <w:sz w:val="24"/>
        </w:rPr>
        <w:t>号</w:t>
      </w:r>
      <w:r>
        <w:rPr>
          <w:rFonts w:ascii="Times New Roman" w:hAnsi="Times New Roman" w:cs="Times New Roman"/>
          <w:sz w:val="24"/>
        </w:rPr>
        <w:t>，</w:t>
      </w:r>
      <w:r>
        <w:rPr>
          <w:rFonts w:ascii="Times New Roman" w:hAnsi="Times New Roman" w:eastAsia="宋体" w:cs="Times New Roman"/>
          <w:sz w:val="24"/>
        </w:rPr>
        <w:t>于202</w:t>
      </w: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eastAsia="宋体" w:cs="Times New Roman"/>
          <w:sz w:val="24"/>
        </w:rPr>
        <w:t>年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10</w:t>
      </w:r>
      <w:r>
        <w:rPr>
          <w:rFonts w:ascii="Times New Roman" w:hAnsi="Times New Roman" w:eastAsia="宋体" w:cs="Times New Roman"/>
          <w:sz w:val="24"/>
        </w:rPr>
        <w:t>月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30</w:t>
      </w:r>
      <w:r>
        <w:rPr>
          <w:rFonts w:ascii="Times New Roman" w:hAnsi="Times New Roman" w:eastAsia="宋体" w:cs="Times New Roman"/>
          <w:sz w:val="24"/>
        </w:rPr>
        <w:t>日申领固定污染源排污登记，编号为：</w:t>
      </w:r>
      <w:r>
        <w:rPr>
          <w:rFonts w:ascii="Times New Roman" w:hAnsi="Times New Roman"/>
          <w:color w:val="auto"/>
          <w:sz w:val="24"/>
        </w:rPr>
        <w:t>91330521MA2D18F72G001W</w:t>
      </w:r>
      <w:r>
        <w:rPr>
          <w:rFonts w:ascii="Times New Roman" w:hAnsi="Times New Roman" w:eastAsia="宋体" w:cs="Times New Roman"/>
          <w:sz w:val="24"/>
        </w:rPr>
        <w:t>。有效期</w:t>
      </w:r>
      <w:r>
        <w:rPr>
          <w:rFonts w:ascii="Times New Roman" w:hAnsi="Times New Roman"/>
          <w:color w:val="auto"/>
          <w:sz w:val="24"/>
        </w:rPr>
        <w:t>2023年10月30日至2028年10月29日</w:t>
      </w:r>
      <w:r>
        <w:rPr>
          <w:rFonts w:ascii="Times New Roman" w:hAnsi="Times New Roman" w:eastAsia="宋体" w:cs="Times New Roman"/>
          <w:sz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color w:val="FF0000"/>
          <w:sz w:val="24"/>
        </w:rPr>
      </w:pPr>
      <w:r>
        <w:rPr>
          <w:rFonts w:ascii="Times New Roman" w:hAnsi="Times New Roman" w:eastAsia="宋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本项目于2023年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ascii="Times New Roman" w:hAnsi="Times New Roman" w:eastAsia="宋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15日</w:t>
      </w:r>
      <w:r>
        <w:rPr>
          <w:rFonts w:ascii="Times New Roman" w:hAnsi="Times New Roman" w:eastAsia="宋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开工建设进行设备安装、调试，2023年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ascii="Times New Roman" w:hAnsi="Times New Roman" w:eastAsia="宋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1日</w:t>
      </w:r>
      <w:r>
        <w:rPr>
          <w:rFonts w:ascii="Times New Roman" w:hAnsi="Times New Roman" w:eastAsia="宋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竣工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完成进入</w:t>
      </w:r>
      <w:r>
        <w:rPr>
          <w:rFonts w:ascii="Times New Roman" w:hAnsi="Times New Roman" w:eastAsia="宋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试生产阶段。</w:t>
      </w:r>
      <w:r>
        <w:rPr>
          <w:sz w:val="24"/>
          <w:szCs w:val="24"/>
        </w:rPr>
        <w:t>本次验收项目实际</w:t>
      </w:r>
      <w:r>
        <w:rPr>
          <w:rFonts w:ascii="Times New Roman" w:hAnsi="Times New Roman" w:eastAsia="宋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投资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2200</w:t>
      </w:r>
      <w:r>
        <w:rPr>
          <w:rFonts w:ascii="Times New Roman" w:hAnsi="Times New Roman" w:eastAsia="宋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万元，其中环保投资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76</w:t>
      </w:r>
      <w:r>
        <w:rPr>
          <w:rFonts w:ascii="Times New Roman" w:hAnsi="Times New Roman" w:eastAsia="宋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万元，占总投资额的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3.45</w:t>
      </w:r>
      <w:r>
        <w:rPr>
          <w:rFonts w:ascii="Times New Roman" w:hAnsi="Times New Roman" w:eastAsia="宋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%。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公司于2</w:t>
      </w:r>
      <w:r>
        <w:rPr>
          <w:rFonts w:ascii="Times New Roman" w:hAnsi="Times New Roman" w:eastAsia="宋体" w:cs="Times New Roman"/>
          <w:color w:val="auto"/>
          <w:sz w:val="24"/>
        </w:rPr>
        <w:t>023年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9</w:t>
      </w:r>
      <w:r>
        <w:rPr>
          <w:rFonts w:ascii="Times New Roman" w:hAnsi="Times New Roman" w:eastAsia="宋体" w:cs="Times New Roman"/>
          <w:color w:val="auto"/>
          <w:sz w:val="24"/>
        </w:rPr>
        <w:t>月着手开展本项目的自主竣工环境保护验收工作，对照项目环境影响报告表文本和批复意见，对项目和环境保护设施建设情况进行了验收自查，然后根据自查结果于2023年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10</w:t>
      </w:r>
      <w:r>
        <w:rPr>
          <w:rFonts w:ascii="Times New Roman" w:hAnsi="Times New Roman" w:eastAsia="宋体" w:cs="Times New Roman"/>
          <w:color w:val="auto"/>
          <w:sz w:val="24"/>
        </w:rPr>
        <w:t>月编制完成验收监测方案，并委托中昱（浙江）环境监测股份有限公司于2023年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11</w:t>
      </w:r>
      <w:r>
        <w:rPr>
          <w:rFonts w:ascii="Times New Roman" w:hAnsi="Times New Roman" w:eastAsia="宋体" w:cs="Times New Roman"/>
          <w:color w:val="auto"/>
          <w:sz w:val="24"/>
        </w:rPr>
        <w:t>月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07</w:t>
      </w:r>
      <w:r>
        <w:rPr>
          <w:rFonts w:ascii="Times New Roman" w:hAnsi="Times New Roman" w:eastAsia="宋体" w:cs="Times New Roman"/>
          <w:color w:val="auto"/>
          <w:sz w:val="24"/>
        </w:rPr>
        <w:t>日至2023年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11</w:t>
      </w:r>
      <w:r>
        <w:rPr>
          <w:rFonts w:ascii="Times New Roman" w:hAnsi="Times New Roman" w:eastAsia="宋体" w:cs="Times New Roman"/>
          <w:color w:val="auto"/>
          <w:sz w:val="24"/>
        </w:rPr>
        <w:t>月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08</w:t>
      </w:r>
      <w:r>
        <w:rPr>
          <w:rFonts w:ascii="Times New Roman" w:hAnsi="Times New Roman" w:eastAsia="宋体" w:cs="Times New Roman"/>
          <w:color w:val="auto"/>
          <w:sz w:val="24"/>
        </w:rPr>
        <w:t>日进行了现场验收监测，通过对该工程“三同时”执行情况和效果的检查并依据监测</w:t>
      </w:r>
      <w:r>
        <w:rPr>
          <w:rFonts w:ascii="Times New Roman" w:hAnsi="Times New Roman" w:eastAsia="宋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结果及相应的国家有关环境标准，编制了本项目竣工环境保护验收监测报告表。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本次验收范围为企业</w:t>
      </w:r>
      <w:r>
        <w:rPr>
          <w:rFonts w:hint="eastAsia"/>
          <w:kern w:val="0"/>
          <w:sz w:val="24"/>
          <w:szCs w:val="24"/>
          <w:lang w:eastAsia="zh-CN"/>
        </w:rPr>
        <w:t>浙江日鑫自动化年产1000套环保设备项目</w:t>
      </w:r>
      <w:r>
        <w:rPr>
          <w:sz w:val="24"/>
          <w:szCs w:val="24"/>
        </w:rPr>
        <w:t>，对应的审批文号为“湖德环建[2023]</w:t>
      </w:r>
      <w:r>
        <w:rPr>
          <w:rFonts w:hint="eastAsia"/>
          <w:sz w:val="24"/>
          <w:szCs w:val="24"/>
          <w:lang w:val="en-US" w:eastAsia="zh-CN"/>
        </w:rPr>
        <w:t>67</w:t>
      </w:r>
      <w:r>
        <w:rPr>
          <w:sz w:val="24"/>
          <w:szCs w:val="24"/>
        </w:rPr>
        <w:t>号”。验收内容主要包括环保设施落实情况、污染物达标排放及总量控制情况。本次验收为整体竣工环境保护验收。</w:t>
      </w:r>
    </w:p>
    <w:p>
      <w:pPr>
        <w:spacing w:line="360" w:lineRule="auto"/>
        <w:ind w:firstLine="482" w:firstLineChars="200"/>
        <w:outlineLvl w:val="0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 xml:space="preserve">二、工程变动情况 </w:t>
      </w:r>
    </w:p>
    <w:p>
      <w:pPr>
        <w:spacing w:line="360" w:lineRule="auto"/>
        <w:ind w:firstLine="480" w:firstLineChars="200"/>
        <w:outlineLvl w:val="0"/>
        <w:rPr>
          <w:rFonts w:hint="default" w:eastAsia="宋体"/>
          <w:kern w:val="0"/>
          <w:sz w:val="24"/>
          <w:szCs w:val="24"/>
          <w:lang w:val="en-US" w:eastAsia="zh-CN"/>
        </w:rPr>
      </w:pPr>
      <w:bookmarkStart w:id="0" w:name="_Toc498351802"/>
      <w:bookmarkStart w:id="1" w:name="_Toc498700049"/>
      <w:bookmarkStart w:id="2" w:name="_Toc498412723"/>
      <w:r>
        <w:rPr>
          <w:kern w:val="0"/>
          <w:sz w:val="24"/>
          <w:szCs w:val="24"/>
        </w:rPr>
        <w:t>经现场踏勘并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对照环评文件，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>1、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建设地点与环评审批一致，总平面布置与环评审批部分不一致，但不导致环境防护距离范围变化且新增敏感点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eastAsia="zh-CN"/>
        </w:rPr>
        <w:t>；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>2、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项目产品品种及产能和生产工艺不变；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>本项目原料与环评对照，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实际将聚氨酯胶替换为湿气固化反应型聚氨醋热熔胶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>根据MSDS及检测报告可知，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湿气固化反应型聚氨醋热熔胶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>中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总挥发性有机物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>含量比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聚氨酯胶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>低；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本项目实际设备情况与环评对照，增加2台自动剪板机、1套C型钢自动生产线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>减少三台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剪板机，自动复合机原审批上胶区设置单独工位，人工上胶，现实际采用全自动上胶，采用更多较为先进的设备提升性能及替代落后的人工操作，实现自动化密闭作业，尽可能的降低污染物的排放，实现更具环保的作业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eastAsia="zh-CN"/>
        </w:rPr>
        <w:t>。</w:t>
      </w:r>
    </w:p>
    <w:p>
      <w:pPr>
        <w:spacing w:line="360" w:lineRule="auto"/>
        <w:ind w:firstLine="480" w:firstLineChars="200"/>
        <w:outlineLvl w:val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项目性质、</w:t>
      </w:r>
      <w:r>
        <w:rPr>
          <w:rFonts w:hint="eastAsia"/>
          <w:kern w:val="0"/>
          <w:sz w:val="24"/>
          <w:szCs w:val="24"/>
          <w:lang w:val="en-US" w:eastAsia="zh-CN"/>
        </w:rPr>
        <w:t>规模</w:t>
      </w:r>
      <w:r>
        <w:rPr>
          <w:kern w:val="0"/>
          <w:sz w:val="24"/>
          <w:szCs w:val="24"/>
        </w:rPr>
        <w:t>、主体生产工艺</w:t>
      </w:r>
      <w:r>
        <w:rPr>
          <w:rFonts w:hint="eastAsia"/>
          <w:kern w:val="0"/>
          <w:sz w:val="24"/>
          <w:szCs w:val="24"/>
          <w:lang w:eastAsia="zh-CN"/>
        </w:rPr>
        <w:t>、环境保护措施</w:t>
      </w:r>
      <w:r>
        <w:rPr>
          <w:kern w:val="0"/>
          <w:sz w:val="24"/>
          <w:szCs w:val="24"/>
        </w:rPr>
        <w:t>与环评及批复保持一致，基本无变动。</w:t>
      </w:r>
    </w:p>
    <w:p>
      <w:pPr>
        <w:spacing w:line="360" w:lineRule="auto"/>
        <w:ind w:firstLine="480" w:firstLineChars="200"/>
        <w:outlineLvl w:val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对照生态环境部 环办环评函〔2020〕688 号关于印发《污染影响类建设项目重大变动清单(试行)》的通知相关内容，企业不属于重大变动。</w:t>
      </w:r>
    </w:p>
    <w:bookmarkEnd w:id="0"/>
    <w:bookmarkEnd w:id="1"/>
    <w:bookmarkEnd w:id="2"/>
    <w:p>
      <w:pPr>
        <w:spacing w:line="360" w:lineRule="auto"/>
        <w:ind w:firstLine="482" w:firstLineChars="200"/>
        <w:outlineLvl w:val="0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三、环境保护设施建设情况</w:t>
      </w:r>
    </w:p>
    <w:p>
      <w:pPr>
        <w:adjustRightInd w:val="0"/>
        <w:snapToGrid w:val="0"/>
        <w:spacing w:line="360" w:lineRule="auto"/>
        <w:ind w:firstLine="480" w:firstLineChars="20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（一）废水：本项目营运过程产生的废水主要是职工生活污水。职工用水经化粪池、隔油池预处理后，纳管排入德清富春紫光水务有限公司集中处理。</w:t>
      </w:r>
    </w:p>
    <w:p>
      <w:pPr>
        <w:pStyle w:val="9"/>
        <w:spacing w:after="0" w:line="360" w:lineRule="auto"/>
        <w:ind w:firstLine="480" w:firstLineChars="200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kern w:val="0"/>
          <w:sz w:val="24"/>
        </w:rPr>
        <w:t>（二）废气：本项目营运过程产生的废气主要为</w:t>
      </w:r>
      <w:r>
        <w:rPr>
          <w:rFonts w:ascii="Times New Roman" w:hAnsi="Times New Roman"/>
          <w:color w:val="auto"/>
          <w:sz w:val="24"/>
        </w:rPr>
        <w:t>金属</w:t>
      </w:r>
      <w:r>
        <w:rPr>
          <w:rFonts w:ascii="Times New Roman" w:hAnsi="Times New Roman"/>
          <w:bCs/>
          <w:color w:val="auto"/>
          <w:sz w:val="24"/>
        </w:rPr>
        <w:t>粉尘</w:t>
      </w:r>
      <w:r>
        <w:rPr>
          <w:rFonts w:ascii="Times New Roman" w:hAnsi="Times New Roman"/>
          <w:color w:val="auto"/>
          <w:sz w:val="24"/>
        </w:rPr>
        <w:t>、</w:t>
      </w:r>
      <w:r>
        <w:rPr>
          <w:rFonts w:ascii="Times New Roman" w:hAnsi="Times New Roman"/>
          <w:bCs/>
          <w:color w:val="auto"/>
          <w:sz w:val="24"/>
        </w:rPr>
        <w:t>焊接烟尘、涂胶废气、</w:t>
      </w:r>
      <w:r>
        <w:rPr>
          <w:rFonts w:ascii="Times New Roman" w:hAnsi="Times New Roman"/>
          <w:color w:val="auto"/>
          <w:sz w:val="24"/>
        </w:rPr>
        <w:t>食堂油烟废气。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①金属</w:t>
      </w:r>
      <w:r>
        <w:rPr>
          <w:rFonts w:ascii="Times New Roman" w:hAnsi="Times New Roman"/>
          <w:bCs/>
          <w:color w:val="auto"/>
          <w:sz w:val="24"/>
        </w:rPr>
        <w:t>粉尘</w:t>
      </w:r>
      <w:r>
        <w:rPr>
          <w:rFonts w:ascii="Times New Roman" w:hAnsi="Times New Roman"/>
          <w:color w:val="auto"/>
          <w:sz w:val="24"/>
        </w:rPr>
        <w:t>：</w:t>
      </w:r>
      <w:r>
        <w:rPr>
          <w:rFonts w:ascii="Times New Roman" w:hAnsi="Times New Roman"/>
          <w:color w:val="auto"/>
          <w:kern w:val="0"/>
          <w:sz w:val="24"/>
          <w:lang w:bidi="ar"/>
        </w:rPr>
        <w:t>在切割粉尘产生区域设置移动式布袋除尘器，未收集的切割粉尘基本在设备附近自然沉降，加强车间封闭，以无组织形式扩散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②</w:t>
      </w:r>
      <w:r>
        <w:rPr>
          <w:rFonts w:ascii="Times New Roman" w:hAnsi="Times New Roman"/>
          <w:bCs/>
          <w:color w:val="auto"/>
          <w:sz w:val="24"/>
        </w:rPr>
        <w:t>焊接烟尘</w:t>
      </w:r>
      <w:r>
        <w:rPr>
          <w:rFonts w:ascii="Times New Roman" w:hAnsi="Times New Roman"/>
          <w:color w:val="auto"/>
          <w:sz w:val="24"/>
        </w:rPr>
        <w:t>：</w:t>
      </w:r>
      <w:r>
        <w:rPr>
          <w:rFonts w:ascii="Times New Roman" w:hAnsi="Times New Roman"/>
          <w:color w:val="auto"/>
          <w:kern w:val="0"/>
          <w:sz w:val="24"/>
          <w:lang w:bidi="ar"/>
        </w:rPr>
        <w:t>在焊烟产生区域设置吸风罩，废气经布袋除尘装置（TA001）处理后通过1根15m高的排气筒（DA001）排放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③</w:t>
      </w:r>
      <w:r>
        <w:rPr>
          <w:rFonts w:ascii="Times New Roman" w:hAnsi="Times New Roman"/>
          <w:bCs/>
          <w:color w:val="auto"/>
          <w:sz w:val="24"/>
        </w:rPr>
        <w:t>涂胶废气</w:t>
      </w:r>
      <w:r>
        <w:rPr>
          <w:rFonts w:ascii="Times New Roman" w:hAnsi="Times New Roman"/>
          <w:color w:val="auto"/>
          <w:sz w:val="24"/>
        </w:rPr>
        <w:t>：</w:t>
      </w:r>
      <w:r>
        <w:rPr>
          <w:rFonts w:hint="eastAsia" w:ascii="Times New Roman" w:hAnsi="Times New Roman"/>
          <w:color w:val="auto"/>
          <w:kern w:val="0"/>
          <w:sz w:val="24"/>
          <w:lang w:bidi="ar"/>
        </w:rPr>
        <w:t>设置自动涂胶机，涂胶区域全密闭</w:t>
      </w:r>
      <w:r>
        <w:rPr>
          <w:rFonts w:hint="eastAsia" w:ascii="Times New Roman" w:hAnsi="Times New Roman"/>
          <w:color w:val="auto"/>
          <w:kern w:val="0"/>
          <w:sz w:val="24"/>
          <w:lang w:eastAsia="zh-CN" w:bidi="ar"/>
        </w:rPr>
        <w:t>（</w:t>
      </w:r>
      <w:r>
        <w:rPr>
          <w:rFonts w:hint="eastAsia" w:ascii="Times New Roman" w:hAnsi="Times New Roman"/>
          <w:color w:val="auto"/>
          <w:kern w:val="0"/>
          <w:sz w:val="24"/>
          <w:lang w:val="en-US" w:eastAsia="zh-CN" w:bidi="ar"/>
        </w:rPr>
        <w:t>长1.5m，宽1.2m，高0.6m</w:t>
      </w:r>
      <w:r>
        <w:rPr>
          <w:rFonts w:hint="eastAsia" w:ascii="Times New Roman" w:hAnsi="Times New Roman"/>
          <w:color w:val="auto"/>
          <w:kern w:val="0"/>
          <w:sz w:val="24"/>
          <w:lang w:eastAsia="zh-CN" w:bidi="ar"/>
        </w:rPr>
        <w:t>）</w:t>
      </w:r>
      <w:r>
        <w:rPr>
          <w:rFonts w:hint="eastAsia" w:ascii="Times New Roman" w:hAnsi="Times New Roman"/>
          <w:color w:val="auto"/>
          <w:kern w:val="0"/>
          <w:sz w:val="24"/>
          <w:lang w:bidi="ar"/>
        </w:rPr>
        <w:t>，管道直连</w:t>
      </w:r>
      <w:r>
        <w:rPr>
          <w:rFonts w:ascii="Times New Roman" w:hAnsi="Times New Roman"/>
          <w:color w:val="auto"/>
          <w:kern w:val="0"/>
          <w:sz w:val="24"/>
          <w:lang w:bidi="ar"/>
        </w:rPr>
        <w:t>，废气经二级活性炭吸附装置（TA002）处理后通过1根15m高的排气筒（DA002）排放</w:t>
      </w:r>
    </w:p>
    <w:p>
      <w:pPr>
        <w:spacing w:line="360" w:lineRule="auto"/>
        <w:ind w:firstLine="480" w:firstLineChars="200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④食堂油烟废气：经油烟净化装置（TA003）进行处理后，于食堂屋顶高空排放（DA003）。</w:t>
      </w:r>
    </w:p>
    <w:p>
      <w:pPr>
        <w:pStyle w:val="8"/>
        <w:spacing w:line="360" w:lineRule="auto"/>
        <w:ind w:firstLine="480" w:firstLineChars="20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（三）噪声：</w:t>
      </w:r>
      <w:r>
        <w:rPr>
          <w:rFonts w:hint="eastAsia" w:ascii="Times New Roman" w:hAnsi="Times New Roman"/>
          <w:sz w:val="24"/>
        </w:rPr>
        <w:t>本项目实行白天一班8h制生产，项目在生产过程中产生的噪声主要源自折边机、激光切割机、冲床等，这些设备产生的噪声声级一般在70dB以上。通过合理安排布局，生产设备设施选用低噪声设备，生产时关闭门窗，平时加强生产及工人操作的管理和设备维护保养，并通过墙体阻隔、距离和厂区四周绿化衰减。</w:t>
      </w:r>
    </w:p>
    <w:p>
      <w:pPr>
        <w:pStyle w:val="9"/>
        <w:spacing w:after="0" w:line="360" w:lineRule="auto"/>
        <w:ind w:firstLine="480" w:firstLineChars="200"/>
        <w:rPr>
          <w:rFonts w:hint="eastAsia" w:ascii="Times New Roman" w:hAnsi="Times New Roman" w:eastAsia="宋体"/>
          <w:color w:val="auto"/>
          <w:sz w:val="24"/>
          <w:szCs w:val="32"/>
          <w:lang w:val="en-US" w:eastAsia="zh-CN"/>
        </w:rPr>
      </w:pPr>
      <w:r>
        <w:rPr>
          <w:rFonts w:ascii="Times New Roman" w:hAnsi="Times New Roman"/>
          <w:kern w:val="0"/>
          <w:sz w:val="24"/>
          <w:szCs w:val="24"/>
        </w:rPr>
        <w:t>（四）固废：</w:t>
      </w:r>
      <w:r>
        <w:rPr>
          <w:rFonts w:ascii="Times New Roman" w:hAnsi="Times New Roman"/>
          <w:color w:val="auto"/>
          <w:sz w:val="24"/>
          <w:szCs w:val="32"/>
        </w:rPr>
        <w:t>本项目在综合楼4层设置一般废物仓库，位于北侧，占地面积约10m</w:t>
      </w:r>
      <w:r>
        <w:rPr>
          <w:rFonts w:ascii="Times New Roman" w:hAnsi="Times New Roman"/>
          <w:color w:val="auto"/>
          <w:sz w:val="24"/>
          <w:szCs w:val="32"/>
          <w:vertAlign w:val="superscript"/>
        </w:rPr>
        <w:t>2</w:t>
      </w:r>
      <w:r>
        <w:rPr>
          <w:rFonts w:ascii="Times New Roman" w:hAnsi="Times New Roman"/>
          <w:color w:val="auto"/>
          <w:sz w:val="24"/>
          <w:szCs w:val="32"/>
        </w:rPr>
        <w:t>，暂存点为水泥地面，能做到防扬散、防流失、防止雨水的冲刷及防渗漏等相关要求，各类一般废物定置分类存放。本项目在综合楼4层设置了一个危废仓库，存放含油金属屑、废乳化液、废切削液、废液压油、</w:t>
      </w:r>
      <w:r>
        <w:rPr>
          <w:rFonts w:hint="eastAsia" w:ascii="Times New Roman" w:hAnsi="Times New Roman"/>
          <w:color w:val="auto"/>
          <w:sz w:val="24"/>
          <w:szCs w:val="32"/>
        </w:rPr>
        <w:t>破损的</w:t>
      </w:r>
      <w:r>
        <w:rPr>
          <w:rFonts w:ascii="Times New Roman" w:hAnsi="Times New Roman"/>
          <w:color w:val="auto"/>
          <w:sz w:val="24"/>
          <w:szCs w:val="32"/>
        </w:rPr>
        <w:t>废油桶、废活性炭，占地面积约10m</w:t>
      </w:r>
      <w:r>
        <w:rPr>
          <w:rFonts w:ascii="Times New Roman" w:hAnsi="Times New Roman"/>
          <w:color w:val="auto"/>
          <w:sz w:val="24"/>
          <w:szCs w:val="32"/>
          <w:vertAlign w:val="superscript"/>
        </w:rPr>
        <w:t>2</w:t>
      </w:r>
      <w:r>
        <w:rPr>
          <w:rFonts w:ascii="Times New Roman" w:hAnsi="Times New Roman"/>
          <w:color w:val="auto"/>
          <w:sz w:val="24"/>
          <w:szCs w:val="32"/>
        </w:rPr>
        <w:t>，危险废物集中收集后在危废仓库暂存，定期交由资质单位安全处置。危废库具备防腐防渗、防雨淋等措施，可</w:t>
      </w:r>
      <w:r>
        <w:rPr>
          <w:rFonts w:ascii="Times New Roman" w:hAnsi="Times New Roman" w:eastAsia="宋体" w:cs="Times New Roman"/>
          <w:color w:val="auto"/>
          <w:sz w:val="24"/>
          <w:szCs w:val="32"/>
        </w:rPr>
        <w:t>以有效防止二次污染，规范建立了危废台账。</w:t>
      </w:r>
      <w:r>
        <w:rPr>
          <w:rFonts w:hint="eastAsia" w:ascii="Times New Roman" w:hAnsi="Times New Roman" w:eastAsia="宋体" w:cs="Times New Roman"/>
          <w:color w:val="auto"/>
          <w:sz w:val="24"/>
          <w:szCs w:val="32"/>
          <w:lang w:val="en-US" w:eastAsia="zh-CN"/>
        </w:rPr>
        <w:t>项目</w:t>
      </w:r>
      <w:r>
        <w:rPr>
          <w:rFonts w:hint="eastAsia" w:ascii="Times New Roman" w:hAnsi="Times New Roman" w:eastAsia="宋体" w:cs="Times New Roman"/>
          <w:color w:val="auto"/>
          <w:sz w:val="24"/>
          <w:szCs w:val="32"/>
          <w:lang w:val="en-US" w:eastAsia="zh-CN"/>
        </w:rPr>
        <w:t>生活垃圾和食堂固废委托环卫部门清运；</w:t>
      </w:r>
      <w:r>
        <w:rPr>
          <w:rFonts w:ascii="Times New Roman" w:hAnsi="Times New Roman" w:eastAsia="宋体" w:cs="Times New Roman"/>
          <w:color w:val="auto"/>
          <w:sz w:val="24"/>
          <w:szCs w:val="32"/>
        </w:rPr>
        <w:t>金属边角料和金属粉尘（不含油）</w:t>
      </w:r>
      <w:r>
        <w:rPr>
          <w:rFonts w:hint="eastAsia" w:ascii="Times New Roman" w:hAnsi="Times New Roman" w:eastAsia="宋体" w:cs="Times New Roman"/>
          <w:color w:val="auto"/>
          <w:sz w:val="24"/>
          <w:szCs w:val="32"/>
          <w:lang w:eastAsia="zh-CN"/>
        </w:rPr>
        <w:t>、</w:t>
      </w:r>
      <w:r>
        <w:rPr>
          <w:rFonts w:ascii="Times New Roman" w:hAnsi="Times New Roman" w:eastAsia="宋体" w:cs="Times New Roman"/>
          <w:color w:val="auto"/>
          <w:sz w:val="24"/>
          <w:szCs w:val="32"/>
        </w:rPr>
        <w:t>焊渣</w:t>
      </w:r>
      <w:r>
        <w:rPr>
          <w:rFonts w:hint="eastAsia" w:ascii="Times New Roman" w:hAnsi="Times New Roman" w:eastAsia="宋体" w:cs="Times New Roman"/>
          <w:color w:val="auto"/>
          <w:sz w:val="24"/>
          <w:szCs w:val="32"/>
          <w:lang w:eastAsia="zh-CN"/>
        </w:rPr>
        <w:t>、废包装材料</w:t>
      </w:r>
      <w:r>
        <w:rPr>
          <w:rFonts w:ascii="Times New Roman" w:hAnsi="Times New Roman" w:eastAsia="宋体" w:cs="Times New Roman"/>
          <w:color w:val="auto"/>
          <w:sz w:val="24"/>
          <w:szCs w:val="32"/>
        </w:rPr>
        <w:t>集中收集后出售给物资回收单位</w:t>
      </w:r>
      <w:r>
        <w:rPr>
          <w:rFonts w:hint="eastAsia" w:ascii="Times New Roman" w:hAnsi="Times New Roman" w:eastAsia="宋体" w:cs="Times New Roman"/>
          <w:color w:val="auto"/>
          <w:sz w:val="24"/>
          <w:szCs w:val="32"/>
          <w:lang w:eastAsia="zh-CN"/>
        </w:rPr>
        <w:t>；</w:t>
      </w:r>
      <w:r>
        <w:rPr>
          <w:rFonts w:ascii="Times New Roman" w:hAnsi="Times New Roman" w:eastAsia="宋体" w:cs="Times New Roman"/>
          <w:color w:val="auto"/>
          <w:sz w:val="24"/>
          <w:szCs w:val="32"/>
        </w:rPr>
        <w:t>含油金属屑、废乳化液、废切削液、废液压油、</w:t>
      </w:r>
      <w:r>
        <w:rPr>
          <w:rFonts w:hint="eastAsia" w:ascii="Times New Roman" w:hAnsi="Times New Roman" w:eastAsia="宋体" w:cs="Times New Roman"/>
          <w:color w:val="auto"/>
          <w:sz w:val="24"/>
          <w:szCs w:val="32"/>
        </w:rPr>
        <w:t>破损的</w:t>
      </w:r>
      <w:r>
        <w:rPr>
          <w:rFonts w:ascii="Times New Roman" w:hAnsi="Times New Roman" w:eastAsia="宋体" w:cs="Times New Roman"/>
          <w:color w:val="auto"/>
          <w:sz w:val="24"/>
          <w:szCs w:val="32"/>
        </w:rPr>
        <w:t>废油桶、废活性炭</w:t>
      </w:r>
      <w:r>
        <w:rPr>
          <w:rFonts w:hint="eastAsia" w:ascii="Times New Roman" w:hAnsi="Times New Roman" w:eastAsia="宋体" w:cs="Times New Roman"/>
          <w:color w:val="auto"/>
          <w:sz w:val="24"/>
          <w:szCs w:val="32"/>
          <w:lang w:val="en-US" w:eastAsia="zh-CN"/>
        </w:rPr>
        <w:t>均</w:t>
      </w:r>
      <w:r>
        <w:rPr>
          <w:rFonts w:ascii="Times New Roman" w:hAnsi="Times New Roman" w:eastAsia="宋体" w:cs="Times New Roman"/>
          <w:color w:val="auto"/>
          <w:sz w:val="24"/>
          <w:szCs w:val="32"/>
        </w:rPr>
        <w:t>集中收集后委托德清纳海环境科技有限公司安全处置</w:t>
      </w:r>
      <w:r>
        <w:rPr>
          <w:rFonts w:hint="eastAsia" w:ascii="Times New Roman" w:hAnsi="Times New Roman" w:eastAsia="宋体" w:cs="Times New Roman"/>
          <w:color w:val="auto"/>
          <w:sz w:val="24"/>
          <w:szCs w:val="32"/>
          <w:lang w:eastAsia="zh-CN"/>
        </w:rPr>
        <w:t>。</w:t>
      </w:r>
    </w:p>
    <w:p>
      <w:pPr>
        <w:pStyle w:val="9"/>
        <w:spacing w:line="360" w:lineRule="auto"/>
        <w:ind w:left="0" w:firstLine="480" w:firstLineChars="20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（五）环境风险防范措施：针对可能产生的环境风险，企业设立了事故应急指挥领导小组，同时配备了相应的应急物资，包括灭火器，急救箱等。</w:t>
      </w:r>
    </w:p>
    <w:p>
      <w:pPr>
        <w:spacing w:line="360" w:lineRule="auto"/>
        <w:ind w:firstLine="482" w:firstLineChars="200"/>
        <w:outlineLvl w:val="0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四、环境保护设施调试监测结果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中昱（浙江）环境监测股份有限公司对</w:t>
      </w:r>
      <w:r>
        <w:rPr>
          <w:kern w:val="0"/>
          <w:sz w:val="24"/>
          <w:szCs w:val="24"/>
        </w:rPr>
        <w:t>该项目进行了环境保护验收监测（报告编号：</w:t>
      </w:r>
      <w:r>
        <w:rPr>
          <w:sz w:val="24"/>
          <w:szCs w:val="24"/>
        </w:rPr>
        <w:t>中昱环境（2023）检</w:t>
      </w:r>
      <w:r>
        <w:rPr>
          <w:rFonts w:hint="eastAsia"/>
          <w:sz w:val="24"/>
          <w:szCs w:val="24"/>
          <w:lang w:val="en-US" w:eastAsia="zh-CN"/>
        </w:rPr>
        <w:t>11</w:t>
      </w:r>
      <w:r>
        <w:rPr>
          <w:sz w:val="24"/>
          <w:szCs w:val="24"/>
        </w:rPr>
        <w:t>-</w:t>
      </w:r>
      <w:r>
        <w:rPr>
          <w:rFonts w:hint="eastAsia"/>
          <w:sz w:val="24"/>
          <w:szCs w:val="24"/>
          <w:lang w:val="en-US" w:eastAsia="zh-CN"/>
        </w:rPr>
        <w:t>035</w:t>
      </w:r>
      <w:r>
        <w:rPr>
          <w:sz w:val="24"/>
          <w:szCs w:val="24"/>
        </w:rPr>
        <w:t>号）</w:t>
      </w:r>
      <w:r>
        <w:rPr>
          <w:kern w:val="0"/>
          <w:sz w:val="24"/>
          <w:szCs w:val="24"/>
        </w:rPr>
        <w:t>。</w:t>
      </w:r>
      <w:r>
        <w:rPr>
          <w:sz w:val="24"/>
          <w:szCs w:val="24"/>
        </w:rPr>
        <w:t>监测期间，该项目生产工况正常，生产工况负荷大于75%，符合竣工验收工况负荷要求。</w:t>
      </w:r>
    </w:p>
    <w:p>
      <w:pPr>
        <w:pStyle w:val="12"/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（一）环保设施处理效率</w:t>
      </w:r>
    </w:p>
    <w:p>
      <w:pPr>
        <w:pStyle w:val="12"/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（1）废水处理设施</w:t>
      </w:r>
    </w:p>
    <w:p>
      <w:pPr>
        <w:pStyle w:val="12"/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项目无生产废水排放，自身无污水处理设施，项目无废水处理设施处理效率问题。</w:t>
      </w:r>
    </w:p>
    <w:p>
      <w:pPr>
        <w:pStyle w:val="12"/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（2）废气处理设施</w:t>
      </w:r>
    </w:p>
    <w:p>
      <w:pPr>
        <w:snapToGrid w:val="0"/>
        <w:spacing w:line="360" w:lineRule="auto"/>
        <w:ind w:firstLine="480" w:firstLineChars="200"/>
        <w:rPr>
          <w:sz w:val="24"/>
          <w:szCs w:val="24"/>
          <w:lang w:bidi="ar"/>
        </w:rPr>
      </w:pPr>
      <w:r>
        <w:rPr>
          <w:sz w:val="24"/>
          <w:szCs w:val="24"/>
          <w:lang w:bidi="ar"/>
        </w:rPr>
        <w:t>监测结果显示：</w:t>
      </w:r>
      <w:r>
        <w:rPr>
          <w:rFonts w:hint="eastAsia"/>
          <w:sz w:val="24"/>
          <w:szCs w:val="24"/>
          <w:lang w:val="en-US" w:eastAsia="zh-CN" w:bidi="ar"/>
        </w:rPr>
        <w:t>TA001布袋除尘</w:t>
      </w:r>
      <w:r>
        <w:rPr>
          <w:sz w:val="24"/>
          <w:szCs w:val="24"/>
          <w:lang w:bidi="ar"/>
        </w:rPr>
        <w:t>装置对</w:t>
      </w:r>
      <w:r>
        <w:rPr>
          <w:rFonts w:hint="eastAsia"/>
          <w:sz w:val="24"/>
          <w:szCs w:val="24"/>
          <w:lang w:val="en-US" w:eastAsia="zh-CN" w:bidi="ar"/>
        </w:rPr>
        <w:t>粉尘</w:t>
      </w:r>
      <w:r>
        <w:rPr>
          <w:sz w:val="24"/>
          <w:szCs w:val="24"/>
          <w:lang w:bidi="ar"/>
        </w:rPr>
        <w:t>的去除率第一个监测日为</w:t>
      </w:r>
      <w:r>
        <w:rPr>
          <w:rFonts w:hint="eastAsia"/>
          <w:sz w:val="24"/>
          <w:szCs w:val="24"/>
          <w:lang w:val="en-US" w:eastAsia="zh-CN" w:bidi="ar"/>
        </w:rPr>
        <w:t>75.90</w:t>
      </w:r>
      <w:r>
        <w:rPr>
          <w:sz w:val="24"/>
          <w:szCs w:val="24"/>
          <w:lang w:bidi="ar"/>
        </w:rPr>
        <w:t>％，第二个监测日为</w:t>
      </w:r>
      <w:r>
        <w:rPr>
          <w:rFonts w:hint="eastAsia"/>
          <w:sz w:val="24"/>
          <w:szCs w:val="24"/>
          <w:lang w:val="en-US" w:eastAsia="zh-CN" w:bidi="ar"/>
        </w:rPr>
        <w:t>72.81</w:t>
      </w:r>
      <w:r>
        <w:rPr>
          <w:sz w:val="24"/>
          <w:szCs w:val="24"/>
          <w:lang w:bidi="ar"/>
        </w:rPr>
        <w:t>％。</w:t>
      </w:r>
    </w:p>
    <w:p>
      <w:pPr>
        <w:snapToGrid w:val="0"/>
        <w:spacing w:line="360" w:lineRule="auto"/>
        <w:ind w:firstLine="480" w:firstLineChars="200"/>
        <w:rPr>
          <w:sz w:val="24"/>
          <w:szCs w:val="24"/>
          <w:lang w:bidi="ar"/>
        </w:rPr>
      </w:pPr>
      <w:r>
        <w:rPr>
          <w:sz w:val="24"/>
          <w:szCs w:val="24"/>
          <w:lang w:bidi="ar"/>
        </w:rPr>
        <w:t>监测结果显示：</w:t>
      </w:r>
      <w:r>
        <w:rPr>
          <w:rFonts w:hint="eastAsia"/>
          <w:sz w:val="24"/>
          <w:szCs w:val="24"/>
          <w:lang w:val="en-US" w:eastAsia="zh-CN" w:bidi="ar"/>
        </w:rPr>
        <w:t>TA002二级活性炭装置</w:t>
      </w:r>
      <w:r>
        <w:rPr>
          <w:sz w:val="24"/>
          <w:szCs w:val="24"/>
          <w:lang w:bidi="ar"/>
        </w:rPr>
        <w:t>对</w:t>
      </w:r>
      <w:r>
        <w:rPr>
          <w:rFonts w:hint="eastAsia"/>
          <w:sz w:val="24"/>
          <w:szCs w:val="24"/>
          <w:lang w:val="en-US" w:eastAsia="zh-CN" w:bidi="ar"/>
        </w:rPr>
        <w:t>非甲烷总烃</w:t>
      </w:r>
      <w:r>
        <w:rPr>
          <w:sz w:val="24"/>
          <w:szCs w:val="24"/>
          <w:lang w:bidi="ar"/>
        </w:rPr>
        <w:t>的去除率第一个监测日为</w:t>
      </w:r>
      <w:r>
        <w:rPr>
          <w:rFonts w:hint="eastAsia"/>
          <w:sz w:val="24"/>
          <w:szCs w:val="24"/>
          <w:lang w:val="en-US" w:eastAsia="zh-CN" w:bidi="ar"/>
        </w:rPr>
        <w:t>86.99</w:t>
      </w:r>
      <w:r>
        <w:rPr>
          <w:sz w:val="24"/>
          <w:szCs w:val="24"/>
          <w:lang w:bidi="ar"/>
        </w:rPr>
        <w:t>％，第二个监测日为</w:t>
      </w:r>
      <w:r>
        <w:rPr>
          <w:rFonts w:hint="eastAsia"/>
          <w:sz w:val="24"/>
          <w:szCs w:val="24"/>
          <w:lang w:val="en-US" w:eastAsia="zh-CN" w:bidi="ar"/>
        </w:rPr>
        <w:t>86.58</w:t>
      </w:r>
      <w:r>
        <w:rPr>
          <w:sz w:val="24"/>
          <w:szCs w:val="24"/>
          <w:lang w:bidi="ar"/>
        </w:rPr>
        <w:t>％。</w:t>
      </w:r>
    </w:p>
    <w:p>
      <w:pPr>
        <w:pStyle w:val="12"/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（3）厂界噪声治理设施</w:t>
      </w:r>
    </w:p>
    <w:p>
      <w:pPr>
        <w:pStyle w:val="12"/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bidi="ar"/>
        </w:rPr>
        <w:t>监测结果显示：</w:t>
      </w:r>
      <w:r>
        <w:rPr>
          <w:rFonts w:ascii="Times New Roman" w:hAnsi="Times New Roman"/>
          <w:sz w:val="24"/>
        </w:rPr>
        <w:t>本项目厂界昼间噪声排放满足《工业企业厂界环境噪声排放标准》（GB12348-2008）中的3类标准，说明项目采取的噪声防治措施合理。</w:t>
      </w:r>
    </w:p>
    <w:p>
      <w:pPr>
        <w:pStyle w:val="12"/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（4）固体废物治理设施</w:t>
      </w:r>
    </w:p>
    <w:p>
      <w:pPr>
        <w:pStyle w:val="12"/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项目固废均委托外单位进行处置，自身不配备固体废物治理设施。</w:t>
      </w:r>
    </w:p>
    <w:p>
      <w:pPr>
        <w:pStyle w:val="12"/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（二）污染物排放情况</w:t>
      </w:r>
    </w:p>
    <w:p>
      <w:pPr>
        <w:spacing w:line="360" w:lineRule="auto"/>
        <w:ind w:firstLine="480" w:firstLineChars="200"/>
        <w:rPr>
          <w:kern w:val="0"/>
          <w:sz w:val="24"/>
          <w:szCs w:val="24"/>
        </w:rPr>
      </w:pPr>
      <w:r>
        <w:rPr>
          <w:sz w:val="24"/>
          <w:szCs w:val="24"/>
        </w:rPr>
        <w:t>（1）</w:t>
      </w:r>
      <w:r>
        <w:rPr>
          <w:kern w:val="0"/>
          <w:sz w:val="24"/>
          <w:szCs w:val="24"/>
        </w:rPr>
        <w:t>废水污染物排放评价</w:t>
      </w:r>
    </w:p>
    <w:p>
      <w:pPr>
        <w:spacing w:line="360" w:lineRule="auto"/>
        <w:ind w:firstLine="480" w:firstLineChars="200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sz w:val="24"/>
          <w:szCs w:val="24"/>
        </w:rPr>
        <w:t>由检测结果可知，</w:t>
      </w:r>
      <w:r>
        <w:rPr>
          <w:rFonts w:ascii="Times New Roman" w:hAnsi="Times New Roman"/>
          <w:color w:val="auto"/>
          <w:sz w:val="24"/>
        </w:rPr>
        <w:t>本项目生活污水pH值、化学需氧量、总磷、氨氮、动植物油类、悬浮物、石油类排放浓度满足德清富春紫光水务有限公司污水接管标准，pH限值为6-9，化学需氧量浓度限值≤500mg/L，总磷浓度限值≤8mg/L，氨氮浓度限值≤35mg/L，动植物油类浓度限值≤100mg/L，悬浮物浓度限值≤400mg/L，石油类浓度限值≤20mg/L。</w:t>
      </w:r>
    </w:p>
    <w:p>
      <w:pPr>
        <w:spacing w:line="360" w:lineRule="auto"/>
        <w:ind w:firstLine="480" w:firstLineChars="200"/>
        <w:rPr>
          <w:kern w:val="0"/>
          <w:sz w:val="24"/>
          <w:szCs w:val="24"/>
        </w:rPr>
      </w:pPr>
      <w:r>
        <w:rPr>
          <w:sz w:val="24"/>
          <w:szCs w:val="24"/>
        </w:rPr>
        <w:t>（2）</w:t>
      </w:r>
      <w:r>
        <w:rPr>
          <w:kern w:val="0"/>
          <w:sz w:val="24"/>
          <w:szCs w:val="24"/>
        </w:rPr>
        <w:t>废气污染物排放评价</w:t>
      </w:r>
    </w:p>
    <w:p>
      <w:pPr>
        <w:pStyle w:val="9"/>
        <w:spacing w:line="360" w:lineRule="auto"/>
        <w:ind w:left="0"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由检测结果</w:t>
      </w:r>
      <w:r>
        <w:rPr>
          <w:rFonts w:ascii="Times New Roman" w:hAnsi="Times New Roman"/>
          <w:color w:val="auto"/>
          <w:sz w:val="24"/>
          <w:szCs w:val="24"/>
        </w:rPr>
        <w:t>可知，本项目</w:t>
      </w:r>
      <w:r>
        <w:rPr>
          <w:rFonts w:ascii="Times New Roman" w:hAnsi="Times New Roman"/>
          <w:color w:val="auto"/>
          <w:sz w:val="24"/>
        </w:rPr>
        <w:t>焊接烟尘中的颗粒物、</w:t>
      </w:r>
      <w:r>
        <w:rPr>
          <w:rFonts w:ascii="Times New Roman" w:hAnsi="Times New Roman"/>
          <w:color w:val="auto"/>
          <w:sz w:val="24"/>
          <w:szCs w:val="22"/>
        </w:rPr>
        <w:t>涂胶废气中的非甲烷总烃有组织排放浓度满足</w:t>
      </w:r>
      <w:r>
        <w:rPr>
          <w:rFonts w:ascii="Times New Roman" w:hAnsi="Times New Roman"/>
          <w:color w:val="auto"/>
          <w:sz w:val="24"/>
        </w:rPr>
        <w:t>《大气污染物综合排放标准》（GB16297-1996）表2中</w:t>
      </w:r>
      <w:r>
        <w:rPr>
          <w:rFonts w:hint="eastAsia" w:ascii="Times New Roman" w:hAnsi="Times New Roman"/>
          <w:color w:val="auto"/>
          <w:sz w:val="24"/>
        </w:rPr>
        <w:t>“</w:t>
      </w:r>
      <w:r>
        <w:rPr>
          <w:rFonts w:ascii="Times New Roman" w:hAnsi="Times New Roman"/>
          <w:color w:val="auto"/>
          <w:sz w:val="24"/>
        </w:rPr>
        <w:t>新污染源、二级标准</w:t>
      </w:r>
      <w:r>
        <w:rPr>
          <w:rFonts w:hint="eastAsia" w:ascii="Times New Roman" w:hAnsi="Times New Roman"/>
          <w:color w:val="auto"/>
          <w:sz w:val="24"/>
        </w:rPr>
        <w:t>”</w:t>
      </w:r>
      <w:r>
        <w:rPr>
          <w:rFonts w:ascii="Times New Roman" w:hAnsi="Times New Roman"/>
          <w:color w:val="auto"/>
          <w:sz w:val="24"/>
        </w:rPr>
        <w:t>；食堂油烟废气有组织排放浓度满足《饮食业油烟排放标准（试行）》（GB18483-2001）中的标准。</w:t>
      </w:r>
    </w:p>
    <w:p>
      <w:pPr>
        <w:pStyle w:val="9"/>
        <w:spacing w:line="360" w:lineRule="auto"/>
        <w:ind w:left="0" w:firstLine="480" w:firstLineChars="200"/>
        <w:rPr>
          <w:rFonts w:ascii="Times New Roman" w:hAns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</w:rPr>
        <w:t>由检测结果可知，</w:t>
      </w:r>
      <w:r>
        <w:rPr>
          <w:rFonts w:ascii="Times New Roman" w:hAnsi="Times New Roman"/>
          <w:color w:val="auto"/>
          <w:sz w:val="24"/>
        </w:rPr>
        <w:t>本项目厂界非甲烷总烃无组织排放浓度满足《大气污染物综合排放标准》（GB16297-1996）表2中的无组织排放监控浓度限值标准，非甲烷总烃厂区内无组织排放浓度满足《挥发性有机物无组织排放控制标准》（GB37822-2019）表A.1中</w:t>
      </w:r>
      <w:r>
        <w:rPr>
          <w:rFonts w:ascii="Times New Roman" w:hAnsi="Times New Roman"/>
          <w:color w:val="auto"/>
          <w:sz w:val="24"/>
          <w:szCs w:val="22"/>
        </w:rPr>
        <w:t>厂区内VOCs 无组织排放限值中的特别排放限值</w:t>
      </w:r>
      <w:r>
        <w:rPr>
          <w:rFonts w:ascii="Times New Roman" w:hAnsi="Times New Roman"/>
          <w:color w:val="auto"/>
          <w:sz w:val="24"/>
        </w:rPr>
        <w:t>；颗粒物无组织排放浓度满足《</w:t>
      </w:r>
      <w:r>
        <w:rPr>
          <w:rFonts w:ascii="Times New Roman" w:hAnsi="Times New Roman"/>
          <w:color w:val="auto"/>
          <w:sz w:val="24"/>
          <w:lang w:val="zh-CN"/>
        </w:rPr>
        <w:t>大气污染物综合排放标准》</w:t>
      </w:r>
      <w:r>
        <w:rPr>
          <w:rFonts w:hint="eastAsia" w:ascii="Times New Roman" w:hAnsi="Times New Roman"/>
          <w:color w:val="auto"/>
          <w:sz w:val="24"/>
          <w:lang w:val="zh-CN"/>
        </w:rPr>
        <w:t>（</w:t>
      </w:r>
      <w:r>
        <w:rPr>
          <w:rFonts w:ascii="Times New Roman" w:hAnsi="Times New Roman"/>
          <w:color w:val="auto"/>
          <w:sz w:val="24"/>
          <w:lang w:val="zh-CN"/>
        </w:rPr>
        <w:t>GB16297-1996</w:t>
      </w:r>
      <w:r>
        <w:rPr>
          <w:rFonts w:hint="eastAsia" w:ascii="Times New Roman" w:hAnsi="Times New Roman"/>
          <w:color w:val="auto"/>
          <w:sz w:val="24"/>
          <w:lang w:val="zh-CN"/>
        </w:rPr>
        <w:t>）</w:t>
      </w:r>
      <w:r>
        <w:rPr>
          <w:rFonts w:ascii="Times New Roman" w:hAnsi="Times New Roman"/>
          <w:color w:val="auto"/>
          <w:sz w:val="24"/>
          <w:lang w:val="zh-CN"/>
        </w:rPr>
        <w:t>表2中无组织排放监控浓度限值。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zh-CN"/>
        </w:rPr>
        <w:t>敏感点非甲烷总烃</w:t>
      </w:r>
      <w:r>
        <w:rPr>
          <w:rFonts w:hint="eastAsia"/>
          <w:sz w:val="24"/>
          <w:szCs w:val="24"/>
        </w:rPr>
        <w:t>浓度</w:t>
      </w:r>
      <w:r>
        <w:rPr>
          <w:rFonts w:hint="eastAsia"/>
          <w:sz w:val="24"/>
          <w:szCs w:val="24"/>
          <w:lang w:val="zh-CN"/>
        </w:rPr>
        <w:t>满足《大气污染物综合排放标准详解》中的标准；</w:t>
      </w:r>
      <w:r>
        <w:rPr>
          <w:sz w:val="24"/>
          <w:szCs w:val="24"/>
        </w:rPr>
        <w:t>可吸入颗粒物（PM</w:t>
      </w:r>
      <w:r>
        <w:rPr>
          <w:sz w:val="24"/>
          <w:szCs w:val="24"/>
          <w:vertAlign w:val="subscript"/>
        </w:rPr>
        <w:t>10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浓度</w:t>
      </w:r>
      <w:r>
        <w:rPr>
          <w:rFonts w:hint="eastAsia"/>
          <w:sz w:val="24"/>
          <w:szCs w:val="24"/>
          <w:lang w:val="zh-CN"/>
        </w:rPr>
        <w:t>满足《环境空气质量标准》（GB3095-2012）中的二级标准。</w:t>
      </w:r>
    </w:p>
    <w:p>
      <w:pPr>
        <w:pStyle w:val="12"/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（</w:t>
      </w:r>
      <w:r>
        <w:rPr>
          <w:rFonts w:ascii="Times New Roman" w:hAnsi="Times New Roman"/>
          <w:kern w:val="0"/>
          <w:sz w:val="24"/>
        </w:rPr>
        <w:t>3）</w:t>
      </w:r>
      <w:r>
        <w:rPr>
          <w:rFonts w:ascii="Times New Roman" w:hAnsi="Times New Roman"/>
          <w:sz w:val="24"/>
        </w:rPr>
        <w:t>噪声污染物排放评价</w:t>
      </w:r>
    </w:p>
    <w:p>
      <w:pPr>
        <w:pStyle w:val="9"/>
        <w:spacing w:line="360" w:lineRule="auto"/>
        <w:ind w:left="0"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由检测结果可知，本项目厂界昼间噪声排放满足《工业企业厂界环境噪声排放标准》（GB12348-2008）中的3类标准。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kern w:val="0"/>
          <w:sz w:val="24"/>
          <w:szCs w:val="24"/>
        </w:rPr>
        <w:t>（4）污染物排放总量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项目涉及总量控制污染物为COD</w:t>
      </w:r>
      <w:r>
        <w:rPr>
          <w:sz w:val="24"/>
          <w:szCs w:val="24"/>
          <w:vertAlign w:val="subscript"/>
        </w:rPr>
        <w:t>Cr</w:t>
      </w:r>
      <w:r>
        <w:rPr>
          <w:sz w:val="24"/>
          <w:szCs w:val="24"/>
        </w:rPr>
        <w:t>、NH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-N、挥发性有机物（VOCs）和工业粉尘四项。</w:t>
      </w:r>
    </w:p>
    <w:p>
      <w:pPr>
        <w:pStyle w:val="9"/>
        <w:spacing w:line="360" w:lineRule="auto"/>
        <w:ind w:left="0"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= 1 \* GB3 \* MERGEFORMAT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①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废水</w:t>
      </w:r>
    </w:p>
    <w:p>
      <w:pPr>
        <w:pStyle w:val="9"/>
        <w:spacing w:line="360" w:lineRule="auto"/>
        <w:ind w:left="0" w:firstLine="480" w:firstLineChars="200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z w:val="24"/>
          <w:szCs w:val="24"/>
        </w:rPr>
        <w:t>根据原环评文件，本项目废水中纳入总量控制的指标为水量、COD</w:t>
      </w:r>
      <w:r>
        <w:rPr>
          <w:rFonts w:ascii="Times New Roman" w:hAnsi="Times New Roman"/>
          <w:sz w:val="24"/>
          <w:szCs w:val="24"/>
          <w:vertAlign w:val="subscript"/>
        </w:rPr>
        <w:t>Cr</w:t>
      </w:r>
      <w:r>
        <w:rPr>
          <w:rFonts w:ascii="Times New Roman" w:hAnsi="Times New Roman"/>
          <w:sz w:val="24"/>
          <w:szCs w:val="24"/>
        </w:rPr>
        <w:t>、NH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-N。本项目厕所冲洗水经化粪池预处理、食堂废水经隔油池隔油预处理达到纳管标准后，纳管至</w:t>
      </w:r>
      <w:r>
        <w:rPr>
          <w:rStyle w:val="24"/>
          <w:rFonts w:ascii="Times New Roman" w:hAnsi="Times New Roman"/>
          <w:b w:val="0"/>
          <w:sz w:val="24"/>
          <w:szCs w:val="24"/>
        </w:rPr>
        <w:t>德清富春紫光水务有限公司集中</w:t>
      </w:r>
      <w:r>
        <w:rPr>
          <w:rFonts w:ascii="Times New Roman" w:hAnsi="Times New Roman"/>
          <w:sz w:val="24"/>
          <w:szCs w:val="24"/>
        </w:rPr>
        <w:t>处</w:t>
      </w:r>
      <w:r>
        <w:rPr>
          <w:rStyle w:val="24"/>
          <w:rFonts w:ascii="Times New Roman" w:hAnsi="Times New Roman"/>
          <w:b w:val="0"/>
          <w:bCs w:val="0"/>
          <w:sz w:val="24"/>
          <w:szCs w:val="24"/>
        </w:rPr>
        <w:t>理，其排放量为</w:t>
      </w:r>
      <w:r>
        <w:rPr>
          <w:rStyle w:val="24"/>
          <w:rFonts w:hint="eastAsia" w:ascii="Times New Roman" w:hAnsi="Times New Roman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1327</w:t>
      </w:r>
      <w:r>
        <w:rPr>
          <w:rStyle w:val="24"/>
          <w:rFonts w:ascii="Times New Roman" w:hAnsi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t/a。德</w:t>
      </w:r>
      <w:r>
        <w:rPr>
          <w:rStyle w:val="24"/>
          <w:rFonts w:ascii="Times New Roman" w:hAnsi="Times New Roman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清富春紫光水务有限公司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中化学需氧量、氨氮执行《城镇污水处理厂污染物排放标准》（GB18918-2002）一级标准中的A标准，则排入自然水体的主要污染物</w:t>
      </w:r>
      <w:r>
        <w:rPr>
          <w:rFonts w:ascii="Times New Roman" w:hAnsi="Times New Roman"/>
          <w:color w:val="000000" w:themeColor="text1"/>
          <w:spacing w:val="4"/>
          <w:sz w:val="24"/>
          <w:szCs w:val="24"/>
          <w14:textFill>
            <w14:solidFill>
              <w14:schemeClr w14:val="tx1"/>
            </w14:solidFill>
          </w14:textFill>
        </w:rPr>
        <w:t>COD</w:t>
      </w:r>
      <w:r>
        <w:rPr>
          <w:rFonts w:ascii="Times New Roman" w:hAnsi="Times New Roman"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Cr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Times New Roman" w:hAnsi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0.066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t/a、氨氮为0.0</w:t>
      </w:r>
      <w:r>
        <w:rPr>
          <w:rFonts w:hint="eastAsia" w:ascii="Times New Roman" w:hAnsi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07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t/a。</w:t>
      </w:r>
    </w:p>
    <w:p>
      <w:pPr>
        <w:pStyle w:val="9"/>
        <w:spacing w:line="360" w:lineRule="auto"/>
        <w:ind w:left="0"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②废气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根据原环评文件，本项目废气中纳入总量控制的指标为挥发性有机物（VOCs）和工业粉尘。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本项目角铁法兰在加工过程中需要进行焊接加工，</w:t>
      </w:r>
      <w:r>
        <w:rPr>
          <w:rFonts w:hint="eastAsia" w:ascii="Times New Roman" w:hAnsi="Times New Roman"/>
          <w:color w:val="auto"/>
          <w:sz w:val="24"/>
          <w:lang w:val="en-US" w:eastAsia="zh-CN"/>
        </w:rPr>
        <w:t>设置3个焊接工位，三工位同时生产</w:t>
      </w:r>
      <w:r>
        <w:rPr>
          <w:rFonts w:ascii="Times New Roman" w:hAnsi="Times New Roman"/>
          <w:color w:val="auto"/>
          <w:sz w:val="24"/>
        </w:rPr>
        <w:t>满负荷</w:t>
      </w:r>
      <w:r>
        <w:rPr>
          <w:rFonts w:hint="eastAsia" w:ascii="Times New Roman" w:hAnsi="Times New Roman"/>
          <w:color w:val="auto"/>
          <w:sz w:val="24"/>
          <w:lang w:val="en-US" w:eastAsia="zh-CN"/>
        </w:rPr>
        <w:t>状态下</w:t>
      </w:r>
      <w:r>
        <w:rPr>
          <w:rFonts w:ascii="Times New Roman" w:hAnsi="Times New Roman"/>
          <w:color w:val="auto"/>
          <w:sz w:val="24"/>
        </w:rPr>
        <w:t>年工作时间为</w:t>
      </w:r>
      <w:r>
        <w:rPr>
          <w:rFonts w:hint="eastAsia" w:ascii="Times New Roman" w:hAnsi="Times New Roman"/>
          <w:color w:val="auto"/>
          <w:sz w:val="24"/>
        </w:rPr>
        <w:t>825</w:t>
      </w:r>
      <w:r>
        <w:rPr>
          <w:rFonts w:ascii="Times New Roman" w:hAnsi="Times New Roman"/>
          <w:color w:val="auto"/>
          <w:sz w:val="24"/>
        </w:rPr>
        <w:t>h，焊接烟尘废气经布袋除尘装置处理后，根据检测结果可知，颗粒物浓度低于检出限，故颗粒物排放量=排放速率×年工作时间=1/2×1/2（0.087+0.087）×</w:t>
      </w:r>
      <w:r>
        <w:rPr>
          <w:rFonts w:hint="eastAsia" w:ascii="Times New Roman" w:hAnsi="Times New Roman"/>
          <w:color w:val="auto"/>
          <w:sz w:val="24"/>
        </w:rPr>
        <w:t>825</w:t>
      </w:r>
      <w:r>
        <w:rPr>
          <w:rFonts w:ascii="Times New Roman" w:hAnsi="Times New Roman"/>
          <w:color w:val="auto"/>
          <w:sz w:val="24"/>
        </w:rPr>
        <w:t>×10</w:t>
      </w:r>
      <w:r>
        <w:rPr>
          <w:rFonts w:ascii="Times New Roman" w:hAnsi="Times New Roman"/>
          <w:color w:val="auto"/>
          <w:sz w:val="24"/>
          <w:vertAlign w:val="superscript"/>
        </w:rPr>
        <w:t>-3</w:t>
      </w:r>
      <w:r>
        <w:rPr>
          <w:rFonts w:ascii="Times New Roman" w:hAnsi="Times New Roman"/>
          <w:color w:val="auto"/>
          <w:sz w:val="24"/>
        </w:rPr>
        <w:t>=</w:t>
      </w:r>
      <w:r>
        <w:rPr>
          <w:rFonts w:hint="eastAsia" w:ascii="Times New Roman" w:hAnsi="Times New Roman"/>
          <w:color w:val="auto"/>
          <w:sz w:val="24"/>
        </w:rPr>
        <w:t>0.036</w:t>
      </w:r>
      <w:r>
        <w:rPr>
          <w:rFonts w:ascii="Times New Roman" w:hAnsi="Times New Roman"/>
          <w:color w:val="auto"/>
          <w:sz w:val="24"/>
        </w:rPr>
        <w:t>t。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本项目复合、拼接工序满负荷年工作时间为2400h，涂胶废气经收集后通过一套二级活性炭吸附装置处理后，非甲烷总烃排放量=排放速率×年工作时间=1/2（8.12×10</w:t>
      </w:r>
      <w:r>
        <w:rPr>
          <w:rFonts w:ascii="Times New Roman" w:hAnsi="Times New Roman"/>
          <w:color w:val="auto"/>
          <w:sz w:val="24"/>
          <w:vertAlign w:val="superscript"/>
        </w:rPr>
        <w:t>-4</w:t>
      </w:r>
      <w:r>
        <w:rPr>
          <w:rFonts w:ascii="Times New Roman" w:hAnsi="Times New Roman"/>
          <w:color w:val="auto"/>
          <w:sz w:val="24"/>
        </w:rPr>
        <w:t>+8.21×10</w:t>
      </w:r>
      <w:r>
        <w:rPr>
          <w:rFonts w:ascii="Times New Roman" w:hAnsi="Times New Roman"/>
          <w:color w:val="auto"/>
          <w:sz w:val="24"/>
          <w:vertAlign w:val="superscript"/>
        </w:rPr>
        <w:t>-4</w:t>
      </w:r>
      <w:r>
        <w:rPr>
          <w:rFonts w:ascii="Times New Roman" w:hAnsi="Times New Roman"/>
          <w:color w:val="auto"/>
          <w:sz w:val="24"/>
        </w:rPr>
        <w:t>）×2400×10</w:t>
      </w:r>
      <w:r>
        <w:rPr>
          <w:rFonts w:ascii="Times New Roman" w:hAnsi="Times New Roman"/>
          <w:color w:val="auto"/>
          <w:sz w:val="24"/>
          <w:vertAlign w:val="superscript"/>
        </w:rPr>
        <w:t>-3</w:t>
      </w:r>
      <w:r>
        <w:rPr>
          <w:rFonts w:ascii="Times New Roman" w:hAnsi="Times New Roman"/>
          <w:color w:val="auto"/>
          <w:sz w:val="24"/>
        </w:rPr>
        <w:t>=0.002t。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color w:val="auto"/>
          <w:sz w:val="24"/>
          <w:szCs w:val="24"/>
        </w:rPr>
        <w:t>根据项目的生产情况和验收监测结果，核算实际主要污染物排放总量控制指</w:t>
      </w:r>
      <w:r>
        <w:rPr>
          <w:sz w:val="24"/>
          <w:szCs w:val="24"/>
        </w:rPr>
        <w:t>标COD</w:t>
      </w:r>
      <w:r>
        <w:rPr>
          <w:sz w:val="24"/>
          <w:szCs w:val="24"/>
          <w:vertAlign w:val="subscript"/>
        </w:rPr>
        <w:t>Cr</w:t>
      </w:r>
      <w:r>
        <w:rPr>
          <w:sz w:val="24"/>
          <w:szCs w:val="24"/>
        </w:rPr>
        <w:t>、NH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-N、挥发性有机物（VOCs）和工业粉尘排放总量，具体见下表。</w:t>
      </w:r>
    </w:p>
    <w:p>
      <w:pPr>
        <w:pStyle w:val="9"/>
        <w:jc w:val="center"/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/>
          <w:b/>
          <w:bCs/>
          <w:szCs w:val="21"/>
        </w:rPr>
        <w:t>表</w:t>
      </w:r>
      <w:r>
        <w:rPr>
          <w:rFonts w:hint="eastAsia" w:ascii="Times New Roman" w:hAnsi="Times New Roman"/>
          <w:b/>
          <w:bCs/>
          <w:szCs w:val="21"/>
        </w:rPr>
        <w:t>1</w:t>
      </w:r>
      <w:r>
        <w:rPr>
          <w:rFonts w:ascii="Times New Roman" w:hAnsi="Times New Roman"/>
          <w:b/>
          <w:bCs/>
          <w:szCs w:val="21"/>
        </w:rPr>
        <w:t xml:space="preserve">  本项目实际污染物排放总量控制指标核算表</w:t>
      </w:r>
    </w:p>
    <w:tbl>
      <w:tblPr>
        <w:tblStyle w:val="21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7"/>
        <w:gridCol w:w="2321"/>
        <w:gridCol w:w="2321"/>
        <w:gridCol w:w="2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9" w:type="pct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Cs w:val="21"/>
              </w:rPr>
              <w:t>类别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Cs w:val="21"/>
              </w:rPr>
              <w:t>总量控制指标名称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Cs w:val="21"/>
              </w:rPr>
              <w:t>审批排放量</w:t>
            </w:r>
          </w:p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Cs w:val="21"/>
              </w:rPr>
              <w:t>（t/a）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Cs w:val="21"/>
              </w:rPr>
              <w:t>实际排放量</w:t>
            </w:r>
          </w:p>
          <w:p>
            <w:pPr>
              <w:jc w:val="center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Cs w:val="21"/>
              </w:rPr>
              <w:t>（t/a）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9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废水</w:t>
            </w:r>
          </w:p>
        </w:tc>
        <w:tc>
          <w:tcPr>
            <w:tcW w:w="1250" w:type="pct"/>
            <w:vAlign w:val="center"/>
          </w:tcPr>
          <w:p>
            <w:pPr>
              <w:tabs>
                <w:tab w:val="left" w:pos="4830"/>
              </w:tabs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水量</w:t>
            </w:r>
          </w:p>
        </w:tc>
        <w:tc>
          <w:tcPr>
            <w:tcW w:w="1250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2640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132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9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250" w:type="pct"/>
            <w:vAlign w:val="center"/>
          </w:tcPr>
          <w:p>
            <w:pPr>
              <w:tabs>
                <w:tab w:val="left" w:pos="4830"/>
              </w:tabs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COD</w:t>
            </w:r>
            <w:r>
              <w:rPr>
                <w:rFonts w:ascii="Times New Roman" w:hAnsi="Times New Roman"/>
                <w:color w:val="auto"/>
                <w:kern w:val="0"/>
                <w:szCs w:val="21"/>
                <w:vertAlign w:val="subscript"/>
              </w:rPr>
              <w:t>Cr</w:t>
            </w:r>
          </w:p>
        </w:tc>
        <w:tc>
          <w:tcPr>
            <w:tcW w:w="1250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0.132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0.066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9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250" w:type="pct"/>
            <w:vAlign w:val="center"/>
          </w:tcPr>
          <w:p>
            <w:pPr>
              <w:tabs>
                <w:tab w:val="left" w:pos="4830"/>
              </w:tabs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NH</w:t>
            </w:r>
            <w:r>
              <w:rPr>
                <w:rFonts w:ascii="Times New Roman" w:hAnsi="Times New Roman"/>
                <w:color w:val="auto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-N</w:t>
            </w:r>
          </w:p>
        </w:tc>
        <w:tc>
          <w:tcPr>
            <w:tcW w:w="1250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0.013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0.007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9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废气</w:t>
            </w:r>
          </w:p>
        </w:tc>
        <w:tc>
          <w:tcPr>
            <w:tcW w:w="1250" w:type="pct"/>
            <w:vAlign w:val="center"/>
          </w:tcPr>
          <w:p>
            <w:pPr>
              <w:tabs>
                <w:tab w:val="left" w:pos="4830"/>
              </w:tabs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VOCs</w:t>
            </w:r>
          </w:p>
          <w:p>
            <w:pPr>
              <w:tabs>
                <w:tab w:val="left" w:pos="4830"/>
              </w:tabs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（有组织）</w:t>
            </w:r>
          </w:p>
        </w:tc>
        <w:tc>
          <w:tcPr>
            <w:tcW w:w="1250" w:type="pct"/>
            <w:vAlign w:val="center"/>
          </w:tcPr>
          <w:p>
            <w:pPr>
              <w:tabs>
                <w:tab w:val="left" w:pos="4830"/>
              </w:tabs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0.026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9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250" w:type="pct"/>
            <w:vAlign w:val="center"/>
          </w:tcPr>
          <w:p>
            <w:pPr>
              <w:tabs>
                <w:tab w:val="left" w:pos="4830"/>
              </w:tabs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工业烟粉尘</w:t>
            </w:r>
          </w:p>
          <w:p>
            <w:pPr>
              <w:tabs>
                <w:tab w:val="left" w:pos="4830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（有组织）</w:t>
            </w:r>
          </w:p>
        </w:tc>
        <w:tc>
          <w:tcPr>
            <w:tcW w:w="1250" w:type="pct"/>
            <w:vAlign w:val="center"/>
          </w:tcPr>
          <w:p>
            <w:pPr>
              <w:tabs>
                <w:tab w:val="left" w:pos="4830"/>
              </w:tabs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0.041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0.036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注：验收监测期间，生产负荷为100%。</w:t>
            </w:r>
          </w:p>
        </w:tc>
      </w:tr>
    </w:tbl>
    <w:p>
      <w:pPr>
        <w:spacing w:line="360" w:lineRule="auto"/>
        <w:ind w:firstLine="482" w:firstLineChars="200"/>
        <w:outlineLvl w:val="0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五</w:t>
      </w:r>
      <w:r>
        <w:rPr>
          <w:b/>
          <w:kern w:val="0"/>
          <w:sz w:val="24"/>
          <w:szCs w:val="24"/>
        </w:rPr>
        <w:t>、验收结论</w:t>
      </w:r>
    </w:p>
    <w:p>
      <w:pPr>
        <w:spacing w:line="360" w:lineRule="auto"/>
        <w:ind w:firstLine="480" w:firstLineChars="20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依据《建设项目竣工环境保护验收暂行办法》、《验收监测报告表》等资料及环境保护设施现场检查情况，</w:t>
      </w:r>
      <w:r>
        <w:rPr>
          <w:rFonts w:hint="eastAsia"/>
          <w:kern w:val="0"/>
          <w:sz w:val="24"/>
          <w:szCs w:val="24"/>
          <w:lang w:eastAsia="zh-CN"/>
        </w:rPr>
        <w:t>浙江日鑫自动化系统有限公司浙江日鑫自动化年产1000套环保设备项目</w:t>
      </w:r>
      <w:r>
        <w:rPr>
          <w:kern w:val="0"/>
          <w:sz w:val="24"/>
          <w:szCs w:val="24"/>
        </w:rPr>
        <w:t>环保手续齐全，污染防治措施基本按照环评及批复要求落实；经验收监测，废气、废水、噪声能做到达标排放，固体废物能得到妥善处置，因此该项目符合申请建设项目竣工环境保护自主验收条件项目，不存在《建设项目竣工环境保护验收暂行办法》第八条中所列验收不合格的情形，符合符合竣工环境保护验收条件，验收结论为合格。</w:t>
      </w:r>
    </w:p>
    <w:p>
      <w:pPr>
        <w:spacing w:line="360" w:lineRule="auto"/>
        <w:ind w:firstLine="482" w:firstLineChars="200"/>
        <w:outlineLvl w:val="0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六</w:t>
      </w:r>
      <w:r>
        <w:rPr>
          <w:b/>
          <w:kern w:val="0"/>
          <w:sz w:val="24"/>
          <w:szCs w:val="24"/>
        </w:rPr>
        <w:t>、后续要求</w:t>
      </w:r>
    </w:p>
    <w:p>
      <w:pPr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（一）完善生产设施和环保设施标识标牌，完善企业环保管理制度，完善各类台账建设。</w:t>
      </w:r>
    </w:p>
    <w:p>
      <w:pPr>
        <w:spacing w:line="360" w:lineRule="auto"/>
        <w:ind w:firstLine="480" w:firstLineChars="200"/>
        <w:rPr>
          <w:kern w:val="0"/>
          <w:sz w:val="24"/>
        </w:rPr>
      </w:pPr>
      <w:r>
        <w:rPr>
          <w:kern w:val="0"/>
          <w:sz w:val="24"/>
        </w:rPr>
        <w:t>（二）进一步加强对有机废气处理设施的日常管理和维护，定期更换活性炭，并足量填充高碘值活性炭，确保长期稳定达标排放。</w:t>
      </w:r>
    </w:p>
    <w:p>
      <w:pPr>
        <w:spacing w:line="360" w:lineRule="auto"/>
        <w:ind w:firstLine="482" w:firstLineChars="200"/>
        <w:outlineLvl w:val="0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七</w:t>
      </w:r>
      <w:r>
        <w:rPr>
          <w:b/>
          <w:kern w:val="0"/>
          <w:sz w:val="24"/>
          <w:szCs w:val="24"/>
        </w:rPr>
        <w:t>、验收人员信息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验收工作组成员名单及信息附后。</w:t>
      </w:r>
      <w:bookmarkStart w:id="3" w:name="_GoBack"/>
      <w:bookmarkEnd w:id="3"/>
    </w:p>
    <w:p>
      <w:pPr>
        <w:spacing w:line="360" w:lineRule="auto"/>
        <w:ind w:firstLine="480" w:firstLineChars="200"/>
        <w:jc w:val="right"/>
        <w:rPr>
          <w:rFonts w:hint="eastAsia" w:eastAsia="宋体"/>
          <w:kern w:val="0"/>
          <w:sz w:val="24"/>
          <w:szCs w:val="24"/>
          <w:lang w:eastAsia="zh-CN"/>
        </w:rPr>
      </w:pPr>
      <w:r>
        <w:rPr>
          <w:rFonts w:hint="eastAsia"/>
          <w:kern w:val="0"/>
          <w:sz w:val="24"/>
          <w:szCs w:val="24"/>
          <w:lang w:eastAsia="zh-CN"/>
        </w:rPr>
        <w:t>浙江日鑫自动化系统有限公司</w:t>
      </w:r>
    </w:p>
    <w:p>
      <w:pPr>
        <w:spacing w:line="360" w:lineRule="auto"/>
        <w:ind w:firstLine="480" w:firstLineChars="200"/>
        <w:jc w:val="righ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2023年</w:t>
      </w:r>
      <w:r>
        <w:rPr>
          <w:rFonts w:hint="eastAsia"/>
          <w:kern w:val="0"/>
          <w:sz w:val="24"/>
          <w:szCs w:val="24"/>
        </w:rPr>
        <w:t>1</w:t>
      </w:r>
      <w:r>
        <w:rPr>
          <w:rFonts w:hint="eastAsia"/>
          <w:kern w:val="0"/>
          <w:sz w:val="24"/>
          <w:szCs w:val="24"/>
          <w:lang w:val="en-US" w:eastAsia="zh-CN"/>
        </w:rPr>
        <w:t>1</w:t>
      </w:r>
      <w:r>
        <w:rPr>
          <w:kern w:val="0"/>
          <w:sz w:val="24"/>
          <w:szCs w:val="24"/>
        </w:rPr>
        <w:t>月</w:t>
      </w:r>
      <w:r>
        <w:rPr>
          <w:rFonts w:hint="eastAsia"/>
          <w:kern w:val="0"/>
          <w:sz w:val="24"/>
          <w:szCs w:val="24"/>
          <w:lang w:val="en-US" w:eastAsia="zh-CN"/>
        </w:rPr>
        <w:t>17</w:t>
      </w:r>
      <w:r>
        <w:rPr>
          <w:kern w:val="0"/>
          <w:sz w:val="24"/>
          <w:szCs w:val="24"/>
        </w:rPr>
        <w:t>日</w:t>
      </w:r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4FA361"/>
    <w:multiLevelType w:val="singleLevel"/>
    <w:tmpl w:val="644FA361"/>
    <w:lvl w:ilvl="0" w:tentative="0">
      <w:start w:val="1"/>
      <w:numFmt w:val="lowerLetter"/>
      <w:suff w:val="nothing"/>
      <w:lvlText w:val="%1）"/>
      <w:lvlJc w:val="left"/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RmMjBjMGMwNDc5Y2Y5NDNjZGUyZmE4MTcxYzUzNGUifQ=="/>
  </w:docVars>
  <w:rsids>
    <w:rsidRoot w:val="00831017"/>
    <w:rsid w:val="00000B47"/>
    <w:rsid w:val="000061D1"/>
    <w:rsid w:val="0001397B"/>
    <w:rsid w:val="00015349"/>
    <w:rsid w:val="00016531"/>
    <w:rsid w:val="00017D8F"/>
    <w:rsid w:val="00022599"/>
    <w:rsid w:val="000236D4"/>
    <w:rsid w:val="00030AA1"/>
    <w:rsid w:val="00033371"/>
    <w:rsid w:val="000345D4"/>
    <w:rsid w:val="00034622"/>
    <w:rsid w:val="0004001F"/>
    <w:rsid w:val="000414C5"/>
    <w:rsid w:val="0004218D"/>
    <w:rsid w:val="00043588"/>
    <w:rsid w:val="00043672"/>
    <w:rsid w:val="00046E04"/>
    <w:rsid w:val="00051BA4"/>
    <w:rsid w:val="000520E2"/>
    <w:rsid w:val="000522C0"/>
    <w:rsid w:val="0005293D"/>
    <w:rsid w:val="00052BF0"/>
    <w:rsid w:val="0006047F"/>
    <w:rsid w:val="00060E8A"/>
    <w:rsid w:val="00061244"/>
    <w:rsid w:val="000657F6"/>
    <w:rsid w:val="00066AAE"/>
    <w:rsid w:val="00067BEC"/>
    <w:rsid w:val="00071DA3"/>
    <w:rsid w:val="00074888"/>
    <w:rsid w:val="0007560F"/>
    <w:rsid w:val="00080A28"/>
    <w:rsid w:val="0008111F"/>
    <w:rsid w:val="00081651"/>
    <w:rsid w:val="00083C53"/>
    <w:rsid w:val="00083DD6"/>
    <w:rsid w:val="0008412C"/>
    <w:rsid w:val="000849D6"/>
    <w:rsid w:val="000853D1"/>
    <w:rsid w:val="000872F7"/>
    <w:rsid w:val="000875C2"/>
    <w:rsid w:val="00090811"/>
    <w:rsid w:val="000915DF"/>
    <w:rsid w:val="00093FE0"/>
    <w:rsid w:val="000940DA"/>
    <w:rsid w:val="00094EBC"/>
    <w:rsid w:val="00096681"/>
    <w:rsid w:val="0009748E"/>
    <w:rsid w:val="00097E86"/>
    <w:rsid w:val="00097EE3"/>
    <w:rsid w:val="000A059A"/>
    <w:rsid w:val="000A0E97"/>
    <w:rsid w:val="000A2751"/>
    <w:rsid w:val="000A509C"/>
    <w:rsid w:val="000A5627"/>
    <w:rsid w:val="000A6DA6"/>
    <w:rsid w:val="000B29A4"/>
    <w:rsid w:val="000B3274"/>
    <w:rsid w:val="000B3CEE"/>
    <w:rsid w:val="000B7484"/>
    <w:rsid w:val="000C0122"/>
    <w:rsid w:val="000C2288"/>
    <w:rsid w:val="000C3547"/>
    <w:rsid w:val="000C35CD"/>
    <w:rsid w:val="000C5345"/>
    <w:rsid w:val="000C6719"/>
    <w:rsid w:val="000C6BDB"/>
    <w:rsid w:val="000C6E16"/>
    <w:rsid w:val="000D059C"/>
    <w:rsid w:val="000D1777"/>
    <w:rsid w:val="000D1C62"/>
    <w:rsid w:val="000D2B68"/>
    <w:rsid w:val="000D6047"/>
    <w:rsid w:val="000D7E94"/>
    <w:rsid w:val="000E07F6"/>
    <w:rsid w:val="000E2BD1"/>
    <w:rsid w:val="000F15C3"/>
    <w:rsid w:val="000F1747"/>
    <w:rsid w:val="000F1D35"/>
    <w:rsid w:val="000F3363"/>
    <w:rsid w:val="000F4A7C"/>
    <w:rsid w:val="000F4FE9"/>
    <w:rsid w:val="000F5D22"/>
    <w:rsid w:val="000F79E7"/>
    <w:rsid w:val="00105C65"/>
    <w:rsid w:val="00111AD9"/>
    <w:rsid w:val="00112283"/>
    <w:rsid w:val="00112D55"/>
    <w:rsid w:val="001141CA"/>
    <w:rsid w:val="00115678"/>
    <w:rsid w:val="00116534"/>
    <w:rsid w:val="00117221"/>
    <w:rsid w:val="0012557A"/>
    <w:rsid w:val="00127E29"/>
    <w:rsid w:val="0013021D"/>
    <w:rsid w:val="001316D5"/>
    <w:rsid w:val="00132669"/>
    <w:rsid w:val="001335D0"/>
    <w:rsid w:val="001335E1"/>
    <w:rsid w:val="00137ADD"/>
    <w:rsid w:val="0014173B"/>
    <w:rsid w:val="0014645F"/>
    <w:rsid w:val="001506E9"/>
    <w:rsid w:val="00153E37"/>
    <w:rsid w:val="00155A09"/>
    <w:rsid w:val="001571BA"/>
    <w:rsid w:val="00160695"/>
    <w:rsid w:val="00164923"/>
    <w:rsid w:val="00164E0B"/>
    <w:rsid w:val="00164EDA"/>
    <w:rsid w:val="00166BC8"/>
    <w:rsid w:val="0017219F"/>
    <w:rsid w:val="00173419"/>
    <w:rsid w:val="001751A3"/>
    <w:rsid w:val="001760C9"/>
    <w:rsid w:val="00177319"/>
    <w:rsid w:val="00182647"/>
    <w:rsid w:val="001872C0"/>
    <w:rsid w:val="00190250"/>
    <w:rsid w:val="00190939"/>
    <w:rsid w:val="0019239C"/>
    <w:rsid w:val="00194B94"/>
    <w:rsid w:val="001A0B0B"/>
    <w:rsid w:val="001A1DA0"/>
    <w:rsid w:val="001A45D1"/>
    <w:rsid w:val="001A4C56"/>
    <w:rsid w:val="001A5F5F"/>
    <w:rsid w:val="001A659D"/>
    <w:rsid w:val="001B2008"/>
    <w:rsid w:val="001B23D7"/>
    <w:rsid w:val="001B4554"/>
    <w:rsid w:val="001B45CF"/>
    <w:rsid w:val="001B734F"/>
    <w:rsid w:val="001C128C"/>
    <w:rsid w:val="001C56B2"/>
    <w:rsid w:val="001D1A62"/>
    <w:rsid w:val="001D4B79"/>
    <w:rsid w:val="001D63DF"/>
    <w:rsid w:val="001E7B2F"/>
    <w:rsid w:val="001F3CD5"/>
    <w:rsid w:val="001F64A0"/>
    <w:rsid w:val="001F705A"/>
    <w:rsid w:val="0020040E"/>
    <w:rsid w:val="00203E04"/>
    <w:rsid w:val="00204DD0"/>
    <w:rsid w:val="00210BEE"/>
    <w:rsid w:val="00211B5D"/>
    <w:rsid w:val="00213411"/>
    <w:rsid w:val="00213792"/>
    <w:rsid w:val="0021621A"/>
    <w:rsid w:val="00217062"/>
    <w:rsid w:val="00220474"/>
    <w:rsid w:val="00223E1E"/>
    <w:rsid w:val="00226D05"/>
    <w:rsid w:val="002279F7"/>
    <w:rsid w:val="00227CF0"/>
    <w:rsid w:val="00230924"/>
    <w:rsid w:val="00231A26"/>
    <w:rsid w:val="00232802"/>
    <w:rsid w:val="0023356A"/>
    <w:rsid w:val="002349A1"/>
    <w:rsid w:val="00235466"/>
    <w:rsid w:val="002373AB"/>
    <w:rsid w:val="002417BC"/>
    <w:rsid w:val="0024423C"/>
    <w:rsid w:val="0024633E"/>
    <w:rsid w:val="00247119"/>
    <w:rsid w:val="002526E1"/>
    <w:rsid w:val="002550EB"/>
    <w:rsid w:val="00262142"/>
    <w:rsid w:val="00267184"/>
    <w:rsid w:val="002702F9"/>
    <w:rsid w:val="002729FF"/>
    <w:rsid w:val="00274D3C"/>
    <w:rsid w:val="00277395"/>
    <w:rsid w:val="00280F8E"/>
    <w:rsid w:val="00287877"/>
    <w:rsid w:val="00292B06"/>
    <w:rsid w:val="0029728F"/>
    <w:rsid w:val="0029782C"/>
    <w:rsid w:val="00297E7B"/>
    <w:rsid w:val="002A1A28"/>
    <w:rsid w:val="002A1B0A"/>
    <w:rsid w:val="002A4C3E"/>
    <w:rsid w:val="002A59BF"/>
    <w:rsid w:val="002A5D58"/>
    <w:rsid w:val="002B190C"/>
    <w:rsid w:val="002B2D46"/>
    <w:rsid w:val="002B398E"/>
    <w:rsid w:val="002B43AE"/>
    <w:rsid w:val="002C0A07"/>
    <w:rsid w:val="002C0B76"/>
    <w:rsid w:val="002C3541"/>
    <w:rsid w:val="002C3B6D"/>
    <w:rsid w:val="002C4624"/>
    <w:rsid w:val="002C5BF6"/>
    <w:rsid w:val="002C770B"/>
    <w:rsid w:val="002D2F0C"/>
    <w:rsid w:val="002D4C65"/>
    <w:rsid w:val="002D6A26"/>
    <w:rsid w:val="002E0704"/>
    <w:rsid w:val="002E1CF0"/>
    <w:rsid w:val="002E26C6"/>
    <w:rsid w:val="002E4892"/>
    <w:rsid w:val="002F015D"/>
    <w:rsid w:val="002F114E"/>
    <w:rsid w:val="003009A8"/>
    <w:rsid w:val="00300D02"/>
    <w:rsid w:val="00301760"/>
    <w:rsid w:val="00306CB7"/>
    <w:rsid w:val="00306FEB"/>
    <w:rsid w:val="003076A9"/>
    <w:rsid w:val="00313B6E"/>
    <w:rsid w:val="00316931"/>
    <w:rsid w:val="00316DC1"/>
    <w:rsid w:val="00321CE9"/>
    <w:rsid w:val="003226B7"/>
    <w:rsid w:val="003278F6"/>
    <w:rsid w:val="003348AC"/>
    <w:rsid w:val="00335111"/>
    <w:rsid w:val="00336F34"/>
    <w:rsid w:val="00336FDB"/>
    <w:rsid w:val="00337FF4"/>
    <w:rsid w:val="00340E5E"/>
    <w:rsid w:val="00341C86"/>
    <w:rsid w:val="00344F4A"/>
    <w:rsid w:val="003461E9"/>
    <w:rsid w:val="00354082"/>
    <w:rsid w:val="00357FF0"/>
    <w:rsid w:val="00360DAC"/>
    <w:rsid w:val="0036321E"/>
    <w:rsid w:val="00364E80"/>
    <w:rsid w:val="00367115"/>
    <w:rsid w:val="003721A5"/>
    <w:rsid w:val="00374533"/>
    <w:rsid w:val="00376AA8"/>
    <w:rsid w:val="00376E12"/>
    <w:rsid w:val="00381D5E"/>
    <w:rsid w:val="00381DED"/>
    <w:rsid w:val="003857A7"/>
    <w:rsid w:val="00385FE4"/>
    <w:rsid w:val="00387E1A"/>
    <w:rsid w:val="003944EC"/>
    <w:rsid w:val="003A4EFF"/>
    <w:rsid w:val="003B1018"/>
    <w:rsid w:val="003B2162"/>
    <w:rsid w:val="003B4D37"/>
    <w:rsid w:val="003D0156"/>
    <w:rsid w:val="003D0C56"/>
    <w:rsid w:val="003D1C72"/>
    <w:rsid w:val="003D5D35"/>
    <w:rsid w:val="003D7CD1"/>
    <w:rsid w:val="003E130F"/>
    <w:rsid w:val="003E4A19"/>
    <w:rsid w:val="003F1484"/>
    <w:rsid w:val="003F437E"/>
    <w:rsid w:val="003F712D"/>
    <w:rsid w:val="003F7EA5"/>
    <w:rsid w:val="00401182"/>
    <w:rsid w:val="0040481B"/>
    <w:rsid w:val="0040585C"/>
    <w:rsid w:val="00405AE2"/>
    <w:rsid w:val="00406ED9"/>
    <w:rsid w:val="00410B74"/>
    <w:rsid w:val="004135B5"/>
    <w:rsid w:val="004150FB"/>
    <w:rsid w:val="004200F5"/>
    <w:rsid w:val="0042480D"/>
    <w:rsid w:val="004259EB"/>
    <w:rsid w:val="00425B73"/>
    <w:rsid w:val="004278AC"/>
    <w:rsid w:val="0043255C"/>
    <w:rsid w:val="00435FE5"/>
    <w:rsid w:val="00437047"/>
    <w:rsid w:val="00437E7E"/>
    <w:rsid w:val="0044184C"/>
    <w:rsid w:val="00442DFE"/>
    <w:rsid w:val="00444757"/>
    <w:rsid w:val="00454291"/>
    <w:rsid w:val="0045470C"/>
    <w:rsid w:val="004550FA"/>
    <w:rsid w:val="00457F8F"/>
    <w:rsid w:val="0046102F"/>
    <w:rsid w:val="00463517"/>
    <w:rsid w:val="004711F6"/>
    <w:rsid w:val="0047487C"/>
    <w:rsid w:val="00477B23"/>
    <w:rsid w:val="00480AFE"/>
    <w:rsid w:val="00481C08"/>
    <w:rsid w:val="00486015"/>
    <w:rsid w:val="00486E55"/>
    <w:rsid w:val="004905CB"/>
    <w:rsid w:val="0049484B"/>
    <w:rsid w:val="00495E2A"/>
    <w:rsid w:val="00497566"/>
    <w:rsid w:val="00497D8C"/>
    <w:rsid w:val="004A202A"/>
    <w:rsid w:val="004A49DC"/>
    <w:rsid w:val="004B5E2F"/>
    <w:rsid w:val="004C26E5"/>
    <w:rsid w:val="004C425E"/>
    <w:rsid w:val="004C5766"/>
    <w:rsid w:val="004D09DF"/>
    <w:rsid w:val="004D2308"/>
    <w:rsid w:val="004D46A2"/>
    <w:rsid w:val="004D4A18"/>
    <w:rsid w:val="004D52AD"/>
    <w:rsid w:val="004D7CC2"/>
    <w:rsid w:val="004E29B9"/>
    <w:rsid w:val="004E2C77"/>
    <w:rsid w:val="004E3DF4"/>
    <w:rsid w:val="004E3F5F"/>
    <w:rsid w:val="004E6645"/>
    <w:rsid w:val="004E734E"/>
    <w:rsid w:val="004F3112"/>
    <w:rsid w:val="004F3F65"/>
    <w:rsid w:val="00500E9B"/>
    <w:rsid w:val="00503D5B"/>
    <w:rsid w:val="00505D0F"/>
    <w:rsid w:val="00513636"/>
    <w:rsid w:val="005146A8"/>
    <w:rsid w:val="00514BC2"/>
    <w:rsid w:val="00514ED6"/>
    <w:rsid w:val="00515788"/>
    <w:rsid w:val="00516F4B"/>
    <w:rsid w:val="00520CA9"/>
    <w:rsid w:val="005248F3"/>
    <w:rsid w:val="00531257"/>
    <w:rsid w:val="00541EDB"/>
    <w:rsid w:val="005440F4"/>
    <w:rsid w:val="0054455E"/>
    <w:rsid w:val="00552AC5"/>
    <w:rsid w:val="0055394A"/>
    <w:rsid w:val="00557C38"/>
    <w:rsid w:val="005609C7"/>
    <w:rsid w:val="00562526"/>
    <w:rsid w:val="0056255A"/>
    <w:rsid w:val="00562619"/>
    <w:rsid w:val="00564595"/>
    <w:rsid w:val="005649E9"/>
    <w:rsid w:val="005707B9"/>
    <w:rsid w:val="00570E70"/>
    <w:rsid w:val="00572044"/>
    <w:rsid w:val="0057600B"/>
    <w:rsid w:val="005770BE"/>
    <w:rsid w:val="005848FF"/>
    <w:rsid w:val="00587828"/>
    <w:rsid w:val="005918E0"/>
    <w:rsid w:val="00597ABF"/>
    <w:rsid w:val="005A021B"/>
    <w:rsid w:val="005A47B7"/>
    <w:rsid w:val="005A52D6"/>
    <w:rsid w:val="005A7C62"/>
    <w:rsid w:val="005A7F7B"/>
    <w:rsid w:val="005B1C32"/>
    <w:rsid w:val="005B2553"/>
    <w:rsid w:val="005B34FE"/>
    <w:rsid w:val="005B583E"/>
    <w:rsid w:val="005B69B1"/>
    <w:rsid w:val="005B763D"/>
    <w:rsid w:val="005C03EC"/>
    <w:rsid w:val="005D0159"/>
    <w:rsid w:val="005D0CE3"/>
    <w:rsid w:val="005D1D3B"/>
    <w:rsid w:val="005D1FAB"/>
    <w:rsid w:val="005D2B06"/>
    <w:rsid w:val="005D2C69"/>
    <w:rsid w:val="005D3FA9"/>
    <w:rsid w:val="005E21FA"/>
    <w:rsid w:val="005E22CB"/>
    <w:rsid w:val="005E2601"/>
    <w:rsid w:val="005E4143"/>
    <w:rsid w:val="005E4979"/>
    <w:rsid w:val="005E70AC"/>
    <w:rsid w:val="005E7A7A"/>
    <w:rsid w:val="005F13B2"/>
    <w:rsid w:val="005F1715"/>
    <w:rsid w:val="005F61AE"/>
    <w:rsid w:val="005F7C39"/>
    <w:rsid w:val="006007FD"/>
    <w:rsid w:val="00601143"/>
    <w:rsid w:val="006032AA"/>
    <w:rsid w:val="00603994"/>
    <w:rsid w:val="006041E8"/>
    <w:rsid w:val="006048FA"/>
    <w:rsid w:val="0060566D"/>
    <w:rsid w:val="00606C3B"/>
    <w:rsid w:val="00611480"/>
    <w:rsid w:val="00614976"/>
    <w:rsid w:val="00614BAC"/>
    <w:rsid w:val="00615B9C"/>
    <w:rsid w:val="00615F86"/>
    <w:rsid w:val="00616C09"/>
    <w:rsid w:val="00620F0C"/>
    <w:rsid w:val="00621C26"/>
    <w:rsid w:val="006229BD"/>
    <w:rsid w:val="00623948"/>
    <w:rsid w:val="006263F9"/>
    <w:rsid w:val="00631C18"/>
    <w:rsid w:val="00634C5B"/>
    <w:rsid w:val="00636444"/>
    <w:rsid w:val="0063723E"/>
    <w:rsid w:val="00641059"/>
    <w:rsid w:val="006417EC"/>
    <w:rsid w:val="00645BAF"/>
    <w:rsid w:val="00653F85"/>
    <w:rsid w:val="00654202"/>
    <w:rsid w:val="006548B9"/>
    <w:rsid w:val="006578DC"/>
    <w:rsid w:val="00663600"/>
    <w:rsid w:val="00663C98"/>
    <w:rsid w:val="00671F72"/>
    <w:rsid w:val="00672F17"/>
    <w:rsid w:val="00673951"/>
    <w:rsid w:val="00673BBE"/>
    <w:rsid w:val="006825F7"/>
    <w:rsid w:val="006860F4"/>
    <w:rsid w:val="00692DB0"/>
    <w:rsid w:val="00692EAC"/>
    <w:rsid w:val="00693078"/>
    <w:rsid w:val="00693C2C"/>
    <w:rsid w:val="006957D8"/>
    <w:rsid w:val="0069684B"/>
    <w:rsid w:val="00697D11"/>
    <w:rsid w:val="006A120D"/>
    <w:rsid w:val="006A56A5"/>
    <w:rsid w:val="006A6034"/>
    <w:rsid w:val="006A6843"/>
    <w:rsid w:val="006B0830"/>
    <w:rsid w:val="006B1FD7"/>
    <w:rsid w:val="006C43C0"/>
    <w:rsid w:val="006D538B"/>
    <w:rsid w:val="006E14E2"/>
    <w:rsid w:val="006E4CEE"/>
    <w:rsid w:val="006E54E7"/>
    <w:rsid w:val="006F12DB"/>
    <w:rsid w:val="006F2150"/>
    <w:rsid w:val="0070184D"/>
    <w:rsid w:val="0070256E"/>
    <w:rsid w:val="00703473"/>
    <w:rsid w:val="00705BD0"/>
    <w:rsid w:val="0071082E"/>
    <w:rsid w:val="00710BA3"/>
    <w:rsid w:val="007131A0"/>
    <w:rsid w:val="00714476"/>
    <w:rsid w:val="00714CB0"/>
    <w:rsid w:val="00722917"/>
    <w:rsid w:val="0072357D"/>
    <w:rsid w:val="00725DD0"/>
    <w:rsid w:val="00731F43"/>
    <w:rsid w:val="007414D2"/>
    <w:rsid w:val="007428EC"/>
    <w:rsid w:val="00746120"/>
    <w:rsid w:val="00746F24"/>
    <w:rsid w:val="007478C4"/>
    <w:rsid w:val="00750A5D"/>
    <w:rsid w:val="00750E13"/>
    <w:rsid w:val="00752369"/>
    <w:rsid w:val="00752465"/>
    <w:rsid w:val="00752DA2"/>
    <w:rsid w:val="00754056"/>
    <w:rsid w:val="00754A56"/>
    <w:rsid w:val="007572AD"/>
    <w:rsid w:val="00761D03"/>
    <w:rsid w:val="007638C5"/>
    <w:rsid w:val="0077056F"/>
    <w:rsid w:val="00775693"/>
    <w:rsid w:val="00776DCE"/>
    <w:rsid w:val="00782D00"/>
    <w:rsid w:val="00782EC0"/>
    <w:rsid w:val="00794003"/>
    <w:rsid w:val="007A0456"/>
    <w:rsid w:val="007A0CDB"/>
    <w:rsid w:val="007A1343"/>
    <w:rsid w:val="007A2380"/>
    <w:rsid w:val="007A27C1"/>
    <w:rsid w:val="007A34A5"/>
    <w:rsid w:val="007A3C5B"/>
    <w:rsid w:val="007B042A"/>
    <w:rsid w:val="007B175B"/>
    <w:rsid w:val="007B3AF4"/>
    <w:rsid w:val="007B568E"/>
    <w:rsid w:val="007B7406"/>
    <w:rsid w:val="007B7C68"/>
    <w:rsid w:val="007C1C9F"/>
    <w:rsid w:val="007D231C"/>
    <w:rsid w:val="007D3769"/>
    <w:rsid w:val="007E29F3"/>
    <w:rsid w:val="007E3483"/>
    <w:rsid w:val="007E3AFD"/>
    <w:rsid w:val="007E4985"/>
    <w:rsid w:val="007E4E78"/>
    <w:rsid w:val="007E6516"/>
    <w:rsid w:val="007F58D7"/>
    <w:rsid w:val="00801257"/>
    <w:rsid w:val="00801DA9"/>
    <w:rsid w:val="008061A9"/>
    <w:rsid w:val="008103FB"/>
    <w:rsid w:val="00810B45"/>
    <w:rsid w:val="00820764"/>
    <w:rsid w:val="0082390F"/>
    <w:rsid w:val="00823922"/>
    <w:rsid w:val="00824032"/>
    <w:rsid w:val="0082481E"/>
    <w:rsid w:val="00831017"/>
    <w:rsid w:val="008335BF"/>
    <w:rsid w:val="00840844"/>
    <w:rsid w:val="00841D1E"/>
    <w:rsid w:val="008424B3"/>
    <w:rsid w:val="0084788C"/>
    <w:rsid w:val="008514CF"/>
    <w:rsid w:val="00853ACA"/>
    <w:rsid w:val="00856AF9"/>
    <w:rsid w:val="0085713C"/>
    <w:rsid w:val="00861D92"/>
    <w:rsid w:val="00862937"/>
    <w:rsid w:val="00865B06"/>
    <w:rsid w:val="00867C67"/>
    <w:rsid w:val="0087264A"/>
    <w:rsid w:val="008738B1"/>
    <w:rsid w:val="00873BA5"/>
    <w:rsid w:val="00873EB0"/>
    <w:rsid w:val="00874973"/>
    <w:rsid w:val="00874CFA"/>
    <w:rsid w:val="008779BE"/>
    <w:rsid w:val="00881451"/>
    <w:rsid w:val="00882897"/>
    <w:rsid w:val="00883E89"/>
    <w:rsid w:val="00884B5F"/>
    <w:rsid w:val="008922B1"/>
    <w:rsid w:val="00893AE6"/>
    <w:rsid w:val="00894BAF"/>
    <w:rsid w:val="00894D20"/>
    <w:rsid w:val="00897C65"/>
    <w:rsid w:val="008A033F"/>
    <w:rsid w:val="008A0966"/>
    <w:rsid w:val="008A0C87"/>
    <w:rsid w:val="008A26A8"/>
    <w:rsid w:val="008A5F22"/>
    <w:rsid w:val="008B0549"/>
    <w:rsid w:val="008B2BF1"/>
    <w:rsid w:val="008B3ED6"/>
    <w:rsid w:val="008B4ED2"/>
    <w:rsid w:val="008C09F1"/>
    <w:rsid w:val="008C292B"/>
    <w:rsid w:val="008C49A7"/>
    <w:rsid w:val="008C4F9E"/>
    <w:rsid w:val="008C6B7F"/>
    <w:rsid w:val="008C6F83"/>
    <w:rsid w:val="008E0C2E"/>
    <w:rsid w:val="008E0FC2"/>
    <w:rsid w:val="008E1D00"/>
    <w:rsid w:val="008F0253"/>
    <w:rsid w:val="008F58D7"/>
    <w:rsid w:val="009002D3"/>
    <w:rsid w:val="009011BF"/>
    <w:rsid w:val="00903EFD"/>
    <w:rsid w:val="009053DB"/>
    <w:rsid w:val="009063F5"/>
    <w:rsid w:val="0091402F"/>
    <w:rsid w:val="00914059"/>
    <w:rsid w:val="00914916"/>
    <w:rsid w:val="009173EB"/>
    <w:rsid w:val="009217EC"/>
    <w:rsid w:val="00925112"/>
    <w:rsid w:val="009264C5"/>
    <w:rsid w:val="00926CCC"/>
    <w:rsid w:val="009319FC"/>
    <w:rsid w:val="0093245A"/>
    <w:rsid w:val="00932BFD"/>
    <w:rsid w:val="00933F56"/>
    <w:rsid w:val="00935EF4"/>
    <w:rsid w:val="00937194"/>
    <w:rsid w:val="009404DF"/>
    <w:rsid w:val="00940799"/>
    <w:rsid w:val="009411C7"/>
    <w:rsid w:val="00943CA6"/>
    <w:rsid w:val="00950071"/>
    <w:rsid w:val="00950401"/>
    <w:rsid w:val="00950CB7"/>
    <w:rsid w:val="00953808"/>
    <w:rsid w:val="00954D73"/>
    <w:rsid w:val="00956F6F"/>
    <w:rsid w:val="00957318"/>
    <w:rsid w:val="0096284F"/>
    <w:rsid w:val="009632FA"/>
    <w:rsid w:val="00963451"/>
    <w:rsid w:val="00967E63"/>
    <w:rsid w:val="009712FE"/>
    <w:rsid w:val="00971C3C"/>
    <w:rsid w:val="0097288B"/>
    <w:rsid w:val="00972B1C"/>
    <w:rsid w:val="00972E12"/>
    <w:rsid w:val="00977814"/>
    <w:rsid w:val="00977AFE"/>
    <w:rsid w:val="009807CC"/>
    <w:rsid w:val="00981805"/>
    <w:rsid w:val="009823DB"/>
    <w:rsid w:val="009838E0"/>
    <w:rsid w:val="00985D66"/>
    <w:rsid w:val="0098631A"/>
    <w:rsid w:val="0098696D"/>
    <w:rsid w:val="00987F0C"/>
    <w:rsid w:val="00991489"/>
    <w:rsid w:val="00991A05"/>
    <w:rsid w:val="00991FC7"/>
    <w:rsid w:val="00993950"/>
    <w:rsid w:val="0099484D"/>
    <w:rsid w:val="00995FC9"/>
    <w:rsid w:val="009A02B3"/>
    <w:rsid w:val="009A02F8"/>
    <w:rsid w:val="009A2343"/>
    <w:rsid w:val="009A27AB"/>
    <w:rsid w:val="009A28AC"/>
    <w:rsid w:val="009A559A"/>
    <w:rsid w:val="009A6589"/>
    <w:rsid w:val="009B20C8"/>
    <w:rsid w:val="009B282E"/>
    <w:rsid w:val="009B3EE4"/>
    <w:rsid w:val="009B4AEF"/>
    <w:rsid w:val="009B646D"/>
    <w:rsid w:val="009C06B0"/>
    <w:rsid w:val="009C244C"/>
    <w:rsid w:val="009D1D24"/>
    <w:rsid w:val="009D3EE6"/>
    <w:rsid w:val="009D4422"/>
    <w:rsid w:val="009D60E2"/>
    <w:rsid w:val="009D6960"/>
    <w:rsid w:val="009E0045"/>
    <w:rsid w:val="009E195E"/>
    <w:rsid w:val="009E5AB1"/>
    <w:rsid w:val="009E77E7"/>
    <w:rsid w:val="009F08C3"/>
    <w:rsid w:val="009F141D"/>
    <w:rsid w:val="009F498B"/>
    <w:rsid w:val="009F52ED"/>
    <w:rsid w:val="009F5CA0"/>
    <w:rsid w:val="00A021B9"/>
    <w:rsid w:val="00A04A8B"/>
    <w:rsid w:val="00A10B47"/>
    <w:rsid w:val="00A2305E"/>
    <w:rsid w:val="00A26315"/>
    <w:rsid w:val="00A33123"/>
    <w:rsid w:val="00A356C5"/>
    <w:rsid w:val="00A43411"/>
    <w:rsid w:val="00A4468E"/>
    <w:rsid w:val="00A45963"/>
    <w:rsid w:val="00A46136"/>
    <w:rsid w:val="00A50FAC"/>
    <w:rsid w:val="00A54BA4"/>
    <w:rsid w:val="00A56608"/>
    <w:rsid w:val="00A56AD5"/>
    <w:rsid w:val="00A574C2"/>
    <w:rsid w:val="00A57CC1"/>
    <w:rsid w:val="00A6190C"/>
    <w:rsid w:val="00A62B3E"/>
    <w:rsid w:val="00A66771"/>
    <w:rsid w:val="00A66890"/>
    <w:rsid w:val="00A66B15"/>
    <w:rsid w:val="00A70833"/>
    <w:rsid w:val="00A7154D"/>
    <w:rsid w:val="00A71C89"/>
    <w:rsid w:val="00A726B3"/>
    <w:rsid w:val="00A7463B"/>
    <w:rsid w:val="00A75869"/>
    <w:rsid w:val="00A763D3"/>
    <w:rsid w:val="00A767DD"/>
    <w:rsid w:val="00A77EC7"/>
    <w:rsid w:val="00A844DC"/>
    <w:rsid w:val="00A86262"/>
    <w:rsid w:val="00A94E4E"/>
    <w:rsid w:val="00A965C4"/>
    <w:rsid w:val="00AA32BB"/>
    <w:rsid w:val="00AA392E"/>
    <w:rsid w:val="00AA3F16"/>
    <w:rsid w:val="00AA5BCE"/>
    <w:rsid w:val="00AA688B"/>
    <w:rsid w:val="00AA6904"/>
    <w:rsid w:val="00AA6975"/>
    <w:rsid w:val="00AB188C"/>
    <w:rsid w:val="00AB2B13"/>
    <w:rsid w:val="00AB63E1"/>
    <w:rsid w:val="00AC5B0B"/>
    <w:rsid w:val="00AD077A"/>
    <w:rsid w:val="00AD2F47"/>
    <w:rsid w:val="00AD5CB9"/>
    <w:rsid w:val="00AE20D7"/>
    <w:rsid w:val="00AE2C3E"/>
    <w:rsid w:val="00AE3BEA"/>
    <w:rsid w:val="00AE7087"/>
    <w:rsid w:val="00AF0475"/>
    <w:rsid w:val="00AF226C"/>
    <w:rsid w:val="00AF308A"/>
    <w:rsid w:val="00AF4742"/>
    <w:rsid w:val="00AF5C4C"/>
    <w:rsid w:val="00AF61B6"/>
    <w:rsid w:val="00AF62C0"/>
    <w:rsid w:val="00AF744D"/>
    <w:rsid w:val="00AF7D38"/>
    <w:rsid w:val="00B1686F"/>
    <w:rsid w:val="00B20FC6"/>
    <w:rsid w:val="00B21096"/>
    <w:rsid w:val="00B231E7"/>
    <w:rsid w:val="00B23BAE"/>
    <w:rsid w:val="00B249FA"/>
    <w:rsid w:val="00B258C7"/>
    <w:rsid w:val="00B265FB"/>
    <w:rsid w:val="00B32FFF"/>
    <w:rsid w:val="00B3432E"/>
    <w:rsid w:val="00B36E77"/>
    <w:rsid w:val="00B370BC"/>
    <w:rsid w:val="00B46D06"/>
    <w:rsid w:val="00B50976"/>
    <w:rsid w:val="00B52343"/>
    <w:rsid w:val="00B53005"/>
    <w:rsid w:val="00B55BFA"/>
    <w:rsid w:val="00B561C5"/>
    <w:rsid w:val="00B57D3F"/>
    <w:rsid w:val="00B6270B"/>
    <w:rsid w:val="00B63F61"/>
    <w:rsid w:val="00B66760"/>
    <w:rsid w:val="00B727C9"/>
    <w:rsid w:val="00B72A26"/>
    <w:rsid w:val="00B72B0C"/>
    <w:rsid w:val="00B72E90"/>
    <w:rsid w:val="00B81A1C"/>
    <w:rsid w:val="00B87A23"/>
    <w:rsid w:val="00B906AB"/>
    <w:rsid w:val="00B90BE1"/>
    <w:rsid w:val="00B928E7"/>
    <w:rsid w:val="00B939F2"/>
    <w:rsid w:val="00B93E56"/>
    <w:rsid w:val="00B95EE9"/>
    <w:rsid w:val="00B96B71"/>
    <w:rsid w:val="00BA0FB1"/>
    <w:rsid w:val="00BA22D5"/>
    <w:rsid w:val="00BA3A33"/>
    <w:rsid w:val="00BB1103"/>
    <w:rsid w:val="00BC012A"/>
    <w:rsid w:val="00BC58CF"/>
    <w:rsid w:val="00BC7A0A"/>
    <w:rsid w:val="00BD159F"/>
    <w:rsid w:val="00BD6201"/>
    <w:rsid w:val="00BE0667"/>
    <w:rsid w:val="00BE0D62"/>
    <w:rsid w:val="00BE225A"/>
    <w:rsid w:val="00BE2C72"/>
    <w:rsid w:val="00BE58F8"/>
    <w:rsid w:val="00BE693C"/>
    <w:rsid w:val="00BE6A34"/>
    <w:rsid w:val="00BF2ED7"/>
    <w:rsid w:val="00C01D13"/>
    <w:rsid w:val="00C03EB1"/>
    <w:rsid w:val="00C04596"/>
    <w:rsid w:val="00C05311"/>
    <w:rsid w:val="00C05B01"/>
    <w:rsid w:val="00C100D4"/>
    <w:rsid w:val="00C149E5"/>
    <w:rsid w:val="00C14EB7"/>
    <w:rsid w:val="00C15398"/>
    <w:rsid w:val="00C219B3"/>
    <w:rsid w:val="00C24EDB"/>
    <w:rsid w:val="00C255FA"/>
    <w:rsid w:val="00C31263"/>
    <w:rsid w:val="00C36DBE"/>
    <w:rsid w:val="00C379B2"/>
    <w:rsid w:val="00C4164A"/>
    <w:rsid w:val="00C44373"/>
    <w:rsid w:val="00C446BE"/>
    <w:rsid w:val="00C44C5D"/>
    <w:rsid w:val="00C50605"/>
    <w:rsid w:val="00C62640"/>
    <w:rsid w:val="00C7064B"/>
    <w:rsid w:val="00C711A7"/>
    <w:rsid w:val="00C72A6A"/>
    <w:rsid w:val="00C767CC"/>
    <w:rsid w:val="00C779EF"/>
    <w:rsid w:val="00C816B9"/>
    <w:rsid w:val="00C836A5"/>
    <w:rsid w:val="00C84418"/>
    <w:rsid w:val="00C91FE0"/>
    <w:rsid w:val="00C966DC"/>
    <w:rsid w:val="00C969F2"/>
    <w:rsid w:val="00C97440"/>
    <w:rsid w:val="00CA1423"/>
    <w:rsid w:val="00CA1FA3"/>
    <w:rsid w:val="00CA7201"/>
    <w:rsid w:val="00CB1E26"/>
    <w:rsid w:val="00CB4582"/>
    <w:rsid w:val="00CC0C42"/>
    <w:rsid w:val="00CC6B91"/>
    <w:rsid w:val="00CC73E9"/>
    <w:rsid w:val="00CC7DCB"/>
    <w:rsid w:val="00CD2B65"/>
    <w:rsid w:val="00CD5F76"/>
    <w:rsid w:val="00CE3466"/>
    <w:rsid w:val="00CE5BA1"/>
    <w:rsid w:val="00CF1239"/>
    <w:rsid w:val="00CF1CA9"/>
    <w:rsid w:val="00CF1EAC"/>
    <w:rsid w:val="00CF2B59"/>
    <w:rsid w:val="00CF495D"/>
    <w:rsid w:val="00CF7F3A"/>
    <w:rsid w:val="00D00A7E"/>
    <w:rsid w:val="00D037E5"/>
    <w:rsid w:val="00D04069"/>
    <w:rsid w:val="00D053B2"/>
    <w:rsid w:val="00D1488E"/>
    <w:rsid w:val="00D14DFD"/>
    <w:rsid w:val="00D15379"/>
    <w:rsid w:val="00D16ED7"/>
    <w:rsid w:val="00D210C4"/>
    <w:rsid w:val="00D21540"/>
    <w:rsid w:val="00D21AEF"/>
    <w:rsid w:val="00D23CB6"/>
    <w:rsid w:val="00D24D61"/>
    <w:rsid w:val="00D2608A"/>
    <w:rsid w:val="00D26DBD"/>
    <w:rsid w:val="00D30400"/>
    <w:rsid w:val="00D30ED2"/>
    <w:rsid w:val="00D319A6"/>
    <w:rsid w:val="00D31D3A"/>
    <w:rsid w:val="00D33F34"/>
    <w:rsid w:val="00D343FB"/>
    <w:rsid w:val="00D37FE7"/>
    <w:rsid w:val="00D42871"/>
    <w:rsid w:val="00D449CE"/>
    <w:rsid w:val="00D46672"/>
    <w:rsid w:val="00D46ACE"/>
    <w:rsid w:val="00D478A3"/>
    <w:rsid w:val="00D54406"/>
    <w:rsid w:val="00D5518A"/>
    <w:rsid w:val="00D56A29"/>
    <w:rsid w:val="00D60A68"/>
    <w:rsid w:val="00D6157E"/>
    <w:rsid w:val="00D62406"/>
    <w:rsid w:val="00D6353F"/>
    <w:rsid w:val="00D651B0"/>
    <w:rsid w:val="00D66AD3"/>
    <w:rsid w:val="00D67A16"/>
    <w:rsid w:val="00D71BE7"/>
    <w:rsid w:val="00D745DD"/>
    <w:rsid w:val="00D828B3"/>
    <w:rsid w:val="00D8671C"/>
    <w:rsid w:val="00D86C4B"/>
    <w:rsid w:val="00D95094"/>
    <w:rsid w:val="00DA5DB6"/>
    <w:rsid w:val="00DB727F"/>
    <w:rsid w:val="00DC2CC2"/>
    <w:rsid w:val="00DD00D0"/>
    <w:rsid w:val="00DD07F5"/>
    <w:rsid w:val="00DD2229"/>
    <w:rsid w:val="00DD73A9"/>
    <w:rsid w:val="00DD7A07"/>
    <w:rsid w:val="00DE0438"/>
    <w:rsid w:val="00DE1D47"/>
    <w:rsid w:val="00DE2910"/>
    <w:rsid w:val="00DE40CF"/>
    <w:rsid w:val="00DE635C"/>
    <w:rsid w:val="00DF166C"/>
    <w:rsid w:val="00DF44E6"/>
    <w:rsid w:val="00DF5328"/>
    <w:rsid w:val="00DF6827"/>
    <w:rsid w:val="00DF696B"/>
    <w:rsid w:val="00E016DD"/>
    <w:rsid w:val="00E020D1"/>
    <w:rsid w:val="00E02D79"/>
    <w:rsid w:val="00E05888"/>
    <w:rsid w:val="00E05C30"/>
    <w:rsid w:val="00E10FD7"/>
    <w:rsid w:val="00E13CF6"/>
    <w:rsid w:val="00E15050"/>
    <w:rsid w:val="00E163B8"/>
    <w:rsid w:val="00E20B24"/>
    <w:rsid w:val="00E23459"/>
    <w:rsid w:val="00E25376"/>
    <w:rsid w:val="00E25751"/>
    <w:rsid w:val="00E268C5"/>
    <w:rsid w:val="00E27697"/>
    <w:rsid w:val="00E33BA3"/>
    <w:rsid w:val="00E44A8C"/>
    <w:rsid w:val="00E4570B"/>
    <w:rsid w:val="00E50A9D"/>
    <w:rsid w:val="00E50E09"/>
    <w:rsid w:val="00E53DCF"/>
    <w:rsid w:val="00E53FAE"/>
    <w:rsid w:val="00E574F6"/>
    <w:rsid w:val="00E61399"/>
    <w:rsid w:val="00E623C9"/>
    <w:rsid w:val="00E64B11"/>
    <w:rsid w:val="00E653B7"/>
    <w:rsid w:val="00E65D33"/>
    <w:rsid w:val="00E65FC9"/>
    <w:rsid w:val="00E70166"/>
    <w:rsid w:val="00E711D7"/>
    <w:rsid w:val="00E716A9"/>
    <w:rsid w:val="00E72B39"/>
    <w:rsid w:val="00E7536C"/>
    <w:rsid w:val="00E77D84"/>
    <w:rsid w:val="00E8019D"/>
    <w:rsid w:val="00E82EFA"/>
    <w:rsid w:val="00E85DEE"/>
    <w:rsid w:val="00E8661C"/>
    <w:rsid w:val="00E90B9E"/>
    <w:rsid w:val="00E91698"/>
    <w:rsid w:val="00E9224E"/>
    <w:rsid w:val="00E95E6F"/>
    <w:rsid w:val="00EA0F40"/>
    <w:rsid w:val="00EA4824"/>
    <w:rsid w:val="00EA60EC"/>
    <w:rsid w:val="00EA695C"/>
    <w:rsid w:val="00EA7329"/>
    <w:rsid w:val="00EB107C"/>
    <w:rsid w:val="00EC2AB2"/>
    <w:rsid w:val="00EC3C65"/>
    <w:rsid w:val="00ED15E4"/>
    <w:rsid w:val="00ED61F4"/>
    <w:rsid w:val="00ED672C"/>
    <w:rsid w:val="00EE1360"/>
    <w:rsid w:val="00EE2615"/>
    <w:rsid w:val="00EE519C"/>
    <w:rsid w:val="00EE5340"/>
    <w:rsid w:val="00EF0EEC"/>
    <w:rsid w:val="00F03BDB"/>
    <w:rsid w:val="00F0460C"/>
    <w:rsid w:val="00F04F2B"/>
    <w:rsid w:val="00F11CC8"/>
    <w:rsid w:val="00F12F11"/>
    <w:rsid w:val="00F13683"/>
    <w:rsid w:val="00F13FC6"/>
    <w:rsid w:val="00F14159"/>
    <w:rsid w:val="00F2690E"/>
    <w:rsid w:val="00F3185E"/>
    <w:rsid w:val="00F3283F"/>
    <w:rsid w:val="00F35306"/>
    <w:rsid w:val="00F36C60"/>
    <w:rsid w:val="00F40057"/>
    <w:rsid w:val="00F42C40"/>
    <w:rsid w:val="00F444E6"/>
    <w:rsid w:val="00F44DBE"/>
    <w:rsid w:val="00F45975"/>
    <w:rsid w:val="00F45B75"/>
    <w:rsid w:val="00F46EB2"/>
    <w:rsid w:val="00F502D7"/>
    <w:rsid w:val="00F52D60"/>
    <w:rsid w:val="00F60019"/>
    <w:rsid w:val="00F611BC"/>
    <w:rsid w:val="00F620E2"/>
    <w:rsid w:val="00F63417"/>
    <w:rsid w:val="00F65C9E"/>
    <w:rsid w:val="00F71E9B"/>
    <w:rsid w:val="00F7426B"/>
    <w:rsid w:val="00F750E8"/>
    <w:rsid w:val="00F765FA"/>
    <w:rsid w:val="00F83F0C"/>
    <w:rsid w:val="00F860EF"/>
    <w:rsid w:val="00F8674D"/>
    <w:rsid w:val="00F8710F"/>
    <w:rsid w:val="00F87F33"/>
    <w:rsid w:val="00F91489"/>
    <w:rsid w:val="00F914C4"/>
    <w:rsid w:val="00F94492"/>
    <w:rsid w:val="00F944C1"/>
    <w:rsid w:val="00F954FE"/>
    <w:rsid w:val="00F95EED"/>
    <w:rsid w:val="00F976FA"/>
    <w:rsid w:val="00FA024D"/>
    <w:rsid w:val="00FA2DBC"/>
    <w:rsid w:val="00FA5E52"/>
    <w:rsid w:val="00FA70D6"/>
    <w:rsid w:val="00FA7757"/>
    <w:rsid w:val="00FA77C5"/>
    <w:rsid w:val="00FB0308"/>
    <w:rsid w:val="00FB1D66"/>
    <w:rsid w:val="00FB2033"/>
    <w:rsid w:val="00FB3998"/>
    <w:rsid w:val="00FB3DF2"/>
    <w:rsid w:val="00FB4146"/>
    <w:rsid w:val="00FB5D03"/>
    <w:rsid w:val="00FC1956"/>
    <w:rsid w:val="00FD21EB"/>
    <w:rsid w:val="00FD2E35"/>
    <w:rsid w:val="00FE412F"/>
    <w:rsid w:val="00FE5548"/>
    <w:rsid w:val="00FE6100"/>
    <w:rsid w:val="00FF51A0"/>
    <w:rsid w:val="00FF6036"/>
    <w:rsid w:val="00FF664C"/>
    <w:rsid w:val="00FF7727"/>
    <w:rsid w:val="02CD47AD"/>
    <w:rsid w:val="03034F6B"/>
    <w:rsid w:val="0C1E72E9"/>
    <w:rsid w:val="10D66437"/>
    <w:rsid w:val="1599065D"/>
    <w:rsid w:val="18156635"/>
    <w:rsid w:val="1846329D"/>
    <w:rsid w:val="195F7C30"/>
    <w:rsid w:val="20375F83"/>
    <w:rsid w:val="255F7D1A"/>
    <w:rsid w:val="28923C78"/>
    <w:rsid w:val="29BE3608"/>
    <w:rsid w:val="2F93612B"/>
    <w:rsid w:val="2FB55274"/>
    <w:rsid w:val="31464C5A"/>
    <w:rsid w:val="32801ACB"/>
    <w:rsid w:val="32CB34CA"/>
    <w:rsid w:val="3A8B34F5"/>
    <w:rsid w:val="42312DB5"/>
    <w:rsid w:val="44A57DDF"/>
    <w:rsid w:val="44D67D11"/>
    <w:rsid w:val="520B6446"/>
    <w:rsid w:val="5762489B"/>
    <w:rsid w:val="5A1F3877"/>
    <w:rsid w:val="5A41036C"/>
    <w:rsid w:val="5DA11D9A"/>
    <w:rsid w:val="5F682587"/>
    <w:rsid w:val="5FEFF984"/>
    <w:rsid w:val="64D438E9"/>
    <w:rsid w:val="64E6352D"/>
    <w:rsid w:val="653D7CF9"/>
    <w:rsid w:val="6C404029"/>
    <w:rsid w:val="6F435143"/>
    <w:rsid w:val="70B0102E"/>
    <w:rsid w:val="79A100AE"/>
    <w:rsid w:val="79E53BE5"/>
    <w:rsid w:val="7EAF288D"/>
    <w:rsid w:val="7F807833"/>
    <w:rsid w:val="FE7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qFormat="1" w:uiPriority="99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2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30"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paragraph" w:styleId="6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link w:val="31"/>
    <w:qFormat/>
    <w:uiPriority w:val="0"/>
    <w:pPr>
      <w:ind w:firstLine="420"/>
    </w:pPr>
    <w:rPr>
      <w:rFonts w:ascii="Calibri" w:hAnsi="Calibri"/>
      <w:szCs w:val="20"/>
    </w:rPr>
  </w:style>
  <w:style w:type="paragraph" w:customStyle="1" w:styleId="3">
    <w:name w:val="正文首行缩进2个字 Char"/>
    <w:basedOn w:val="1"/>
    <w:qFormat/>
    <w:uiPriority w:val="0"/>
    <w:pPr>
      <w:ind w:firstLine="480" w:firstLineChars="200"/>
    </w:pPr>
    <w:rPr>
      <w:rFonts w:ascii="Calibri" w:hAnsi="Calibri" w:eastAsia="楷体"/>
      <w:sz w:val="24"/>
      <w:szCs w:val="24"/>
    </w:rPr>
  </w:style>
  <w:style w:type="paragraph" w:styleId="7">
    <w:name w:val="toa heading"/>
    <w:basedOn w:val="1"/>
    <w:next w:val="1"/>
    <w:qFormat/>
    <w:uiPriority w:val="0"/>
    <w:pPr>
      <w:spacing w:before="120" w:after="120" w:line="360" w:lineRule="auto"/>
      <w:ind w:firstLine="200" w:firstLineChars="200"/>
      <w:jc w:val="left"/>
    </w:pPr>
    <w:rPr>
      <w:rFonts w:eastAsia="仿宋_GB2312"/>
      <w:sz w:val="24"/>
      <w:u w:val="single"/>
    </w:rPr>
  </w:style>
  <w:style w:type="paragraph" w:styleId="8">
    <w:name w:val="annotation text"/>
    <w:basedOn w:val="1"/>
    <w:link w:val="32"/>
    <w:unhideWhenUsed/>
    <w:qFormat/>
    <w:uiPriority w:val="0"/>
    <w:pPr>
      <w:jc w:val="left"/>
    </w:pPr>
    <w:rPr>
      <w:rFonts w:ascii="Calibri" w:hAnsi="Calibri"/>
      <w:szCs w:val="24"/>
    </w:rPr>
  </w:style>
  <w:style w:type="paragraph" w:styleId="9">
    <w:name w:val="Body Text"/>
    <w:basedOn w:val="1"/>
    <w:next w:val="1"/>
    <w:link w:val="28"/>
    <w:unhideWhenUsed/>
    <w:qFormat/>
    <w:uiPriority w:val="99"/>
    <w:pPr>
      <w:ind w:left="118"/>
    </w:pPr>
    <w:rPr>
      <w:rFonts w:ascii="宋体" w:hAnsi="宋体"/>
    </w:rPr>
  </w:style>
  <w:style w:type="paragraph" w:styleId="10">
    <w:name w:val="Body Text Indent"/>
    <w:basedOn w:val="1"/>
    <w:next w:val="11"/>
    <w:link w:val="33"/>
    <w:unhideWhenUsed/>
    <w:qFormat/>
    <w:uiPriority w:val="99"/>
    <w:pPr>
      <w:spacing w:after="120"/>
      <w:ind w:left="420" w:leftChars="200"/>
    </w:pPr>
  </w:style>
  <w:style w:type="paragraph" w:styleId="11">
    <w:name w:val="Body Text Indent 2"/>
    <w:basedOn w:val="1"/>
    <w:next w:val="7"/>
    <w:link w:val="36"/>
    <w:unhideWhenUsed/>
    <w:qFormat/>
    <w:uiPriority w:val="99"/>
    <w:pPr>
      <w:spacing w:after="120" w:line="480" w:lineRule="auto"/>
      <w:ind w:left="420" w:leftChars="200"/>
    </w:pPr>
  </w:style>
  <w:style w:type="paragraph" w:styleId="12">
    <w:name w:val="Plain Text"/>
    <w:basedOn w:val="1"/>
    <w:link w:val="34"/>
    <w:qFormat/>
    <w:uiPriority w:val="0"/>
    <w:rPr>
      <w:rFonts w:ascii="宋体" w:hAnsi="Courier New"/>
      <w:szCs w:val="24"/>
    </w:rPr>
  </w:style>
  <w:style w:type="paragraph" w:styleId="13">
    <w:name w:val="Date"/>
    <w:basedOn w:val="1"/>
    <w:next w:val="1"/>
    <w:link w:val="35"/>
    <w:unhideWhenUsed/>
    <w:qFormat/>
    <w:uiPriority w:val="99"/>
    <w:pPr>
      <w:ind w:left="100" w:leftChars="2500"/>
    </w:pPr>
    <w:rPr>
      <w:rFonts w:ascii="Calibri" w:hAnsi="Calibri"/>
      <w:szCs w:val="24"/>
    </w:rPr>
  </w:style>
  <w:style w:type="paragraph" w:styleId="14">
    <w:name w:val="Balloon Text"/>
    <w:basedOn w:val="1"/>
    <w:link w:val="37"/>
    <w:unhideWhenUsed/>
    <w:qFormat/>
    <w:uiPriority w:val="99"/>
    <w:rPr>
      <w:sz w:val="18"/>
      <w:szCs w:val="18"/>
    </w:rPr>
  </w:style>
  <w:style w:type="paragraph" w:styleId="15">
    <w:name w:val="footer"/>
    <w:basedOn w:val="1"/>
    <w:link w:val="3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3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Body Text Indent 3"/>
    <w:basedOn w:val="1"/>
    <w:link w:val="40"/>
    <w:unhideWhenUsed/>
    <w:qFormat/>
    <w:uiPriority w:val="99"/>
    <w:pPr>
      <w:spacing w:after="120"/>
      <w:ind w:left="420" w:leftChars="200"/>
    </w:pPr>
    <w:rPr>
      <w:rFonts w:ascii="Calibri" w:hAnsi="Calibri"/>
      <w:sz w:val="16"/>
      <w:szCs w:val="16"/>
    </w:rPr>
  </w:style>
  <w:style w:type="paragraph" w:styleId="18">
    <w:name w:val="Title"/>
    <w:basedOn w:val="1"/>
    <w:next w:val="1"/>
    <w:link w:val="4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9">
    <w:name w:val="Body Text First Indent"/>
    <w:basedOn w:val="9"/>
    <w:next w:val="1"/>
    <w:qFormat/>
    <w:uiPriority w:val="0"/>
    <w:pPr>
      <w:ind w:firstLine="420" w:firstLineChars="100"/>
    </w:pPr>
  </w:style>
  <w:style w:type="paragraph" w:styleId="20">
    <w:name w:val="Body Text First Indent 2"/>
    <w:basedOn w:val="10"/>
    <w:next w:val="1"/>
    <w:qFormat/>
    <w:uiPriority w:val="0"/>
    <w:pPr>
      <w:ind w:firstLine="420"/>
    </w:pPr>
    <w:rPr>
      <w:snapToGrid w:val="0"/>
      <w:kern w:val="0"/>
    </w:rPr>
  </w:style>
  <w:style w:type="table" w:styleId="22">
    <w:name w:val="Table Grid"/>
    <w:basedOn w:val="2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4">
    <w:name w:val="Strong"/>
    <w:qFormat/>
    <w:uiPriority w:val="0"/>
    <w:rPr>
      <w:b/>
      <w:bCs/>
    </w:rPr>
  </w:style>
  <w:style w:type="character" w:styleId="25">
    <w:name w:val="page number"/>
    <w:basedOn w:val="23"/>
    <w:qFormat/>
    <w:uiPriority w:val="0"/>
  </w:style>
  <w:style w:type="character" w:styleId="26">
    <w:name w:val="Hyperlink"/>
    <w:unhideWhenUsed/>
    <w:qFormat/>
    <w:uiPriority w:val="99"/>
    <w:rPr>
      <w:color w:val="0563C1"/>
      <w:u w:val="single"/>
    </w:rPr>
  </w:style>
  <w:style w:type="character" w:styleId="27">
    <w:name w:val="annotation reference"/>
    <w:qFormat/>
    <w:uiPriority w:val="0"/>
    <w:rPr>
      <w:sz w:val="21"/>
      <w:szCs w:val="21"/>
    </w:rPr>
  </w:style>
  <w:style w:type="character" w:customStyle="1" w:styleId="28">
    <w:name w:val="正文文本 字符"/>
    <w:basedOn w:val="23"/>
    <w:link w:val="9"/>
    <w:qFormat/>
    <w:uiPriority w:val="99"/>
    <w:rPr>
      <w:rFonts w:ascii="宋体" w:hAnsi="宋体" w:eastAsia="宋体" w:cs="Times New Roman"/>
    </w:rPr>
  </w:style>
  <w:style w:type="character" w:customStyle="1" w:styleId="29">
    <w:name w:val="标题 1 字符"/>
    <w:basedOn w:val="23"/>
    <w:link w:val="4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30">
    <w:name w:val="标题 2 字符"/>
    <w:basedOn w:val="23"/>
    <w:link w:val="5"/>
    <w:qFormat/>
    <w:uiPriority w:val="9"/>
    <w:rPr>
      <w:rFonts w:ascii="等线 Light" w:hAnsi="等线 Light" w:eastAsia="等线 Light" w:cs="Times New Roman"/>
      <w:b/>
      <w:bCs/>
      <w:kern w:val="2"/>
      <w:sz w:val="32"/>
      <w:szCs w:val="32"/>
    </w:rPr>
  </w:style>
  <w:style w:type="character" w:customStyle="1" w:styleId="31">
    <w:name w:val="正文缩进 字符"/>
    <w:link w:val="2"/>
    <w:qFormat/>
    <w:uiPriority w:val="0"/>
    <w:rPr>
      <w:kern w:val="2"/>
      <w:sz w:val="21"/>
    </w:rPr>
  </w:style>
  <w:style w:type="character" w:customStyle="1" w:styleId="32">
    <w:name w:val="批注文字 字符"/>
    <w:basedOn w:val="23"/>
    <w:link w:val="8"/>
    <w:qFormat/>
    <w:uiPriority w:val="0"/>
    <w:rPr>
      <w:rFonts w:ascii="Times New Roman" w:hAnsi="Times New Roman" w:eastAsia="宋体" w:cs="Times New Roman"/>
    </w:rPr>
  </w:style>
  <w:style w:type="character" w:customStyle="1" w:styleId="33">
    <w:name w:val="正文文本缩进 字符"/>
    <w:basedOn w:val="23"/>
    <w:link w:val="10"/>
    <w:qFormat/>
    <w:uiPriority w:val="0"/>
    <w:rPr>
      <w:rFonts w:ascii="Times New Roman" w:hAnsi="Times New Roman" w:eastAsia="宋体" w:cs="Times New Roman"/>
      <w:kern w:val="2"/>
      <w:sz w:val="21"/>
      <w:szCs w:val="22"/>
    </w:rPr>
  </w:style>
  <w:style w:type="character" w:customStyle="1" w:styleId="34">
    <w:name w:val="纯文本 字符"/>
    <w:basedOn w:val="23"/>
    <w:link w:val="12"/>
    <w:qFormat/>
    <w:uiPriority w:val="0"/>
    <w:rPr>
      <w:rFonts w:ascii="宋体" w:hAnsi="Courier New" w:eastAsia="宋体" w:cs="Courier New"/>
      <w:szCs w:val="21"/>
    </w:rPr>
  </w:style>
  <w:style w:type="character" w:customStyle="1" w:styleId="35">
    <w:name w:val="日期 字符"/>
    <w:basedOn w:val="23"/>
    <w:link w:val="13"/>
    <w:semiHidden/>
    <w:qFormat/>
    <w:uiPriority w:val="99"/>
    <w:rPr>
      <w:rFonts w:ascii="Times New Roman" w:hAnsi="Times New Roman" w:eastAsia="宋体" w:cs="Times New Roman"/>
      <w:kern w:val="2"/>
      <w:sz w:val="21"/>
      <w:szCs w:val="22"/>
    </w:rPr>
  </w:style>
  <w:style w:type="character" w:customStyle="1" w:styleId="36">
    <w:name w:val="正文文本缩进 2 字符"/>
    <w:basedOn w:val="23"/>
    <w:link w:val="11"/>
    <w:qFormat/>
    <w:uiPriority w:val="99"/>
    <w:rPr>
      <w:rFonts w:ascii="Times New Roman" w:hAnsi="Times New Roman" w:eastAsia="宋体" w:cs="Times New Roman"/>
      <w:kern w:val="2"/>
      <w:sz w:val="21"/>
      <w:szCs w:val="22"/>
    </w:rPr>
  </w:style>
  <w:style w:type="character" w:customStyle="1" w:styleId="37">
    <w:name w:val="批注框文本 字符"/>
    <w:basedOn w:val="23"/>
    <w:link w:val="1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38">
    <w:name w:val="页脚 字符"/>
    <w:basedOn w:val="23"/>
    <w:link w:val="1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9">
    <w:name w:val="页眉 字符"/>
    <w:basedOn w:val="23"/>
    <w:link w:val="1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0">
    <w:name w:val="正文文本缩进 3 字符"/>
    <w:link w:val="17"/>
    <w:qFormat/>
    <w:uiPriority w:val="99"/>
    <w:rPr>
      <w:kern w:val="2"/>
      <w:sz w:val="16"/>
      <w:szCs w:val="16"/>
    </w:rPr>
  </w:style>
  <w:style w:type="character" w:customStyle="1" w:styleId="41">
    <w:name w:val="标题 字符1"/>
    <w:link w:val="18"/>
    <w:qFormat/>
    <w:uiPriority w:val="0"/>
    <w:rPr>
      <w:rFonts w:ascii="Cambria" w:hAnsi="Cambria"/>
      <w:b/>
      <w:bCs/>
      <w:kern w:val="2"/>
      <w:sz w:val="32"/>
      <w:szCs w:val="32"/>
    </w:rPr>
  </w:style>
  <w:style w:type="character" w:customStyle="1" w:styleId="42">
    <w:name w:val="批注文字 Char"/>
    <w:qFormat/>
    <w:uiPriority w:val="99"/>
    <w:rPr>
      <w:szCs w:val="24"/>
    </w:rPr>
  </w:style>
  <w:style w:type="character" w:customStyle="1" w:styleId="43">
    <w:name w:val="纯文本 Char"/>
    <w:qFormat/>
    <w:uiPriority w:val="99"/>
    <w:rPr>
      <w:rFonts w:ascii="宋体" w:hAnsi="Courier New"/>
      <w:szCs w:val="24"/>
    </w:rPr>
  </w:style>
  <w:style w:type="character" w:customStyle="1" w:styleId="44">
    <w:name w:val="fontstyle01"/>
    <w:basedOn w:val="23"/>
    <w:qFormat/>
    <w:uiPriority w:val="0"/>
    <w:rPr>
      <w:rFonts w:ascii="宋体" w:hAnsi="宋体" w:eastAsia="宋体" w:cs="宋体"/>
      <w:color w:val="000000"/>
      <w:sz w:val="22"/>
      <w:szCs w:val="22"/>
    </w:rPr>
  </w:style>
  <w:style w:type="character" w:customStyle="1" w:styleId="45">
    <w:name w:val="报告表正文 Char Char"/>
    <w:basedOn w:val="23"/>
    <w:link w:val="46"/>
    <w:qFormat/>
    <w:uiPriority w:val="0"/>
    <w:rPr>
      <w:sz w:val="24"/>
      <w:szCs w:val="24"/>
    </w:rPr>
  </w:style>
  <w:style w:type="paragraph" w:customStyle="1" w:styleId="46">
    <w:name w:val="报告表正文"/>
    <w:link w:val="45"/>
    <w:qFormat/>
    <w:uiPriority w:val="0"/>
    <w:pPr>
      <w:spacing w:line="360" w:lineRule="auto"/>
      <w:ind w:firstLine="480" w:firstLineChars="200"/>
      <w:jc w:val="both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character" w:customStyle="1" w:styleId="47">
    <w:name w:val="日期 Char"/>
    <w:qFormat/>
    <w:uiPriority w:val="99"/>
    <w:rPr>
      <w:kern w:val="2"/>
      <w:sz w:val="21"/>
      <w:szCs w:val="24"/>
    </w:rPr>
  </w:style>
  <w:style w:type="character" w:customStyle="1" w:styleId="48">
    <w:name w:val="正文文本缩进 3 Char1"/>
    <w:basedOn w:val="23"/>
    <w:semiHidden/>
    <w:qFormat/>
    <w:uiPriority w:val="99"/>
    <w:rPr>
      <w:rFonts w:ascii="Times New Roman" w:hAnsi="Times New Roman" w:eastAsia="宋体" w:cs="Times New Roman"/>
      <w:kern w:val="2"/>
      <w:sz w:val="16"/>
      <w:szCs w:val="16"/>
    </w:rPr>
  </w:style>
  <w:style w:type="character" w:customStyle="1" w:styleId="49">
    <w:name w:val="表 Char"/>
    <w:link w:val="50"/>
    <w:qFormat/>
    <w:uiPriority w:val="0"/>
    <w:rPr>
      <w:spacing w:val="2"/>
      <w:kern w:val="2"/>
      <w:sz w:val="21"/>
    </w:rPr>
  </w:style>
  <w:style w:type="paragraph" w:customStyle="1" w:styleId="50">
    <w:name w:val="表"/>
    <w:basedOn w:val="1"/>
    <w:link w:val="49"/>
    <w:qFormat/>
    <w:uiPriority w:val="0"/>
    <w:pPr>
      <w:snapToGrid w:val="0"/>
      <w:jc w:val="center"/>
    </w:pPr>
    <w:rPr>
      <w:rFonts w:ascii="Calibri" w:hAnsi="Calibri"/>
      <w:spacing w:val="2"/>
      <w:szCs w:val="20"/>
    </w:rPr>
  </w:style>
  <w:style w:type="paragraph" w:styleId="5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52">
    <w:name w:val="正文1 Char"/>
    <w:qFormat/>
    <w:uiPriority w:val="0"/>
    <w:rPr>
      <w:rFonts w:eastAsia="宋体"/>
      <w:kern w:val="2"/>
      <w:sz w:val="28"/>
      <w:lang w:val="en-US" w:eastAsia="zh-CN" w:bidi="ar-SA"/>
    </w:rPr>
  </w:style>
  <w:style w:type="character" w:customStyle="1" w:styleId="53">
    <w:name w:val="正文1 Char Char"/>
    <w:link w:val="54"/>
    <w:qFormat/>
    <w:uiPriority w:val="0"/>
    <w:rPr>
      <w:kern w:val="2"/>
      <w:sz w:val="28"/>
      <w:szCs w:val="24"/>
    </w:rPr>
  </w:style>
  <w:style w:type="paragraph" w:customStyle="1" w:styleId="54">
    <w:name w:val="正文1"/>
    <w:basedOn w:val="1"/>
    <w:link w:val="53"/>
    <w:qFormat/>
    <w:uiPriority w:val="0"/>
    <w:pPr>
      <w:adjustRightInd w:val="0"/>
      <w:snapToGrid w:val="0"/>
      <w:spacing w:line="500" w:lineRule="atLeast"/>
      <w:ind w:firstLine="567"/>
    </w:pPr>
    <w:rPr>
      <w:rFonts w:ascii="Calibri" w:hAnsi="Calibri"/>
      <w:sz w:val="28"/>
      <w:szCs w:val="24"/>
    </w:rPr>
  </w:style>
  <w:style w:type="character" w:customStyle="1" w:styleId="55">
    <w:name w:val="标题 1 Char"/>
    <w:qFormat/>
    <w:uiPriority w:val="0"/>
    <w:rPr>
      <w:rFonts w:ascii="Cambria" w:hAnsi="Cambria" w:eastAsia="宋体"/>
      <w:b/>
      <w:bCs/>
      <w:kern w:val="32"/>
      <w:sz w:val="32"/>
      <w:szCs w:val="32"/>
      <w:lang w:val="en-US" w:eastAsia="en-US" w:bidi="ar-SA"/>
    </w:rPr>
  </w:style>
  <w:style w:type="character" w:customStyle="1" w:styleId="56">
    <w:name w:val="正文缩进 Char"/>
    <w:qFormat/>
    <w:uiPriority w:val="0"/>
    <w:rPr>
      <w:kern w:val="2"/>
      <w:sz w:val="21"/>
    </w:rPr>
  </w:style>
  <w:style w:type="character" w:customStyle="1" w:styleId="57">
    <w:name w:val="标题 字符"/>
    <w:basedOn w:val="23"/>
    <w:qFormat/>
    <w:uiPriority w:val="10"/>
    <w:rPr>
      <w:rFonts w:ascii="Cambria" w:hAnsi="Cambria" w:eastAsia="宋体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774</Words>
  <Characters>4414</Characters>
  <Lines>36</Lines>
  <Paragraphs>10</Paragraphs>
  <TotalTime>2</TotalTime>
  <ScaleCrop>false</ScaleCrop>
  <LinksUpToDate>false</LinksUpToDate>
  <CharactersWithSpaces>5178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2023-11-19T09:13:00Z</dcterms:created>
  <dc:creator>admin</dc:creator>
  <cp:lastModifiedBy>。。。。。</cp:lastModifiedBy>
  <cp:lastPrinted>2023-09-01T08:08:00Z</cp:lastPrinted>
  <dcterms:modified xsi:type="dcterms:W3CDTF">2023-11-22T11:22:33Z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DD349A279A474DFDAD89FBAE0BD8ACE0_13</vt:lpwstr>
  </property>
</Properties>
</file>