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color w:val="auto"/>
          <w:sz w:val="32"/>
          <w:szCs w:val="32"/>
          <w:highlight w:val="none"/>
          <w:lang w:val="en-US" w:eastAsia="zh-CN"/>
        </w:rPr>
      </w:pPr>
      <w:r>
        <w:rPr>
          <w:rFonts w:hint="eastAsia" w:ascii="Times New Roman" w:hAnsi="Times New Roman" w:cs="Times New Roman"/>
          <w:b/>
          <w:color w:val="auto"/>
          <w:sz w:val="32"/>
          <w:szCs w:val="32"/>
          <w:highlight w:val="none"/>
          <w:lang w:val="en-US" w:eastAsia="zh-CN"/>
        </w:rPr>
        <w:t>安徽君澜竹业科技有限公司</w:t>
      </w:r>
    </w:p>
    <w:p>
      <w:pPr>
        <w:spacing w:line="360" w:lineRule="auto"/>
        <w:jc w:val="center"/>
        <w:rPr>
          <w:rFonts w:hint="default" w:ascii="Times New Roman" w:hAnsi="Times New Roman" w:eastAsia="宋体" w:cs="Times New Roman"/>
          <w:b/>
          <w:color w:val="auto"/>
          <w:sz w:val="32"/>
          <w:szCs w:val="32"/>
          <w:highlight w:val="none"/>
          <w:lang w:eastAsia="zh-CN"/>
        </w:rPr>
      </w:pPr>
      <w:r>
        <w:rPr>
          <w:rFonts w:hint="eastAsia" w:ascii="Times New Roman" w:hAnsi="Times New Roman" w:cs="Times New Roman"/>
          <w:b/>
          <w:color w:val="auto"/>
          <w:sz w:val="32"/>
          <w:szCs w:val="32"/>
          <w:highlight w:val="none"/>
          <w:lang w:val="en-US" w:eastAsia="zh-CN"/>
        </w:rPr>
        <w:t>年产15万平方户外重竹板肧项目</w:t>
      </w:r>
    </w:p>
    <w:p>
      <w:pPr>
        <w:spacing w:line="360" w:lineRule="auto"/>
        <w:jc w:val="center"/>
        <w:rPr>
          <w:rFonts w:hint="default" w:ascii="Times New Roman" w:hAnsi="Times New Roman" w:eastAsia="宋体" w:cs="Times New Roman"/>
          <w:b/>
          <w:bCs/>
          <w:color w:val="auto"/>
          <w:sz w:val="30"/>
          <w:szCs w:val="30"/>
          <w:highlight w:val="none"/>
          <w:lang w:val="en-US" w:eastAsia="zh-CN"/>
        </w:rPr>
      </w:pPr>
      <w:r>
        <w:rPr>
          <w:rFonts w:hint="default" w:ascii="Times New Roman" w:hAnsi="Times New Roman" w:eastAsia="宋体" w:cs="Times New Roman"/>
          <w:b/>
          <w:color w:val="auto"/>
          <w:sz w:val="32"/>
          <w:szCs w:val="32"/>
          <w:highlight w:val="none"/>
          <w:lang w:eastAsia="zh-CN"/>
        </w:rPr>
        <w:t>（阶段性）竣工环境保护验收</w:t>
      </w:r>
      <w:r>
        <w:rPr>
          <w:rFonts w:hint="default" w:ascii="Times New Roman" w:hAnsi="Times New Roman" w:eastAsia="宋体" w:cs="Times New Roman"/>
          <w:b/>
          <w:color w:val="auto"/>
          <w:sz w:val="32"/>
          <w:szCs w:val="32"/>
          <w:highlight w:val="none"/>
        </w:rPr>
        <w:t>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20</w:t>
      </w:r>
      <w:r>
        <w:rPr>
          <w:rFonts w:hint="default" w:ascii="Times New Roman" w:hAnsi="Times New Roman" w:eastAsia="宋体" w:cs="Times New Roman"/>
          <w:color w:val="auto"/>
          <w:kern w:val="0"/>
          <w:sz w:val="24"/>
          <w:highlight w:val="none"/>
          <w:lang w:val="en-US" w:eastAsia="zh-CN"/>
        </w:rPr>
        <w:t>2</w:t>
      </w:r>
      <w:r>
        <w:rPr>
          <w:rFonts w:hint="eastAsia" w:ascii="Times New Roman" w:hAnsi="Times New Roman"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rPr>
        <w:t>年</w:t>
      </w:r>
      <w:r>
        <w:rPr>
          <w:rFonts w:hint="eastAsia" w:ascii="Times New Roman" w:hAnsi="Times New Roman"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月</w:t>
      </w:r>
      <w:r>
        <w:rPr>
          <w:rFonts w:hint="eastAsia" w:ascii="Times New Roman" w:hAnsi="Times New Roman"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rPr>
        <w:t>日，建设单位</w:t>
      </w:r>
      <w:r>
        <w:rPr>
          <w:rFonts w:hint="eastAsia" w:ascii="Times New Roman" w:hAnsi="Times New Roman" w:cs="Times New Roman"/>
          <w:color w:val="auto"/>
          <w:sz w:val="24"/>
          <w:szCs w:val="24"/>
          <w:highlight w:val="none"/>
          <w:lang w:eastAsia="zh-CN"/>
        </w:rPr>
        <w:t>安徽君澜竹业科技有限公司</w:t>
      </w:r>
      <w:r>
        <w:rPr>
          <w:rFonts w:hint="default" w:ascii="Times New Roman" w:hAnsi="Times New Roman" w:eastAsia="宋体" w:cs="Times New Roman"/>
          <w:color w:val="auto"/>
          <w:kern w:val="0"/>
          <w:sz w:val="24"/>
          <w:highlight w:val="none"/>
        </w:rPr>
        <w:t>，根据《</w:t>
      </w:r>
      <w:r>
        <w:rPr>
          <w:rFonts w:hint="eastAsia" w:ascii="Times New Roman" w:hAnsi="Times New Roman" w:cs="Times New Roman"/>
          <w:color w:val="auto"/>
          <w:kern w:val="0"/>
          <w:sz w:val="24"/>
          <w:highlight w:val="none"/>
          <w:lang w:eastAsia="zh-CN"/>
        </w:rPr>
        <w:t>安徽君澜竹业科技有限公司年产15万平方户外重竹板肧项目（阶段性）</w:t>
      </w:r>
      <w:r>
        <w:rPr>
          <w:rFonts w:hint="default" w:ascii="Times New Roman" w:hAnsi="Times New Roman" w:eastAsia="宋体" w:cs="Times New Roman"/>
          <w:color w:val="auto"/>
          <w:kern w:val="0"/>
          <w:sz w:val="24"/>
          <w:highlight w:val="none"/>
        </w:rPr>
        <w:t>竣工环境保护验收监测报告</w:t>
      </w:r>
      <w:r>
        <w:rPr>
          <w:rFonts w:hint="eastAsia" w:ascii="Times New Roman" w:hAnsi="Times New Roman" w:cs="Times New Roman"/>
          <w:color w:val="auto"/>
          <w:kern w:val="0"/>
          <w:sz w:val="24"/>
          <w:highlight w:val="none"/>
          <w:lang w:val="en-US" w:eastAsia="zh-CN"/>
        </w:rPr>
        <w:t>表</w:t>
      </w:r>
      <w:r>
        <w:rPr>
          <w:rFonts w:hint="default" w:ascii="Times New Roman" w:hAnsi="Times New Roman" w:eastAsia="宋体" w:cs="Times New Roman"/>
          <w:color w:val="auto"/>
          <w:kern w:val="0"/>
          <w:sz w:val="24"/>
          <w:highlight w:val="none"/>
        </w:rPr>
        <w:t>》，并对照《建设项目竣工环境保护验收暂行办法》，严格依照国家有关法律法规、建设项目竣工环境保护验收技术规范、本项目环境影响</w:t>
      </w:r>
      <w:r>
        <w:rPr>
          <w:rFonts w:hint="default" w:ascii="Times New Roman" w:hAnsi="Times New Roman" w:eastAsia="宋体" w:cs="Times New Roman"/>
          <w:color w:val="auto"/>
          <w:kern w:val="0"/>
          <w:sz w:val="24"/>
          <w:highlight w:val="none"/>
          <w:lang w:val="en-US" w:eastAsia="zh-CN"/>
        </w:rPr>
        <w:t>报告</w:t>
      </w:r>
      <w:r>
        <w:rPr>
          <w:rFonts w:hint="default" w:ascii="Times New Roman" w:hAnsi="Times New Roman" w:eastAsia="宋体" w:cs="Times New Roman"/>
          <w:color w:val="auto"/>
          <w:kern w:val="0"/>
          <w:sz w:val="24"/>
          <w:highlight w:val="none"/>
        </w:rPr>
        <w:t>表和</w:t>
      </w:r>
      <w:r>
        <w:rPr>
          <w:rFonts w:hint="eastAsia" w:ascii="Times New Roman" w:hAnsi="Times New Roman" w:cs="Times New Roman"/>
          <w:color w:val="auto"/>
          <w:kern w:val="0"/>
          <w:sz w:val="24"/>
          <w:highlight w:val="none"/>
          <w:lang w:val="en-US" w:eastAsia="zh-CN"/>
        </w:rPr>
        <w:t>批复</w:t>
      </w:r>
      <w:r>
        <w:rPr>
          <w:rFonts w:hint="default" w:ascii="Times New Roman" w:hAnsi="Times New Roman" w:eastAsia="宋体" w:cs="Times New Roman"/>
          <w:color w:val="auto"/>
          <w:sz w:val="24"/>
          <w:highlight w:val="none"/>
          <w:lang w:val="en-US" w:eastAsia="zh-CN"/>
        </w:rPr>
        <w:t>意见</w:t>
      </w:r>
      <w:r>
        <w:rPr>
          <w:rFonts w:hint="default" w:ascii="Times New Roman" w:hAnsi="Times New Roman" w:eastAsia="宋体" w:cs="Times New Roman"/>
          <w:color w:val="auto"/>
          <w:kern w:val="0"/>
          <w:sz w:val="24"/>
          <w:highlight w:val="none"/>
        </w:rPr>
        <w:t>等要求对本项目进行验收，提出意见如下：</w:t>
      </w:r>
    </w:p>
    <w:p>
      <w:pPr>
        <w:numPr>
          <w:ilvl w:val="0"/>
          <w:numId w:val="1"/>
        </w:numPr>
        <w:spacing w:line="360" w:lineRule="auto"/>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建设项目基本情况：</w:t>
      </w:r>
    </w:p>
    <w:p>
      <w:pPr>
        <w:spacing w:line="360" w:lineRule="auto"/>
        <w:ind w:firstLine="480"/>
        <w:rPr>
          <w:rFonts w:hint="eastAsia" w:ascii="Times New Roman" w:hAnsi="Times New Roman" w:eastAsia="宋体"/>
          <w:bCs/>
          <w:color w:val="auto"/>
          <w:sz w:val="24"/>
          <w:highlight w:val="none"/>
          <w:lang w:val="en-US" w:eastAsia="zh-CN"/>
        </w:rPr>
      </w:pPr>
      <w:r>
        <w:rPr>
          <w:rFonts w:hint="eastAsia" w:ascii="Times New Roman" w:hAnsi="Times New Roman" w:cs="Times New Roman"/>
          <w:color w:val="auto"/>
          <w:sz w:val="24"/>
          <w:highlight w:val="none"/>
          <w:lang w:val="en-US" w:eastAsia="zh-CN"/>
        </w:rPr>
        <w:t>安徽君澜竹业科技有限公司建设地点为安徽省宣城市宁国市宁墩镇宁墩村</w:t>
      </w:r>
      <w:r>
        <w:rPr>
          <w:rFonts w:hint="default" w:ascii="Times New Roman" w:hAnsi="Times New Roman" w:eastAsia="宋体" w:cs="Times New Roman"/>
          <w:color w:val="auto"/>
          <w:sz w:val="24"/>
          <w:highlight w:val="none"/>
          <w:lang w:val="en-US" w:eastAsia="zh-CN"/>
        </w:rPr>
        <w:t>（经度119度07分14.444秒，纬度30度27分57.085秒）</w:t>
      </w:r>
      <w:r>
        <w:rPr>
          <w:rFonts w:hint="eastAsia" w:ascii="Times New Roman" w:hAnsi="Times New Roman" w:cs="Times New Roman"/>
          <w:color w:val="auto"/>
          <w:sz w:val="24"/>
          <w:highlight w:val="none"/>
          <w:lang w:val="en-US" w:eastAsia="zh-CN"/>
        </w:rPr>
        <w:t>，项目一期用地总建筑面积8937.73平方米，二期用地因涉及土地问题未建。</w:t>
      </w:r>
      <w:r>
        <w:rPr>
          <w:rFonts w:hint="eastAsia" w:ascii="Times New Roman" w:hAnsi="Times New Roman" w:cs="Times New Roman"/>
          <w:color w:val="auto"/>
          <w:sz w:val="24"/>
          <w:szCs w:val="24"/>
          <w:highlight w:val="none"/>
          <w:lang w:val="en-US" w:eastAsia="zh-CN"/>
        </w:rPr>
        <w:t>项目实际职工43人，实行一班制生产，每班工作12小时，年生产天数300d，</w:t>
      </w:r>
      <w:r>
        <w:rPr>
          <w:rFonts w:hint="eastAsia" w:ascii="Times New Roman" w:hAnsi="Times New Roman" w:eastAsia="宋体" w:cs="Times New Roman"/>
          <w:color w:val="auto"/>
          <w:sz w:val="24"/>
          <w:szCs w:val="24"/>
          <w:highlight w:val="none"/>
          <w:lang w:val="en-US" w:eastAsia="zh-CN"/>
        </w:rPr>
        <w:t>厂区内设置宿舍</w:t>
      </w:r>
      <w:r>
        <w:rPr>
          <w:rFonts w:hint="eastAsia" w:ascii="Times New Roman" w:hAnsi="Times New Roman" w:cs="Times New Roman"/>
          <w:color w:val="auto"/>
          <w:sz w:val="24"/>
          <w:szCs w:val="24"/>
          <w:highlight w:val="none"/>
          <w:lang w:val="en-US" w:eastAsia="zh-CN"/>
        </w:rPr>
        <w:t>，不设置食堂</w:t>
      </w:r>
      <w:r>
        <w:rPr>
          <w:rFonts w:hint="eastAsia" w:ascii="Times New Roman" w:hAnsi="Times New Roman" w:eastAsia="宋体" w:cs="Times New Roman"/>
          <w:color w:val="auto"/>
          <w:sz w:val="24"/>
          <w:szCs w:val="24"/>
          <w:highlight w:val="none"/>
          <w:lang w:val="en-US" w:eastAsia="zh-CN"/>
        </w:rPr>
        <w:t>。</w:t>
      </w:r>
      <w:r>
        <w:rPr>
          <w:rFonts w:ascii="Times New Roman" w:hAnsi="Times New Roman" w:eastAsia="宋体"/>
          <w:bCs/>
          <w:color w:val="auto"/>
          <w:sz w:val="24"/>
          <w:highlight w:val="none"/>
        </w:rPr>
        <w:t>企业于20</w:t>
      </w:r>
      <w:r>
        <w:rPr>
          <w:rFonts w:hint="eastAsia" w:ascii="Times New Roman" w:hAnsi="Times New Roman" w:eastAsia="宋体"/>
          <w:bCs/>
          <w:color w:val="auto"/>
          <w:sz w:val="24"/>
          <w:highlight w:val="none"/>
          <w:lang w:val="en-US" w:eastAsia="zh-CN"/>
        </w:rPr>
        <w:t>21</w:t>
      </w:r>
      <w:r>
        <w:rPr>
          <w:rFonts w:ascii="Times New Roman" w:hAnsi="Times New Roman" w:eastAsia="宋体"/>
          <w:bCs/>
          <w:color w:val="auto"/>
          <w:sz w:val="24"/>
          <w:highlight w:val="none"/>
        </w:rPr>
        <w:t>年</w:t>
      </w:r>
      <w:r>
        <w:rPr>
          <w:rFonts w:hint="eastAsia" w:ascii="Times New Roman" w:hAnsi="Times New Roman" w:eastAsia="宋体"/>
          <w:bCs/>
          <w:color w:val="auto"/>
          <w:sz w:val="24"/>
          <w:highlight w:val="none"/>
          <w:lang w:val="en-US" w:eastAsia="zh-CN"/>
        </w:rPr>
        <w:t>9</w:t>
      </w:r>
      <w:r>
        <w:rPr>
          <w:rFonts w:ascii="Times New Roman" w:hAnsi="Times New Roman" w:eastAsia="宋体"/>
          <w:bCs/>
          <w:color w:val="auto"/>
          <w:sz w:val="24"/>
          <w:highlight w:val="none"/>
        </w:rPr>
        <w:t>月委托</w:t>
      </w:r>
      <w:r>
        <w:rPr>
          <w:rFonts w:hint="eastAsia" w:ascii="Times New Roman" w:hAnsi="Times New Roman" w:eastAsia="宋体"/>
          <w:bCs/>
          <w:color w:val="auto"/>
          <w:sz w:val="24"/>
          <w:highlight w:val="none"/>
          <w:lang w:eastAsia="zh-CN"/>
        </w:rPr>
        <w:t>安徽一枝独秀环保技术有限公司</w:t>
      </w:r>
      <w:r>
        <w:rPr>
          <w:rFonts w:ascii="Times New Roman" w:hAnsi="Times New Roman" w:eastAsia="宋体"/>
          <w:bCs/>
          <w:color w:val="auto"/>
          <w:sz w:val="24"/>
          <w:highlight w:val="none"/>
        </w:rPr>
        <w:t>编制完成了《</w:t>
      </w:r>
      <w:r>
        <w:rPr>
          <w:rFonts w:hint="eastAsia" w:ascii="Times New Roman" w:hAnsi="Times New Roman" w:eastAsia="宋体"/>
          <w:bCs/>
          <w:color w:val="auto"/>
          <w:sz w:val="24"/>
          <w:highlight w:val="none"/>
          <w:lang w:val="en-US" w:eastAsia="zh-CN"/>
        </w:rPr>
        <w:t>安徽君澜竹业科技有限公司年产15万平方户外重竹板肧</w:t>
      </w:r>
      <w:r>
        <w:rPr>
          <w:rFonts w:hint="default" w:ascii="Times New Roman" w:hAnsi="Times New Roman" w:eastAsia="宋体"/>
          <w:bCs/>
          <w:color w:val="auto"/>
          <w:sz w:val="24"/>
          <w:highlight w:val="none"/>
          <w:lang w:val="en-US" w:eastAsia="zh-CN"/>
        </w:rPr>
        <w:t>项目</w:t>
      </w:r>
      <w:r>
        <w:rPr>
          <w:rFonts w:ascii="Times New Roman" w:hAnsi="Times New Roman" w:eastAsia="宋体"/>
          <w:bCs/>
          <w:color w:val="auto"/>
          <w:sz w:val="24"/>
          <w:highlight w:val="none"/>
        </w:rPr>
        <w:t>环境影响</w:t>
      </w:r>
      <w:r>
        <w:rPr>
          <w:rFonts w:hint="eastAsia" w:ascii="Times New Roman" w:hAnsi="Times New Roman" w:eastAsia="宋体"/>
          <w:bCs/>
          <w:color w:val="auto"/>
          <w:sz w:val="24"/>
          <w:highlight w:val="none"/>
          <w:lang w:val="en-US" w:eastAsia="zh-CN"/>
        </w:rPr>
        <w:t>报告</w:t>
      </w:r>
      <w:r>
        <w:rPr>
          <w:rFonts w:ascii="Times New Roman" w:hAnsi="Times New Roman" w:eastAsia="宋体"/>
          <w:bCs/>
          <w:color w:val="auto"/>
          <w:sz w:val="24"/>
          <w:highlight w:val="none"/>
        </w:rPr>
        <w:t>表》，并于20</w:t>
      </w:r>
      <w:r>
        <w:rPr>
          <w:rFonts w:hint="eastAsia" w:ascii="Times New Roman" w:hAnsi="Times New Roman" w:eastAsia="宋体"/>
          <w:bCs/>
          <w:color w:val="auto"/>
          <w:sz w:val="24"/>
          <w:highlight w:val="none"/>
          <w:lang w:val="en-US" w:eastAsia="zh-CN"/>
        </w:rPr>
        <w:t>21</w:t>
      </w:r>
      <w:r>
        <w:rPr>
          <w:rFonts w:ascii="Times New Roman" w:hAnsi="Times New Roman" w:eastAsia="宋体"/>
          <w:bCs/>
          <w:color w:val="auto"/>
          <w:sz w:val="24"/>
          <w:highlight w:val="none"/>
        </w:rPr>
        <w:t>年</w:t>
      </w:r>
      <w:r>
        <w:rPr>
          <w:rFonts w:hint="eastAsia" w:ascii="Times New Roman" w:hAnsi="Times New Roman" w:eastAsia="宋体"/>
          <w:bCs/>
          <w:color w:val="auto"/>
          <w:sz w:val="24"/>
          <w:highlight w:val="none"/>
          <w:lang w:val="en-US" w:eastAsia="zh-CN"/>
        </w:rPr>
        <w:t>9</w:t>
      </w:r>
      <w:r>
        <w:rPr>
          <w:rFonts w:ascii="Times New Roman" w:hAnsi="Times New Roman" w:eastAsia="宋体"/>
          <w:bCs/>
          <w:color w:val="auto"/>
          <w:sz w:val="24"/>
          <w:highlight w:val="none"/>
        </w:rPr>
        <w:t>月</w:t>
      </w:r>
      <w:r>
        <w:rPr>
          <w:rFonts w:hint="eastAsia" w:ascii="Times New Roman" w:hAnsi="Times New Roman" w:eastAsia="宋体"/>
          <w:bCs/>
          <w:color w:val="auto"/>
          <w:sz w:val="24"/>
          <w:highlight w:val="none"/>
          <w:lang w:val="en-US" w:eastAsia="zh-CN"/>
        </w:rPr>
        <w:t>17</w:t>
      </w:r>
      <w:r>
        <w:rPr>
          <w:rFonts w:ascii="Times New Roman" w:hAnsi="Times New Roman" w:eastAsia="宋体"/>
          <w:bCs/>
          <w:color w:val="auto"/>
          <w:sz w:val="24"/>
          <w:highlight w:val="none"/>
        </w:rPr>
        <w:t>日通过了</w:t>
      </w:r>
      <w:r>
        <w:rPr>
          <w:rFonts w:hint="eastAsia" w:ascii="Times New Roman" w:hAnsi="Times New Roman" w:eastAsia="宋体"/>
          <w:bCs/>
          <w:color w:val="auto"/>
          <w:sz w:val="24"/>
          <w:highlight w:val="none"/>
          <w:lang w:val="en-US" w:eastAsia="zh-CN"/>
        </w:rPr>
        <w:t>宣城市宁国市</w:t>
      </w:r>
      <w:r>
        <w:rPr>
          <w:rFonts w:ascii="Times New Roman" w:hAnsi="Times New Roman" w:eastAsia="宋体"/>
          <w:bCs/>
          <w:color w:val="auto"/>
          <w:sz w:val="24"/>
          <w:highlight w:val="none"/>
        </w:rPr>
        <w:t>生态环境</w:t>
      </w:r>
      <w:r>
        <w:rPr>
          <w:rFonts w:hint="eastAsia" w:ascii="Times New Roman" w:hAnsi="Times New Roman" w:eastAsia="宋体"/>
          <w:bCs/>
          <w:color w:val="auto"/>
          <w:sz w:val="24"/>
          <w:highlight w:val="none"/>
          <w:lang w:val="en-US" w:eastAsia="zh-CN"/>
        </w:rPr>
        <w:t>分</w:t>
      </w:r>
      <w:r>
        <w:rPr>
          <w:rFonts w:ascii="Times New Roman" w:hAnsi="Times New Roman" w:eastAsia="宋体"/>
          <w:bCs/>
          <w:color w:val="auto"/>
          <w:sz w:val="24"/>
          <w:highlight w:val="none"/>
        </w:rPr>
        <w:t>局的</w:t>
      </w:r>
      <w:r>
        <w:rPr>
          <w:rFonts w:hint="eastAsia" w:ascii="Times New Roman" w:hAnsi="Times New Roman" w:eastAsia="宋体"/>
          <w:bCs/>
          <w:color w:val="auto"/>
          <w:sz w:val="24"/>
          <w:highlight w:val="none"/>
        </w:rPr>
        <w:t>审</w:t>
      </w:r>
      <w:r>
        <w:rPr>
          <w:rFonts w:hint="eastAsia" w:ascii="Times New Roman" w:hAnsi="Times New Roman" w:eastAsia="宋体"/>
          <w:bCs/>
          <w:color w:val="auto"/>
          <w:sz w:val="24"/>
          <w:highlight w:val="none"/>
          <w:lang w:val="en-US" w:eastAsia="zh-CN"/>
        </w:rPr>
        <w:t>批</w:t>
      </w:r>
      <w:r>
        <w:rPr>
          <w:rFonts w:ascii="Times New Roman" w:hAnsi="Times New Roman" w:eastAsia="宋体"/>
          <w:bCs/>
          <w:color w:val="auto"/>
          <w:sz w:val="24"/>
          <w:highlight w:val="none"/>
        </w:rPr>
        <w:t>，</w:t>
      </w:r>
      <w:r>
        <w:rPr>
          <w:rFonts w:hint="eastAsia" w:ascii="Times New Roman" w:hAnsi="Times New Roman" w:eastAsia="宋体"/>
          <w:bCs/>
          <w:color w:val="auto"/>
          <w:sz w:val="24"/>
          <w:highlight w:val="none"/>
        </w:rPr>
        <w:t>审</w:t>
      </w:r>
      <w:r>
        <w:rPr>
          <w:rFonts w:hint="eastAsia" w:ascii="Times New Roman" w:hAnsi="Times New Roman" w:eastAsia="宋体"/>
          <w:bCs/>
          <w:color w:val="auto"/>
          <w:sz w:val="24"/>
          <w:highlight w:val="none"/>
          <w:lang w:val="en-US" w:eastAsia="zh-CN"/>
        </w:rPr>
        <w:t>批</w:t>
      </w:r>
      <w:r>
        <w:rPr>
          <w:rFonts w:ascii="Times New Roman" w:hAnsi="Times New Roman" w:eastAsia="宋体"/>
          <w:bCs/>
          <w:color w:val="auto"/>
          <w:sz w:val="24"/>
          <w:highlight w:val="none"/>
        </w:rPr>
        <w:t>文号为：</w:t>
      </w:r>
      <w:r>
        <w:rPr>
          <w:rFonts w:hint="eastAsia" w:ascii="Times New Roman" w:hAnsi="Times New Roman" w:eastAsia="宋体"/>
          <w:bCs/>
          <w:color w:val="auto"/>
          <w:sz w:val="24"/>
          <w:highlight w:val="none"/>
        </w:rPr>
        <w:t>宁环审批</w:t>
      </w:r>
      <w:r>
        <w:rPr>
          <w:rFonts w:hint="eastAsia" w:ascii="Times New Roman" w:hAnsi="Times New Roman" w:eastAsia="宋体"/>
          <w:bCs/>
          <w:color w:val="auto"/>
          <w:sz w:val="24"/>
          <w:highlight w:val="none"/>
          <w:lang w:eastAsia="zh-CN"/>
        </w:rPr>
        <w:t>（</w:t>
      </w:r>
      <w:r>
        <w:rPr>
          <w:rFonts w:hint="eastAsia" w:ascii="Times New Roman" w:hAnsi="Times New Roman" w:eastAsia="宋体"/>
          <w:bCs/>
          <w:color w:val="auto"/>
          <w:sz w:val="24"/>
          <w:highlight w:val="none"/>
        </w:rPr>
        <w:t>2021</w:t>
      </w:r>
      <w:r>
        <w:rPr>
          <w:rFonts w:hint="eastAsia" w:ascii="Times New Roman" w:hAnsi="Times New Roman" w:eastAsia="宋体"/>
          <w:bCs/>
          <w:color w:val="auto"/>
          <w:sz w:val="24"/>
          <w:highlight w:val="none"/>
          <w:lang w:eastAsia="zh-CN"/>
        </w:rPr>
        <w:t>）</w:t>
      </w:r>
      <w:r>
        <w:rPr>
          <w:rFonts w:hint="eastAsia" w:ascii="Times New Roman" w:hAnsi="Times New Roman" w:eastAsia="宋体"/>
          <w:bCs/>
          <w:color w:val="auto"/>
          <w:sz w:val="24"/>
          <w:highlight w:val="none"/>
        </w:rPr>
        <w:t>96号</w:t>
      </w:r>
      <w:r>
        <w:rPr>
          <w:rFonts w:ascii="Times New Roman" w:hAnsi="Times New Roman" w:eastAsia="宋体"/>
          <w:bCs/>
          <w:color w:val="auto"/>
          <w:sz w:val="24"/>
          <w:highlight w:val="none"/>
        </w:rPr>
        <w:t>。</w:t>
      </w:r>
      <w:r>
        <w:rPr>
          <w:rFonts w:hint="eastAsia" w:ascii="Times New Roman" w:hAnsi="Times New Roman" w:eastAsia="宋体"/>
          <w:bCs/>
          <w:color w:val="auto"/>
          <w:sz w:val="24"/>
          <w:highlight w:val="none"/>
          <w:lang w:val="en-US" w:eastAsia="zh-CN"/>
        </w:rPr>
        <w:t>企业于2023年12月自行编制完成了《安徽君澜竹业科技有限公司突发环境事件应急预案》，同月28日通过宣城市宁国市生态环境分局备案，备案编号为：341881-2023-088-L。企业已完成项目的排污登记申报，登记回执编号为：91341881MA2W2QKU41001Y。有效期为2022年10月26日至2027年10月25日。</w:t>
      </w:r>
    </w:p>
    <w:p>
      <w:pPr>
        <w:spacing w:line="360" w:lineRule="auto"/>
        <w:ind w:firstLine="48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项目于2021年10月开工建设，2022年9月竣工，于2023年1月进入试生产阶段。</w:t>
      </w:r>
      <w:r>
        <w:rPr>
          <w:rFonts w:hint="eastAsia" w:ascii="Times New Roman" w:hAnsi="Times New Roman" w:eastAsia="宋体" w:cs="Times New Roman"/>
          <w:color w:val="auto"/>
          <w:sz w:val="24"/>
          <w:szCs w:val="24"/>
          <w:highlight w:val="none"/>
          <w:lang w:val="en-US" w:eastAsia="zh-CN"/>
        </w:rPr>
        <w:t>本次验收</w:t>
      </w:r>
      <w:r>
        <w:rPr>
          <w:rFonts w:hint="default" w:ascii="Times New Roman" w:hAnsi="Times New Roman" w:eastAsia="宋体" w:cs="Times New Roman"/>
          <w:color w:val="auto"/>
          <w:sz w:val="24"/>
          <w:szCs w:val="24"/>
          <w:highlight w:val="none"/>
          <w:lang w:eastAsia="zh-CN"/>
        </w:rPr>
        <w:t>实际</w:t>
      </w:r>
      <w:r>
        <w:rPr>
          <w:rFonts w:hint="default" w:ascii="Times New Roman" w:hAnsi="Times New Roman" w:eastAsia="宋体" w:cs="Times New Roman"/>
          <w:color w:val="auto"/>
          <w:sz w:val="24"/>
          <w:szCs w:val="24"/>
          <w:highlight w:val="none"/>
        </w:rPr>
        <w:t>总投资</w:t>
      </w:r>
      <w:r>
        <w:rPr>
          <w:rFonts w:hint="eastAsia" w:ascii="Times New Roman" w:hAnsi="Times New Roman" w:cs="Times New Roman"/>
          <w:color w:val="auto"/>
          <w:sz w:val="24"/>
          <w:szCs w:val="24"/>
          <w:highlight w:val="none"/>
          <w:lang w:val="en-US" w:eastAsia="zh-CN"/>
        </w:rPr>
        <w:t>9500</w:t>
      </w:r>
      <w:r>
        <w:rPr>
          <w:rFonts w:hint="default" w:ascii="Times New Roman" w:hAnsi="Times New Roman" w:eastAsia="宋体" w:cs="Times New Roman"/>
          <w:color w:val="auto"/>
          <w:sz w:val="24"/>
          <w:szCs w:val="24"/>
          <w:highlight w:val="none"/>
        </w:rPr>
        <w:t>万元，</w:t>
      </w:r>
      <w:r>
        <w:rPr>
          <w:rFonts w:hint="default" w:ascii="Times New Roman" w:hAnsi="Times New Roman" w:eastAsia="宋体" w:cs="Times New Roman"/>
          <w:color w:val="auto"/>
          <w:sz w:val="24"/>
          <w:szCs w:val="24"/>
          <w:highlight w:val="none"/>
          <w:lang w:eastAsia="zh-CN"/>
        </w:rPr>
        <w:t>实际</w:t>
      </w:r>
      <w:r>
        <w:rPr>
          <w:rFonts w:hint="default" w:ascii="Times New Roman" w:hAnsi="Times New Roman" w:eastAsia="宋体" w:cs="Times New Roman"/>
          <w:color w:val="auto"/>
          <w:sz w:val="24"/>
          <w:szCs w:val="24"/>
          <w:highlight w:val="none"/>
        </w:rPr>
        <w:t>环保投资</w:t>
      </w:r>
      <w:r>
        <w:rPr>
          <w:rFonts w:hint="eastAsia" w:ascii="Times New Roman" w:hAnsi="Times New Roman" w:cs="Times New Roman"/>
          <w:color w:val="auto"/>
          <w:sz w:val="24"/>
          <w:szCs w:val="24"/>
          <w:highlight w:val="none"/>
          <w:lang w:val="en-US" w:eastAsia="zh-CN"/>
        </w:rPr>
        <w:t>253</w:t>
      </w:r>
      <w:r>
        <w:rPr>
          <w:rFonts w:hint="default" w:ascii="Times New Roman" w:hAnsi="Times New Roman" w:eastAsia="宋体" w:cs="Times New Roman"/>
          <w:color w:val="auto"/>
          <w:sz w:val="24"/>
          <w:szCs w:val="24"/>
          <w:highlight w:val="none"/>
          <w:lang w:val="en-US" w:eastAsia="zh-CN"/>
        </w:rPr>
        <w:t>万</w:t>
      </w:r>
      <w:r>
        <w:rPr>
          <w:rFonts w:hint="default" w:ascii="Times New Roman" w:hAnsi="Times New Roman" w:eastAsia="宋体" w:cs="Times New Roman"/>
          <w:color w:val="auto"/>
          <w:sz w:val="24"/>
          <w:szCs w:val="24"/>
          <w:highlight w:val="none"/>
          <w:lang w:eastAsia="zh-CN"/>
        </w:rPr>
        <w:t>元</w:t>
      </w:r>
      <w:r>
        <w:rPr>
          <w:rFonts w:hint="default" w:ascii="Times New Roman" w:hAnsi="Times New Roman" w:eastAsia="宋体" w:cs="Times New Roman"/>
          <w:color w:val="auto"/>
          <w:sz w:val="24"/>
          <w:szCs w:val="24"/>
          <w:highlight w:val="none"/>
        </w:rPr>
        <w:t>，占总投资额的</w:t>
      </w:r>
      <w:r>
        <w:rPr>
          <w:rFonts w:hint="eastAsia" w:ascii="Times New Roman" w:hAnsi="Times New Roman" w:cs="Times New Roman"/>
          <w:color w:val="auto"/>
          <w:sz w:val="24"/>
          <w:szCs w:val="24"/>
          <w:highlight w:val="none"/>
          <w:lang w:val="en-US" w:eastAsia="zh-CN"/>
        </w:rPr>
        <w:t>2.7</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w:t>
      </w:r>
    </w:p>
    <w:p>
      <w:pPr>
        <w:spacing w:line="360" w:lineRule="auto"/>
        <w:ind w:firstLine="480" w:firstLineChars="200"/>
        <w:rPr>
          <w:rFonts w:hint="default" w:ascii="Times New Roman" w:hAnsi="Times New Roman" w:eastAsia="宋体"/>
          <w:color w:val="auto"/>
          <w:sz w:val="24"/>
          <w:highlight w:val="none"/>
          <w:lang w:val="en-US" w:eastAsia="zh-CN"/>
        </w:rPr>
      </w:pPr>
      <w:r>
        <w:rPr>
          <w:rFonts w:hint="default" w:ascii="Times New Roman" w:hAnsi="Times New Roman" w:eastAsia="宋体" w:cs="Times New Roman"/>
          <w:color w:val="auto"/>
          <w:kern w:val="0"/>
          <w:sz w:val="24"/>
          <w:highlight w:val="none"/>
        </w:rPr>
        <w:t>公司于202</w:t>
      </w:r>
      <w:r>
        <w:rPr>
          <w:rFonts w:hint="eastAsia" w:ascii="Times New Roman" w:hAnsi="Times New Roman" w:cs="Times New Roman"/>
          <w:color w:val="auto"/>
          <w:kern w:val="0"/>
          <w:sz w:val="24"/>
          <w:highlight w:val="none"/>
          <w:lang w:val="en-US" w:eastAsia="zh-CN"/>
        </w:rPr>
        <w:t>3</w:t>
      </w:r>
      <w:r>
        <w:rPr>
          <w:rFonts w:hint="default" w:ascii="Times New Roman" w:hAnsi="Times New Roman" w:eastAsia="宋体" w:cs="Times New Roman"/>
          <w:color w:val="auto"/>
          <w:kern w:val="0"/>
          <w:sz w:val="24"/>
          <w:highlight w:val="none"/>
        </w:rPr>
        <w:t>年</w:t>
      </w:r>
      <w:r>
        <w:rPr>
          <w:rFonts w:hint="eastAsia" w:ascii="Times New Roman" w:hAnsi="Times New Roman" w:cs="Times New Roman"/>
          <w:color w:val="auto"/>
          <w:kern w:val="0"/>
          <w:sz w:val="24"/>
          <w:highlight w:val="none"/>
          <w:lang w:val="en-US" w:eastAsia="zh-CN"/>
        </w:rPr>
        <w:t>10</w:t>
      </w:r>
      <w:r>
        <w:rPr>
          <w:rFonts w:hint="default" w:ascii="Times New Roman" w:hAnsi="Times New Roman" w:eastAsia="宋体" w:cs="Times New Roman"/>
          <w:color w:val="auto"/>
          <w:kern w:val="0"/>
          <w:sz w:val="24"/>
          <w:highlight w:val="none"/>
        </w:rPr>
        <w:t>月组织验收工作事宜，</w:t>
      </w:r>
      <w:r>
        <w:rPr>
          <w:rFonts w:hint="default" w:ascii="Times New Roman" w:hAnsi="Times New Roman" w:eastAsia="宋体" w:cs="Times New Roman"/>
          <w:color w:val="auto"/>
          <w:sz w:val="24"/>
          <w:szCs w:val="24"/>
          <w:highlight w:val="none"/>
          <w:vertAlign w:val="baseline"/>
          <w:lang w:val="en-US" w:eastAsia="zh-CN"/>
        </w:rPr>
        <w:t>2023年</w:t>
      </w:r>
      <w:r>
        <w:rPr>
          <w:rFonts w:hint="eastAsia" w:ascii="Times New Roman" w:hAnsi="Times New Roman" w:cs="Times New Roman"/>
          <w:color w:val="auto"/>
          <w:sz w:val="24"/>
          <w:szCs w:val="24"/>
          <w:highlight w:val="none"/>
          <w:vertAlign w:val="baseline"/>
          <w:lang w:val="en-US" w:eastAsia="zh-CN"/>
        </w:rPr>
        <w:t>11</w:t>
      </w:r>
      <w:r>
        <w:rPr>
          <w:rFonts w:hint="default"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cs="Times New Roman"/>
          <w:color w:val="auto"/>
          <w:sz w:val="24"/>
          <w:szCs w:val="24"/>
          <w:highlight w:val="none"/>
          <w:vertAlign w:val="baseline"/>
          <w:lang w:val="en-US" w:eastAsia="zh-CN"/>
        </w:rPr>
        <w:t>22</w:t>
      </w:r>
      <w:r>
        <w:rPr>
          <w:rFonts w:hint="eastAsia" w:ascii="Times New Roman" w:hAnsi="Times New Roman" w:eastAsia="宋体" w:cs="Times New Roman"/>
          <w:color w:val="auto"/>
          <w:sz w:val="24"/>
          <w:szCs w:val="24"/>
          <w:highlight w:val="none"/>
          <w:vertAlign w:val="baseline"/>
          <w:lang w:val="en-US" w:eastAsia="zh-CN"/>
        </w:rPr>
        <w:t>日-</w:t>
      </w:r>
      <w:r>
        <w:rPr>
          <w:rFonts w:hint="eastAsia" w:ascii="Times New Roman" w:hAnsi="Times New Roman" w:cs="Times New Roman"/>
          <w:color w:val="auto"/>
          <w:sz w:val="24"/>
          <w:szCs w:val="24"/>
          <w:highlight w:val="none"/>
          <w:vertAlign w:val="baseline"/>
          <w:lang w:val="en-US" w:eastAsia="zh-CN"/>
        </w:rPr>
        <w:t>11</w:t>
      </w:r>
      <w:r>
        <w:rPr>
          <w:rFonts w:hint="eastAsia" w:ascii="Times New Roman" w:hAnsi="Times New Roman" w:eastAsia="宋体" w:cs="Times New Roman"/>
          <w:color w:val="auto"/>
          <w:sz w:val="24"/>
          <w:szCs w:val="24"/>
          <w:highlight w:val="none"/>
          <w:vertAlign w:val="baseline"/>
          <w:lang w:val="en-US" w:eastAsia="zh-CN"/>
        </w:rPr>
        <w:t>月</w:t>
      </w:r>
      <w:r>
        <w:rPr>
          <w:rFonts w:hint="eastAsia" w:ascii="Times New Roman" w:hAnsi="Times New Roman" w:cs="Times New Roman"/>
          <w:color w:val="auto"/>
          <w:sz w:val="24"/>
          <w:szCs w:val="24"/>
          <w:highlight w:val="none"/>
          <w:vertAlign w:val="baseline"/>
          <w:lang w:val="en-US" w:eastAsia="zh-CN"/>
        </w:rPr>
        <w:t>23</w:t>
      </w:r>
      <w:r>
        <w:rPr>
          <w:rFonts w:hint="eastAsia" w:ascii="Times New Roman" w:hAnsi="Times New Roman" w:eastAsia="宋体" w:cs="Times New Roman"/>
          <w:color w:val="auto"/>
          <w:sz w:val="24"/>
          <w:szCs w:val="24"/>
          <w:highlight w:val="none"/>
          <w:vertAlign w:val="baseline"/>
          <w:lang w:val="en-US" w:eastAsia="zh-CN"/>
        </w:rPr>
        <w:t>日</w:t>
      </w:r>
      <w:r>
        <w:rPr>
          <w:rFonts w:hint="default" w:ascii="Times New Roman" w:hAnsi="Times New Roman" w:eastAsia="宋体" w:cs="Times New Roman"/>
          <w:color w:val="auto"/>
          <w:kern w:val="0"/>
          <w:sz w:val="24"/>
          <w:highlight w:val="none"/>
        </w:rPr>
        <w:t>企业委托</w:t>
      </w:r>
      <w:r>
        <w:rPr>
          <w:rFonts w:hint="eastAsia" w:ascii="Times New Roman" w:hAnsi="Times New Roman" w:eastAsia="宋体" w:cs="Times New Roman"/>
          <w:color w:val="auto"/>
          <w:sz w:val="24"/>
          <w:szCs w:val="24"/>
          <w:highlight w:val="none"/>
          <w:lang w:val="en-US" w:eastAsia="zh-CN"/>
        </w:rPr>
        <w:t>中昱（浙江）环境监测股份有限公司</w:t>
      </w:r>
      <w:r>
        <w:rPr>
          <w:rFonts w:hint="default" w:ascii="Times New Roman" w:hAnsi="Times New Roman" w:eastAsia="宋体" w:cs="Times New Roman"/>
          <w:color w:val="auto"/>
          <w:kern w:val="0"/>
          <w:sz w:val="24"/>
          <w:highlight w:val="none"/>
        </w:rPr>
        <w:t>对本项目进行了环境保护设施验收监测，</w:t>
      </w:r>
      <w:r>
        <w:rPr>
          <w:rFonts w:hint="default" w:ascii="Times New Roman" w:hAnsi="Times New Roman" w:eastAsia="宋体"/>
          <w:color w:val="auto"/>
          <w:sz w:val="24"/>
          <w:highlight w:val="none"/>
          <w:lang w:val="en-US" w:eastAsia="zh-CN"/>
        </w:rPr>
        <w:t>通过对该工程“三同时”执行情况和效果的检查并依据监测结果及相应的国家有关环境标准，</w:t>
      </w:r>
      <w:r>
        <w:rPr>
          <w:rFonts w:hint="eastAsia" w:ascii="Times New Roman" w:hAnsi="Times New Roman"/>
          <w:color w:val="auto"/>
          <w:sz w:val="24"/>
          <w:highlight w:val="none"/>
          <w:lang w:val="en-US" w:eastAsia="zh-CN"/>
        </w:rPr>
        <w:t>于2024年1月</w:t>
      </w:r>
      <w:r>
        <w:rPr>
          <w:rFonts w:hint="default" w:ascii="Times New Roman" w:hAnsi="Times New Roman" w:eastAsia="宋体"/>
          <w:color w:val="auto"/>
          <w:sz w:val="24"/>
          <w:highlight w:val="none"/>
          <w:lang w:val="en-US" w:eastAsia="zh-CN"/>
        </w:rPr>
        <w:t>编制了本项目（阶段性）竣工环境保护验收监测报告</w:t>
      </w:r>
      <w:r>
        <w:rPr>
          <w:rFonts w:hint="eastAsia" w:ascii="Times New Roman" w:hAnsi="Times New Roman" w:eastAsia="宋体"/>
          <w:color w:val="auto"/>
          <w:sz w:val="24"/>
          <w:highlight w:val="none"/>
          <w:lang w:val="en-US" w:eastAsia="zh-CN"/>
        </w:rPr>
        <w:t>表</w:t>
      </w:r>
      <w:r>
        <w:rPr>
          <w:rFonts w:hint="default" w:ascii="Times New Roman" w:hAnsi="Times New Roman" w:eastAsia="宋体"/>
          <w:color w:val="auto"/>
          <w:sz w:val="24"/>
          <w:highlight w:val="none"/>
          <w:lang w:val="en-US" w:eastAsia="zh-CN"/>
        </w:rPr>
        <w:t>。</w:t>
      </w:r>
    </w:p>
    <w:p>
      <w:pPr>
        <w:spacing w:line="360" w:lineRule="auto"/>
        <w:ind w:firstLine="480" w:firstLineChars="200"/>
        <w:rPr>
          <w:rFonts w:hint="default"/>
          <w:color w:val="auto"/>
          <w:highlight w:val="none"/>
        </w:rPr>
      </w:pPr>
      <w:r>
        <w:rPr>
          <w:rFonts w:hint="eastAsia" w:ascii="Times New Roman" w:hAnsi="Times New Roman"/>
          <w:color w:val="auto"/>
          <w:sz w:val="24"/>
          <w:highlight w:val="none"/>
          <w:lang w:val="en-US" w:eastAsia="zh-CN"/>
        </w:rPr>
        <w:t>本次阶段性验收针对安徽君澜竹业科技有限公司年产15万平方户外重竹板肧项目中除炭化和竹丝处理工艺相关生产设备、主体工程、配套工程及环保工程以外的生产设备、主体工程、配套工程及环保工程进行竣工环境保护“三同时”阶段性验收，其中涉及炭化和竹丝处理相关工程以及二期用地的不在本次验收范围内，待后期建设完成后再另行组织验收工作。</w:t>
      </w:r>
    </w:p>
    <w:p>
      <w:pPr>
        <w:spacing w:line="360" w:lineRule="auto"/>
        <w:ind w:firstLine="482" w:firstLineChars="200"/>
        <w:outlineLvl w:val="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二、工程变动情况</w:t>
      </w:r>
    </w:p>
    <w:p>
      <w:pPr>
        <w:spacing w:line="360" w:lineRule="auto"/>
        <w:ind w:firstLine="360" w:firstLineChars="150"/>
        <w:outlineLvl w:val="0"/>
        <w:rPr>
          <w:rFonts w:ascii="Times New Roman" w:hAnsi="Times New Roman" w:eastAsia="宋体"/>
          <w:color w:val="auto"/>
          <w:kern w:val="0"/>
          <w:sz w:val="24"/>
          <w:highlight w:val="none"/>
        </w:rPr>
      </w:pPr>
      <w:bookmarkStart w:id="0" w:name="_Toc498412723"/>
      <w:bookmarkStart w:id="1" w:name="_Toc498351802"/>
      <w:bookmarkStart w:id="2" w:name="_Toc498700049"/>
      <w:r>
        <w:rPr>
          <w:rFonts w:ascii="Times New Roman" w:hAnsi="Times New Roman" w:eastAsia="宋体"/>
          <w:color w:val="auto"/>
          <w:kern w:val="0"/>
          <w:sz w:val="24"/>
          <w:highlight w:val="none"/>
        </w:rPr>
        <w:t>经现场踏勘并对照环评文件</w:t>
      </w:r>
      <w:r>
        <w:rPr>
          <w:rFonts w:hint="eastAsia" w:ascii="Times New Roman" w:hAnsi="Times New Roman"/>
          <w:color w:val="auto"/>
          <w:kern w:val="0"/>
          <w:sz w:val="24"/>
          <w:highlight w:val="none"/>
          <w:lang w:eastAsia="zh-CN"/>
        </w:rPr>
        <w:t>：</w:t>
      </w:r>
      <w:r>
        <w:rPr>
          <w:rFonts w:hint="default" w:ascii="Times New Roman" w:hAnsi="Times New Roman" w:eastAsia="宋体"/>
          <w:color w:val="auto"/>
          <w:kern w:val="0"/>
          <w:sz w:val="24"/>
          <w:highlight w:val="none"/>
          <w:lang w:val="en-US" w:eastAsia="zh-CN"/>
        </w:rPr>
        <w:t>本项目为新建项目，未发生性质变化</w:t>
      </w:r>
      <w:r>
        <w:rPr>
          <w:rFonts w:hint="eastAsia" w:ascii="Times New Roman" w:hAnsi="Times New Roman"/>
          <w:color w:val="auto"/>
          <w:kern w:val="0"/>
          <w:sz w:val="24"/>
          <w:highlight w:val="none"/>
          <w:lang w:eastAsia="zh-CN"/>
        </w:rPr>
        <w:t>；</w:t>
      </w:r>
      <w:r>
        <w:rPr>
          <w:rFonts w:hint="eastAsia" w:ascii="Times New Roman" w:hAnsi="Times New Roman"/>
          <w:color w:val="auto"/>
          <w:kern w:val="0"/>
          <w:sz w:val="24"/>
          <w:highlight w:val="none"/>
          <w:lang w:val="en-US" w:eastAsia="zh-CN"/>
        </w:rPr>
        <w:t>建设地点环评审批一致，厂区中二期用地暂未建，厂区内炭化设备和竹丝处理设备待二期安装；项目新建后防护距离内未新增敏感点；</w:t>
      </w:r>
      <w:r>
        <w:rPr>
          <w:rFonts w:hint="eastAsia" w:ascii="Times New Roman" w:hAnsi="Times New Roman"/>
          <w:b/>
          <w:bCs/>
          <w:color w:val="auto"/>
          <w:kern w:val="0"/>
          <w:sz w:val="24"/>
          <w:highlight w:val="none"/>
          <w:lang w:val="en-US" w:eastAsia="zh-CN"/>
        </w:rPr>
        <w:t>环评审批</w:t>
      </w:r>
      <w:r>
        <w:rPr>
          <w:rFonts w:hint="eastAsia" w:ascii="Times New Roman" w:hAnsi="Times New Roman"/>
          <w:color w:val="auto"/>
          <w:kern w:val="0"/>
          <w:sz w:val="24"/>
          <w:highlight w:val="none"/>
          <w:lang w:val="en-US" w:eastAsia="zh-CN"/>
        </w:rPr>
        <w:t>生产工艺中有炭化元竹工艺，</w:t>
      </w:r>
      <w:r>
        <w:rPr>
          <w:rFonts w:hint="eastAsia" w:ascii="Times New Roman" w:hAnsi="Times New Roman"/>
          <w:b/>
          <w:bCs/>
          <w:color w:val="auto"/>
          <w:kern w:val="0"/>
          <w:sz w:val="24"/>
          <w:highlight w:val="none"/>
          <w:lang w:val="en-US" w:eastAsia="zh-CN"/>
        </w:rPr>
        <w:t>实际</w:t>
      </w:r>
      <w:r>
        <w:rPr>
          <w:rFonts w:hint="eastAsia" w:ascii="Times New Roman" w:hAnsi="Times New Roman"/>
          <w:color w:val="auto"/>
          <w:kern w:val="0"/>
          <w:sz w:val="24"/>
          <w:highlight w:val="none"/>
          <w:lang w:val="en-US" w:eastAsia="zh-CN"/>
        </w:rPr>
        <w:t>生产工艺中无炭化元竹工艺，其他与环评审批生产工艺一致；实际设备情况与环评对照，竹丝处理设备和炭化炉相关设备尚未进行安装，高温静电除尘及除尘器取消，增加1座横吊、4个积液池、2个胶水罐、1套废气处理设施、1台风机、1套脱硝一体化装置、1套多管除尘装置、1套水膜除尘装置、1套湿式静电除尘器，其他与环评一致；废水处理与环评相比，其中炭化水废水处理相关设备未上，项目生活污水和保洁废水经企业内部管网排入企业化粪池后，暂时由附近村民定期清掏后农用处置，不外排；锅炉废水、软水制备废水、设备冷却水经沉淀池收集后，暂时回用于水膜除尘装置，不外排；目前因市政污水处理厂及配套管网铺设未完成，待后期市政管网铺设完成，生活污水、保洁废水经企业化粪池预处理后纳管，锅炉废水、软水制备废水、设备冷却水经企业沉淀池预处理后纳管，排入污水处理厂处理达标后排入自然水体；废气处理与环评相比，</w:t>
      </w:r>
      <w:r>
        <w:rPr>
          <w:rFonts w:hint="eastAsia" w:ascii="Times New Roman" w:hAnsi="Times New Roman"/>
          <w:b/>
          <w:bCs/>
          <w:color w:val="auto"/>
          <w:kern w:val="0"/>
          <w:sz w:val="24"/>
          <w:highlight w:val="none"/>
          <w:lang w:val="en-US" w:eastAsia="zh-CN"/>
        </w:rPr>
        <w:t>环评</w:t>
      </w:r>
      <w:r>
        <w:rPr>
          <w:rFonts w:hint="eastAsia" w:ascii="Times New Roman" w:hAnsi="Times New Roman"/>
          <w:color w:val="auto"/>
          <w:kern w:val="0"/>
          <w:sz w:val="24"/>
          <w:highlight w:val="none"/>
          <w:lang w:val="en-US" w:eastAsia="zh-CN"/>
        </w:rPr>
        <w:t>中生物质锅炉废气经低氮燃烧器+高压静电除尘器处理后由一根35m高排气筒（1#）排出，浸胶（密闭微负压）、压板、烘干工序产生的非甲烷总经、甲醛经一级活性炭+一级活性炭纤维净化装置处理后由一个15m高排气筒（2#）排出，食堂油烟废气经油烟净化器处理后由管道排出（3#）；</w:t>
      </w:r>
      <w:r>
        <w:rPr>
          <w:rFonts w:hint="eastAsia" w:ascii="Times New Roman" w:hAnsi="Times New Roman"/>
          <w:b/>
          <w:bCs/>
          <w:color w:val="auto"/>
          <w:kern w:val="0"/>
          <w:sz w:val="24"/>
          <w:highlight w:val="none"/>
          <w:lang w:val="en-US" w:eastAsia="zh-CN"/>
        </w:rPr>
        <w:t>实际</w:t>
      </w:r>
      <w:r>
        <w:rPr>
          <w:rFonts w:hint="eastAsia" w:ascii="Times New Roman" w:hAnsi="Times New Roman"/>
          <w:color w:val="auto"/>
          <w:kern w:val="0"/>
          <w:sz w:val="24"/>
          <w:highlight w:val="none"/>
          <w:lang w:val="en-US" w:eastAsia="zh-CN"/>
        </w:rPr>
        <w:t>生物质锅炉设置炉内脱硝一体化装置，燃烧废气经多管除尘+水膜除尘+湿式静电除尘器处理后由一根35m高排气筒（1#）排出，浸胶（密闭微负压）产生的非甲烷总经、甲醛经干式过滤+二级活性炭装置处理后由一个15m高排气筒（2#）排出，压板、烘干工序产生的非甲烷总烃、甲醛经二级活性炭装置处理后由一个15m高排气筒（3#）排出，无食堂油烟产生，排气筒高度均为15m，与环评审批要求一致，上述变化未导致新增污染物的种类和排放量。</w:t>
      </w:r>
    </w:p>
    <w:p>
      <w:pPr>
        <w:spacing w:line="480" w:lineRule="exact"/>
        <w:ind w:firstLine="480" w:firstLineChars="200"/>
        <w:outlineLvl w:val="0"/>
        <w:rPr>
          <w:rFonts w:hint="default" w:ascii="Times New Roman" w:hAnsi="Times New Roman" w:eastAsia="宋体" w:cs="Times New Roman"/>
          <w:color w:val="auto"/>
          <w:sz w:val="24"/>
          <w:highlight w:val="none"/>
          <w:lang w:eastAsia="zh-CN"/>
        </w:rPr>
      </w:pPr>
      <w:r>
        <w:rPr>
          <w:rFonts w:ascii="Times New Roman" w:hAnsi="Times New Roman" w:eastAsia="宋体"/>
          <w:color w:val="auto"/>
          <w:kern w:val="0"/>
          <w:sz w:val="24"/>
          <w:szCs w:val="24"/>
          <w:highlight w:val="none"/>
        </w:rPr>
        <w:t>对照生态环境部 环办环评函〔2020〕688号关于印发《污染影响类建设项目重大变动清单</w:t>
      </w:r>
      <w:r>
        <w:rPr>
          <w:rFonts w:hint="eastAsia" w:ascii="Times New Roman" w:hAnsi="Times New Roman"/>
          <w:color w:val="auto"/>
          <w:kern w:val="0"/>
          <w:sz w:val="24"/>
          <w:szCs w:val="24"/>
          <w:highlight w:val="none"/>
          <w:lang w:eastAsia="zh-CN"/>
        </w:rPr>
        <w:t>（</w:t>
      </w:r>
      <w:r>
        <w:rPr>
          <w:rFonts w:ascii="Times New Roman" w:hAnsi="Times New Roman" w:eastAsia="宋体"/>
          <w:color w:val="auto"/>
          <w:kern w:val="0"/>
          <w:sz w:val="24"/>
          <w:szCs w:val="24"/>
          <w:highlight w:val="none"/>
        </w:rPr>
        <w:t>试行</w:t>
      </w:r>
      <w:r>
        <w:rPr>
          <w:rFonts w:hint="eastAsia" w:ascii="Times New Roman" w:hAnsi="Times New Roman"/>
          <w:color w:val="auto"/>
          <w:kern w:val="0"/>
          <w:sz w:val="24"/>
          <w:szCs w:val="24"/>
          <w:highlight w:val="none"/>
          <w:lang w:eastAsia="zh-CN"/>
        </w:rPr>
        <w:t>）</w:t>
      </w:r>
      <w:r>
        <w:rPr>
          <w:rFonts w:ascii="Times New Roman" w:hAnsi="Times New Roman" w:eastAsia="宋体"/>
          <w:color w:val="auto"/>
          <w:kern w:val="0"/>
          <w:sz w:val="24"/>
          <w:szCs w:val="24"/>
          <w:highlight w:val="none"/>
        </w:rPr>
        <w:t>》的通知相关内容，</w:t>
      </w:r>
      <w:r>
        <w:rPr>
          <w:rFonts w:hint="eastAsia" w:ascii="Times New Roman" w:hAnsi="Times New Roman" w:eastAsia="宋体"/>
          <w:color w:val="auto"/>
          <w:kern w:val="0"/>
          <w:sz w:val="24"/>
          <w:szCs w:val="24"/>
          <w:highlight w:val="none"/>
          <w:lang w:val="en-US" w:eastAsia="zh-CN"/>
        </w:rPr>
        <w:t>企业</w:t>
      </w:r>
      <w:r>
        <w:rPr>
          <w:rFonts w:ascii="Times New Roman" w:hAnsi="Times New Roman" w:eastAsia="宋体"/>
          <w:color w:val="auto"/>
          <w:kern w:val="0"/>
          <w:sz w:val="24"/>
          <w:szCs w:val="24"/>
          <w:highlight w:val="none"/>
        </w:rPr>
        <w:t>不属于重大变动。</w:t>
      </w:r>
      <w:bookmarkEnd w:id="0"/>
      <w:bookmarkEnd w:id="1"/>
      <w:bookmarkEnd w:id="2"/>
    </w:p>
    <w:p>
      <w:pPr>
        <w:spacing w:line="360" w:lineRule="auto"/>
        <w:ind w:firstLine="602" w:firstLineChars="25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三、环境保护设施建设情况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highlight w:val="none"/>
        </w:rPr>
        <w:t>（一）</w:t>
      </w:r>
      <w:r>
        <w:rPr>
          <w:rStyle w:val="14"/>
          <w:rFonts w:hint="default" w:ascii="Times New Roman" w:hAnsi="Times New Roman" w:eastAsia="宋体" w:cs="Times New Roman"/>
          <w:b w:val="0"/>
          <w:color w:val="auto"/>
          <w:sz w:val="24"/>
          <w:szCs w:val="24"/>
          <w:highlight w:val="none"/>
          <w:vertAlign w:val="baseline"/>
          <w:lang w:val="en-US" w:eastAsia="zh-CN"/>
        </w:rPr>
        <w:t>废水：</w:t>
      </w:r>
      <w:r>
        <w:rPr>
          <w:rFonts w:hint="default" w:ascii="Times New Roman" w:hAnsi="Times New Roman" w:eastAsia="宋体" w:cs="Times New Roman"/>
          <w:color w:val="auto"/>
          <w:sz w:val="24"/>
          <w:szCs w:val="24"/>
          <w:lang w:val="en-US" w:eastAsia="zh-CN"/>
        </w:rPr>
        <w:t>本项目营运过程产生的废水主要是</w:t>
      </w:r>
      <w:r>
        <w:rPr>
          <w:rFonts w:hint="default" w:ascii="Times New Roman" w:hAnsi="Times New Roman" w:cs="Times New Roman"/>
          <w:color w:val="auto"/>
          <w:sz w:val="24"/>
        </w:rPr>
        <w:t>生活污水</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锅炉废水、软水制备废水</w:t>
      </w:r>
      <w:r>
        <w:rPr>
          <w:rFonts w:hint="eastAsia" w:ascii="Times New Roman" w:hAnsi="Times New Roman" w:cs="Times New Roman"/>
          <w:color w:val="auto"/>
          <w:sz w:val="24"/>
          <w:lang w:val="en-US" w:eastAsia="zh-CN"/>
        </w:rPr>
        <w:t>、保洁废水、设备冷却水</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本项目</w:t>
      </w:r>
      <w:r>
        <w:rPr>
          <w:rFonts w:hint="default" w:ascii="Times New Roman" w:hAnsi="Times New Roman" w:eastAsia="宋体" w:cs="Times New Roman"/>
          <w:color w:val="auto"/>
          <w:kern w:val="2"/>
          <w:sz w:val="24"/>
          <w:szCs w:val="24"/>
          <w:lang w:val="en-US" w:eastAsia="zh-CN" w:bidi="ar-SA"/>
        </w:rPr>
        <w:t>生活污水和保洁废水经企业内部管网排入企业化粪池后，暂时由附近村民定期清掏后农用处置，不外排；锅炉废水、软水制备废水、设备冷却水经沉淀池收集后，暂时回用于水膜除尘装置，不外排；目前因市政污水处理厂及配套管网铺设未完成，待后期市政管网铺设完成，生活污水、保洁废水经企业化粪池预处理后纳管，锅炉废水、软水制备废水、设备冷却水经企业沉淀池预处理后纳管，排入污水处理厂处理达标后排入自然水体。</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Style w:val="14"/>
          <w:rFonts w:hint="eastAsia" w:ascii="Times New Roman" w:hAnsi="Times New Roman" w:cs="Times New Roman"/>
          <w:b w:val="0"/>
          <w:color w:val="auto"/>
          <w:sz w:val="24"/>
          <w:szCs w:val="24"/>
          <w:highlight w:val="none"/>
          <w:vertAlign w:val="baseline"/>
          <w:lang w:val="en-US" w:eastAsia="zh-CN"/>
        </w:rPr>
        <w:t>（二）废气：</w:t>
      </w:r>
      <w:r>
        <w:rPr>
          <w:rFonts w:hint="default" w:ascii="Times New Roman" w:hAnsi="Times New Roman" w:eastAsia="宋体" w:cs="Times New Roman"/>
          <w:color w:val="auto"/>
          <w:sz w:val="24"/>
          <w:szCs w:val="24"/>
          <w:lang w:val="en-US" w:eastAsia="zh-CN"/>
        </w:rPr>
        <w:t>本项目营运过程产生的废气主要是</w:t>
      </w:r>
      <w:r>
        <w:rPr>
          <w:rFonts w:hint="eastAsia" w:ascii="Times New Roman" w:hAnsi="Times New Roman" w:eastAsia="宋体" w:cs="Times New Roman"/>
          <w:color w:val="auto"/>
          <w:sz w:val="24"/>
          <w:szCs w:val="24"/>
          <w:lang w:val="en-US" w:eastAsia="zh-CN"/>
        </w:rPr>
        <w:t>生物质锅炉</w:t>
      </w:r>
      <w:r>
        <w:rPr>
          <w:rFonts w:hint="default" w:ascii="Times New Roman" w:hAnsi="Times New Roman" w:eastAsia="宋体" w:cs="Times New Roman"/>
          <w:color w:val="auto"/>
          <w:sz w:val="24"/>
          <w:szCs w:val="24"/>
        </w:rPr>
        <w:t>产生的</w:t>
      </w:r>
      <w:r>
        <w:rPr>
          <w:rFonts w:hint="eastAsia" w:ascii="Times New Roman" w:hAnsi="Times New Roman" w:eastAsia="宋体" w:cs="Times New Roman"/>
          <w:color w:val="auto"/>
          <w:sz w:val="24"/>
          <w:szCs w:val="24"/>
          <w:lang w:val="en-US" w:eastAsia="zh-CN"/>
        </w:rPr>
        <w:t>废气、浸胶压板、烘干产生的非甲烷总烃、甲醛</w:t>
      </w:r>
      <w:r>
        <w:rPr>
          <w:rFonts w:hint="default" w:ascii="Times New Roman" w:hAnsi="Times New Roman" w:eastAsia="宋体" w:cs="Times New Roman"/>
          <w:color w:val="auto"/>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①锅炉废气：生物质锅炉设置炉内脱硝一体化装置，燃烧废气经多管除尘+水膜除尘+湿式静电除尘器处理后由一根35m高排气筒1#排出。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②浸胶废气：浸胶车间采用封闭微负压方式收集废气，在工序上方设置集气罩，通过集气罩收集后将废气经过干式过滤+二级活性炭装置处理后由15m高排气筒2#排出。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③压板、烘干工序废气：在各工序上方设置集气罩，通过集气罩收集后将废气经过二级活性炭装置处理后由15m高排气筒3#排出。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Style w:val="14"/>
          <w:rFonts w:hint="default" w:ascii="Times New Roman" w:hAnsi="Times New Roman" w:eastAsia="宋体" w:cs="Times New Roman"/>
          <w:b w:val="0"/>
          <w:color w:val="auto"/>
          <w:sz w:val="24"/>
          <w:szCs w:val="24"/>
          <w:highlight w:val="none"/>
          <w:vertAlign w:val="baseline"/>
          <w:lang w:val="en-US" w:eastAsia="zh-CN"/>
        </w:rPr>
      </w:pPr>
      <w:r>
        <w:rPr>
          <w:rFonts w:hint="eastAsia" w:ascii="Times New Roman" w:hAnsi="Times New Roman" w:eastAsia="宋体" w:cs="Times New Roman"/>
          <w:b w:val="0"/>
          <w:color w:val="auto"/>
          <w:kern w:val="2"/>
          <w:sz w:val="24"/>
          <w:szCs w:val="24"/>
          <w:vertAlign w:val="baseline"/>
          <w:lang w:val="en-US" w:eastAsia="zh-CN" w:bidi="ar-SA"/>
        </w:rPr>
        <w:t>（</w:t>
      </w:r>
      <w:r>
        <w:rPr>
          <w:rFonts w:hint="eastAsia" w:ascii="Times New Roman" w:hAnsi="Times New Roman" w:cs="Times New Roman"/>
          <w:b w:val="0"/>
          <w:color w:val="auto"/>
          <w:kern w:val="2"/>
          <w:sz w:val="24"/>
          <w:szCs w:val="24"/>
          <w:vertAlign w:val="baseline"/>
          <w:lang w:val="en-US" w:eastAsia="zh-CN" w:bidi="ar-SA"/>
        </w:rPr>
        <w:t>三</w:t>
      </w:r>
      <w:r>
        <w:rPr>
          <w:rFonts w:hint="eastAsia" w:ascii="Times New Roman" w:hAnsi="Times New Roman" w:eastAsia="宋体" w:cs="Times New Roman"/>
          <w:b w:val="0"/>
          <w:color w:val="auto"/>
          <w:kern w:val="2"/>
          <w:sz w:val="24"/>
          <w:szCs w:val="24"/>
          <w:vertAlign w:val="baseline"/>
          <w:lang w:val="en-US" w:eastAsia="zh-CN" w:bidi="ar-SA"/>
        </w:rPr>
        <w:t>）</w:t>
      </w:r>
      <w:r>
        <w:rPr>
          <w:rFonts w:hint="default" w:ascii="Times New Roman" w:hAnsi="Times New Roman" w:eastAsia="宋体" w:cs="Times New Roman"/>
          <w:color w:val="auto"/>
          <w:kern w:val="0"/>
          <w:sz w:val="24"/>
          <w:highlight w:val="none"/>
        </w:rPr>
        <w:t>噪声：</w:t>
      </w:r>
      <w:r>
        <w:rPr>
          <w:rFonts w:hint="eastAsia" w:ascii="Times New Roman" w:hAnsi="Times New Roman" w:cs="Times New Roman"/>
          <w:color w:val="auto"/>
          <w:kern w:val="0"/>
          <w:sz w:val="24"/>
          <w:highlight w:val="none"/>
          <w:lang w:val="en-US" w:eastAsia="zh-CN"/>
        </w:rPr>
        <w:t>本</w:t>
      </w:r>
      <w:r>
        <w:rPr>
          <w:rFonts w:hint="eastAsia"/>
          <w:color w:val="auto"/>
          <w:sz w:val="24"/>
          <w:highlight w:val="none"/>
        </w:rPr>
        <w:t>项目主要噪声为各种生产设备运行产生的噪声</w:t>
      </w:r>
      <w:r>
        <w:rPr>
          <w:rFonts w:hint="eastAsia"/>
          <w:color w:val="auto"/>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olor w:val="auto"/>
          <w:sz w:val="24"/>
          <w:szCs w:val="32"/>
          <w:highlight w:val="none"/>
          <w:lang w:val="en-US" w:eastAsia="zh-CN"/>
        </w:rPr>
        <w:t>本项目实行一班制，项目在生产过程中产生的噪声主要源自热水节能循环设备、压机、烘干设备等，这些设备产生的噪声声级一般在65-95dB。通过合理安排布局，生产设备设施选用低噪声设备，生产时关闭门窗，平时加强生产及工人操作的管理和设备维护保养，并通过墙体阻隔、距离和厂区四周绿化衰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szCs w:val="24"/>
          <w:lang w:val="en-US" w:eastAsia="zh-CN" w:bidi="ar-SA"/>
        </w:rPr>
        <w:t>（</w:t>
      </w:r>
      <w:r>
        <w:rPr>
          <w:rFonts w:hint="eastAsia" w:ascii="Times New Roman" w:hAnsi="Times New Roman" w:cs="Times New Roman"/>
          <w:color w:val="auto"/>
          <w:kern w:val="0"/>
          <w:sz w:val="24"/>
          <w:szCs w:val="24"/>
          <w:lang w:val="en-US" w:eastAsia="zh-CN" w:bidi="ar-SA"/>
        </w:rPr>
        <w:t>四</w:t>
      </w:r>
      <w:r>
        <w:rPr>
          <w:rFonts w:hint="eastAsia" w:ascii="Times New Roman" w:hAnsi="Times New Roman" w:eastAsia="宋体" w:cs="Times New Roman"/>
          <w:color w:val="auto"/>
          <w:kern w:val="0"/>
          <w:sz w:val="24"/>
          <w:szCs w:val="24"/>
          <w:lang w:val="en-US" w:eastAsia="zh-CN" w:bidi="ar-SA"/>
        </w:rPr>
        <w:t>）</w:t>
      </w:r>
      <w:r>
        <w:rPr>
          <w:rFonts w:hint="default" w:ascii="Times New Roman" w:hAnsi="Times New Roman" w:eastAsia="宋体" w:cs="Times New Roman"/>
          <w:color w:val="auto"/>
          <w:kern w:val="0"/>
          <w:sz w:val="24"/>
          <w:highlight w:val="none"/>
          <w:lang w:val="en-US" w:eastAsia="zh-CN"/>
        </w:rPr>
        <w:t>固废：本项目营运过程产生的固体废物可分为生活垃圾、一般固废和危险废物。</w:t>
      </w:r>
    </w:p>
    <w:p>
      <w:pPr>
        <w:widowControl/>
        <w:numPr>
          <w:ilvl w:val="0"/>
          <w:numId w:val="0"/>
        </w:numPr>
        <w:spacing w:line="360" w:lineRule="auto"/>
        <w:ind w:firstLine="480" w:firstLineChars="200"/>
        <w:jc w:val="left"/>
        <w:rPr>
          <w:rFonts w:hint="eastAsia" w:ascii="Times New Roman" w:hAnsi="Times New Roman" w:eastAsia="宋体" w:cs="Times New Roman"/>
          <w:color w:val="0000FF"/>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公司在</w:t>
      </w:r>
      <w:r>
        <w:rPr>
          <w:rFonts w:hint="eastAsia" w:ascii="Times New Roman" w:hAnsi="Times New Roman" w:eastAsia="宋体" w:cs="Times New Roman"/>
          <w:color w:val="auto"/>
          <w:kern w:val="0"/>
          <w:sz w:val="24"/>
          <w:highlight w:val="none"/>
          <w:lang w:val="en-US" w:eastAsia="zh-CN"/>
        </w:rPr>
        <w:t>生产厂区东南侧单独房间内（浸胶车间旁）</w:t>
      </w:r>
      <w:r>
        <w:rPr>
          <w:rFonts w:hint="default" w:ascii="Times New Roman" w:hAnsi="Times New Roman" w:eastAsia="宋体" w:cs="Times New Roman"/>
          <w:color w:val="auto"/>
          <w:kern w:val="0"/>
          <w:sz w:val="24"/>
          <w:highlight w:val="none"/>
          <w:lang w:val="en-US" w:eastAsia="zh-CN"/>
        </w:rPr>
        <w:t>设置了</w:t>
      </w:r>
      <w:r>
        <w:rPr>
          <w:rFonts w:hint="eastAsia" w:ascii="Times New Roman" w:hAnsi="Times New Roman" w:eastAsia="宋体" w:cs="Times New Roman"/>
          <w:color w:val="auto"/>
          <w:kern w:val="0"/>
          <w:sz w:val="24"/>
          <w:highlight w:val="none"/>
          <w:lang w:val="en-US" w:eastAsia="zh-CN"/>
        </w:rPr>
        <w:t>一个</w:t>
      </w:r>
      <w:r>
        <w:rPr>
          <w:rFonts w:hint="default" w:ascii="Times New Roman" w:hAnsi="Times New Roman" w:eastAsia="宋体" w:cs="Times New Roman"/>
          <w:color w:val="auto"/>
          <w:kern w:val="0"/>
          <w:sz w:val="24"/>
          <w:highlight w:val="none"/>
          <w:lang w:val="en-US" w:eastAsia="zh-CN"/>
        </w:rPr>
        <w:t>危废</w:t>
      </w:r>
      <w:r>
        <w:rPr>
          <w:rFonts w:hint="eastAsia" w:ascii="Times New Roman" w:hAnsi="Times New Roman" w:eastAsia="宋体" w:cs="Times New Roman"/>
          <w:color w:val="auto"/>
          <w:kern w:val="0"/>
          <w:sz w:val="24"/>
          <w:highlight w:val="none"/>
          <w:lang w:val="en-US" w:eastAsia="zh-CN"/>
        </w:rPr>
        <w:t>仓库，危废库具备防腐防渗、防雨淋等措施，可以有效防止二次污染，规范建立了危废台账。生活垃圾集中收集后交环卫部门处理；</w:t>
      </w:r>
      <w:r>
        <w:rPr>
          <w:rFonts w:hint="eastAsia" w:ascii="Times New Roman" w:hAnsi="Times New Roman" w:cs="Times New Roman"/>
          <w:color w:val="auto"/>
          <w:kern w:val="0"/>
          <w:sz w:val="24"/>
          <w:highlight w:val="none"/>
          <w:lang w:val="en-US" w:eastAsia="zh-CN"/>
        </w:rPr>
        <w:t>炉渣、沉渣、废包装材料、清扫的灰尘、除尘器收集的粉尘收集后存于厂区内固废贮存场所，由宁国市宁墩镇统贵水泥砖厂等公司处置</w:t>
      </w:r>
      <w:r>
        <w:rPr>
          <w:rFonts w:hint="eastAsia" w:ascii="Times New Roman" w:hAnsi="Times New Roman" w:eastAsia="宋体" w:cs="Times New Roman"/>
          <w:color w:val="auto"/>
          <w:kern w:val="0"/>
          <w:sz w:val="24"/>
          <w:highlight w:val="none"/>
          <w:lang w:val="en-US" w:eastAsia="zh-CN"/>
        </w:rPr>
        <w:t>；</w:t>
      </w:r>
      <w:r>
        <w:rPr>
          <w:rFonts w:hint="eastAsia" w:ascii="Times New Roman" w:hAnsi="Times New Roman" w:cs="Times New Roman"/>
          <w:color w:val="auto"/>
          <w:kern w:val="0"/>
          <w:sz w:val="24"/>
          <w:highlight w:val="none"/>
          <w:lang w:val="en-US" w:eastAsia="zh-CN"/>
        </w:rPr>
        <w:t>干式过滤棉、</w:t>
      </w:r>
      <w:r>
        <w:rPr>
          <w:rFonts w:hint="eastAsia" w:ascii="Times New Roman" w:hAnsi="Times New Roman" w:eastAsia="宋体" w:cs="Times New Roman"/>
          <w:color w:val="auto"/>
          <w:kern w:val="0"/>
          <w:sz w:val="24"/>
          <w:highlight w:val="none"/>
          <w:lang w:val="en-US" w:eastAsia="zh-CN"/>
        </w:rPr>
        <w:t>废活性炭</w:t>
      </w:r>
      <w:r>
        <w:rPr>
          <w:rFonts w:hint="eastAsia" w:ascii="Times New Roman" w:hAnsi="Times New Roman" w:cs="Times New Roman"/>
          <w:color w:val="auto"/>
          <w:kern w:val="0"/>
          <w:sz w:val="24"/>
          <w:highlight w:val="none"/>
          <w:lang w:val="en-US" w:eastAsia="zh-CN"/>
        </w:rPr>
        <w:t>、废机油</w:t>
      </w:r>
      <w:r>
        <w:rPr>
          <w:rFonts w:hint="eastAsia" w:ascii="Times New Roman" w:hAnsi="Times New Roman" w:eastAsia="宋体" w:cs="Times New Roman"/>
          <w:color w:val="auto"/>
          <w:kern w:val="0"/>
          <w:sz w:val="24"/>
          <w:highlight w:val="none"/>
          <w:lang w:val="en-US" w:eastAsia="zh-CN"/>
        </w:rPr>
        <w:t>暂存于厂区危废仓库内，委托宣城宏顺环保科技有限公司等有资质公司处置。</w:t>
      </w:r>
    </w:p>
    <w:p>
      <w:pPr>
        <w:widowControl/>
        <w:numPr>
          <w:ilvl w:val="0"/>
          <w:numId w:val="0"/>
        </w:numPr>
        <w:spacing w:line="360" w:lineRule="auto"/>
        <w:ind w:firstLine="480" w:firstLineChars="200"/>
        <w:jc w:val="left"/>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（五）环境风险防范措施：针对可能产生的环境风险，企业设立了事故应急指挥领导小组，并定期开展演练，同时配备了相应的应急物资，包括灭火器，急救箱等。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四、环境保护设施调试监测结果</w:t>
      </w:r>
    </w:p>
    <w:p>
      <w:pPr>
        <w:spacing w:line="360" w:lineRule="auto"/>
        <w:ind w:firstLine="480" w:firstLineChars="200"/>
        <w:outlineLvl w:val="0"/>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kern w:val="0"/>
          <w:sz w:val="24"/>
          <w:highlight w:val="none"/>
          <w:lang w:eastAsia="zh-CN"/>
        </w:rPr>
        <w:t>中昱（浙江）环境监测股份有限公司</w:t>
      </w:r>
      <w:r>
        <w:rPr>
          <w:rFonts w:hint="default" w:ascii="Times New Roman" w:hAnsi="Times New Roman" w:eastAsia="宋体" w:cs="Times New Roman"/>
          <w:color w:val="auto"/>
          <w:kern w:val="0"/>
          <w:sz w:val="24"/>
          <w:highlight w:val="none"/>
        </w:rPr>
        <w:t>对该项目进行了环境保护验收监测（报告编号：</w:t>
      </w:r>
      <w:r>
        <w:rPr>
          <w:rFonts w:hint="default" w:ascii="Times New Roman" w:hAnsi="Times New Roman" w:eastAsia="宋体" w:cs="Times New Roman"/>
          <w:snapToGrid/>
          <w:color w:val="auto"/>
          <w:spacing w:val="-3"/>
          <w:kern w:val="2"/>
          <w:sz w:val="24"/>
          <w:szCs w:val="24"/>
          <w:highlight w:val="none"/>
          <w:lang w:val="en-US" w:eastAsia="zh-CN" w:bidi="ar-SA"/>
        </w:rPr>
        <w:t>中昱环境（2023）检11-120号</w:t>
      </w:r>
      <w:r>
        <w:rPr>
          <w:rFonts w:hint="eastAsia" w:ascii="Times New Roman" w:hAnsi="Times New Roman" w:cs="Times New Roman"/>
          <w:snapToGrid/>
          <w:color w:val="auto"/>
          <w:spacing w:val="-3"/>
          <w:kern w:val="2"/>
          <w:sz w:val="24"/>
          <w:szCs w:val="24"/>
          <w:highlight w:val="none"/>
          <w:lang w:val="en-US" w:eastAsia="zh-CN" w:bidi="ar-SA"/>
        </w:rPr>
        <w:t>、中昱环境（2023）检11-142号</w:t>
      </w:r>
      <w:r>
        <w:rPr>
          <w:rFonts w:hint="default" w:ascii="Times New Roman" w:hAnsi="Times New Roman" w:eastAsia="宋体" w:cs="Times New Roman"/>
          <w:color w:val="auto"/>
          <w:kern w:val="0"/>
          <w:sz w:val="24"/>
          <w:highlight w:val="none"/>
        </w:rPr>
        <w:t>）。监测期间，</w:t>
      </w:r>
      <w:r>
        <w:rPr>
          <w:rFonts w:hint="eastAsia" w:ascii="Times New Roman" w:hAnsi="Times New Roman" w:cs="Times New Roman"/>
          <w:color w:val="auto"/>
          <w:kern w:val="0"/>
          <w:sz w:val="24"/>
          <w:highlight w:val="none"/>
          <w:lang w:val="en-US" w:eastAsia="zh-CN"/>
        </w:rPr>
        <w:t>阶段性</w:t>
      </w:r>
      <w:r>
        <w:rPr>
          <w:rFonts w:hint="default" w:ascii="Times New Roman" w:hAnsi="Times New Roman" w:eastAsia="宋体" w:cs="Times New Roman"/>
          <w:color w:val="auto"/>
          <w:kern w:val="0"/>
          <w:sz w:val="24"/>
          <w:highlight w:val="none"/>
        </w:rPr>
        <w:t>验收项目生产工况正常，符合竣工验收工况负荷要求。</w:t>
      </w:r>
    </w:p>
    <w:p>
      <w:pPr>
        <w:pStyle w:val="8"/>
        <w:spacing w:line="480" w:lineRule="exact"/>
        <w:ind w:firstLine="360" w:firstLineChars="15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（一）环保设施处理效率</w:t>
      </w:r>
    </w:p>
    <w:p>
      <w:pPr>
        <w:pStyle w:val="8"/>
        <w:spacing w:line="48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（1）废水处理设施</w:t>
      </w:r>
    </w:p>
    <w:p>
      <w:pPr>
        <w:pStyle w:val="8"/>
        <w:spacing w:line="48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w:t>
      </w:r>
      <w:r>
        <w:rPr>
          <w:rFonts w:hint="eastAsia" w:ascii="Times New Roman" w:hAnsi="Times New Roman" w:cs="Times New Roman"/>
          <w:color w:val="auto"/>
          <w:sz w:val="24"/>
          <w:highlight w:val="none"/>
          <w:lang w:val="en-US" w:eastAsia="zh-CN"/>
        </w:rPr>
        <w:t>有</w:t>
      </w:r>
      <w:r>
        <w:rPr>
          <w:rFonts w:ascii="Times New Roman" w:hAnsi="Times New Roman" w:eastAsia="宋体" w:cs="Times New Roman"/>
          <w:color w:val="auto"/>
          <w:sz w:val="24"/>
          <w:highlight w:val="none"/>
        </w:rPr>
        <w:t>生产废水</w:t>
      </w:r>
      <w:r>
        <w:rPr>
          <w:rFonts w:hint="eastAsia" w:ascii="Times New Roman" w:hAnsi="Times New Roman" w:cs="Times New Roman"/>
          <w:color w:val="auto"/>
          <w:sz w:val="24"/>
          <w:highlight w:val="none"/>
          <w:lang w:val="en-US" w:eastAsia="zh-CN"/>
        </w:rPr>
        <w:t>产生，锅炉废水、软水制备废水、设备冷却水经沉淀池收集后，暂时回用于水膜除尘装置，不外排</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不涉及</w:t>
      </w:r>
      <w:r>
        <w:rPr>
          <w:rFonts w:ascii="Times New Roman" w:hAnsi="Times New Roman" w:eastAsia="宋体" w:cs="Times New Roman"/>
          <w:color w:val="auto"/>
          <w:sz w:val="24"/>
          <w:highlight w:val="none"/>
        </w:rPr>
        <w:t>废水处理设施处理效率问题。</w:t>
      </w:r>
    </w:p>
    <w:p>
      <w:pPr>
        <w:pStyle w:val="8"/>
        <w:spacing w:line="48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（2）废气处理设施</w:t>
      </w:r>
    </w:p>
    <w:p>
      <w:pPr>
        <w:pStyle w:val="8"/>
        <w:spacing w:line="480" w:lineRule="exact"/>
        <w:ind w:firstLine="480" w:firstLineChars="200"/>
        <w:rPr>
          <w:rFonts w:hint="eastAsia" w:ascii="Times New Roman" w:hAnsi="Times New Roman" w:eastAsia="宋体" w:cs="Times New Roman"/>
          <w:color w:val="auto"/>
          <w:sz w:val="24"/>
          <w:highlight w:val="none"/>
          <w:lang w:eastAsia="zh-CN"/>
        </w:rPr>
      </w:pPr>
      <w:r>
        <w:rPr>
          <w:rFonts w:ascii="Times New Roman" w:hAnsi="Times New Roman" w:eastAsia="宋体" w:cs="Times New Roman"/>
          <w:color w:val="auto"/>
          <w:sz w:val="24"/>
          <w:highlight w:val="none"/>
        </w:rPr>
        <w:t>监测结果显示：</w:t>
      </w:r>
      <w:r>
        <w:rPr>
          <w:rFonts w:hint="eastAsia" w:ascii="Times New Roman" w:hAnsi="Times New Roman" w:cs="Times New Roman"/>
          <w:color w:val="auto"/>
          <w:sz w:val="24"/>
          <w:highlight w:val="none"/>
          <w:lang w:val="en-US" w:eastAsia="zh-CN"/>
        </w:rPr>
        <w:t>2#</w:t>
      </w:r>
      <w:r>
        <w:rPr>
          <w:rFonts w:ascii="Times New Roman" w:hAnsi="Times New Roman" w:eastAsia="宋体" w:cs="Times New Roman"/>
          <w:color w:val="auto"/>
          <w:sz w:val="24"/>
          <w:highlight w:val="none"/>
        </w:rPr>
        <w:t>废气处理设施对</w:t>
      </w:r>
      <w:r>
        <w:rPr>
          <w:rFonts w:hint="eastAsia" w:ascii="Times New Roman" w:hAnsi="Times New Roman" w:eastAsia="宋体" w:cs="Times New Roman"/>
          <w:color w:val="auto"/>
          <w:sz w:val="24"/>
          <w:highlight w:val="none"/>
          <w:lang w:val="en-US" w:eastAsia="zh-CN"/>
        </w:rPr>
        <w:t>VOCs</w:t>
      </w:r>
      <w:r>
        <w:rPr>
          <w:rFonts w:ascii="Times New Roman" w:hAnsi="Times New Roman" w:eastAsia="宋体" w:cs="Times New Roman"/>
          <w:color w:val="auto"/>
          <w:sz w:val="24"/>
          <w:highlight w:val="none"/>
        </w:rPr>
        <w:t>的去除率第一个监测日为</w:t>
      </w:r>
      <w:r>
        <w:rPr>
          <w:rFonts w:hint="eastAsia" w:ascii="Times New Roman" w:hAnsi="Times New Roman" w:cs="Times New Roman"/>
          <w:color w:val="auto"/>
          <w:sz w:val="24"/>
          <w:highlight w:val="none"/>
          <w:lang w:val="en-US" w:eastAsia="zh-CN"/>
        </w:rPr>
        <w:t>89.42</w:t>
      </w:r>
      <w:r>
        <w:rPr>
          <w:rFonts w:ascii="Times New Roman" w:hAnsi="Times New Roman" w:eastAsia="宋体" w:cs="Times New Roman"/>
          <w:color w:val="auto"/>
          <w:sz w:val="24"/>
          <w:highlight w:val="none"/>
        </w:rPr>
        <w:t>％，第二个监测日为</w:t>
      </w:r>
      <w:r>
        <w:rPr>
          <w:rFonts w:hint="eastAsia" w:ascii="Times New Roman" w:hAnsi="Times New Roman" w:cs="Times New Roman"/>
          <w:color w:val="auto"/>
          <w:sz w:val="24"/>
          <w:highlight w:val="none"/>
          <w:lang w:val="en-US" w:eastAsia="zh-CN"/>
        </w:rPr>
        <w:t>88.77</w:t>
      </w:r>
      <w:r>
        <w:rPr>
          <w:rFonts w:ascii="Times New Roman" w:hAnsi="Times New Roman" w:eastAsia="宋体" w:cs="Times New Roman"/>
          <w:color w:val="auto"/>
          <w:sz w:val="24"/>
          <w:highlight w:val="none"/>
        </w:rPr>
        <w:t>％</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lang w:eastAsia="zh-CN"/>
        </w:rPr>
        <w:t>废气处理设施对</w:t>
      </w:r>
      <w:r>
        <w:rPr>
          <w:rFonts w:hint="eastAsia" w:ascii="Times New Roman" w:hAnsi="Times New Roman" w:cs="Times New Roman"/>
          <w:color w:val="auto"/>
          <w:sz w:val="24"/>
          <w:highlight w:val="none"/>
          <w:lang w:val="en-US" w:eastAsia="zh-CN"/>
        </w:rPr>
        <w:t>VOCs</w:t>
      </w:r>
      <w:r>
        <w:rPr>
          <w:rFonts w:hint="eastAsia" w:ascii="Times New Roman" w:hAnsi="Times New Roman" w:cs="Times New Roman"/>
          <w:color w:val="auto"/>
          <w:sz w:val="24"/>
          <w:highlight w:val="none"/>
          <w:lang w:eastAsia="zh-CN"/>
        </w:rPr>
        <w:t>的去除率第一个监测日为</w:t>
      </w:r>
      <w:r>
        <w:rPr>
          <w:rFonts w:hint="eastAsia" w:ascii="Times New Roman" w:hAnsi="Times New Roman" w:cs="Times New Roman"/>
          <w:color w:val="auto"/>
          <w:sz w:val="24"/>
          <w:highlight w:val="none"/>
          <w:lang w:val="en-US" w:eastAsia="zh-CN"/>
        </w:rPr>
        <w:t>89</w:t>
      </w:r>
      <w:r>
        <w:rPr>
          <w:rFonts w:hint="eastAsia" w:ascii="Times New Roman" w:hAnsi="Times New Roman" w:cs="Times New Roman"/>
          <w:color w:val="auto"/>
          <w:sz w:val="24"/>
          <w:highlight w:val="none"/>
          <w:lang w:eastAsia="zh-CN"/>
        </w:rPr>
        <w:t>％，第二个监测日为</w:t>
      </w:r>
      <w:r>
        <w:rPr>
          <w:rFonts w:hint="eastAsia" w:ascii="Times New Roman" w:hAnsi="Times New Roman" w:cs="Times New Roman"/>
          <w:color w:val="auto"/>
          <w:sz w:val="24"/>
          <w:highlight w:val="none"/>
          <w:lang w:val="en-US" w:eastAsia="zh-CN"/>
        </w:rPr>
        <w:t>89.92</w:t>
      </w:r>
      <w:r>
        <w:rPr>
          <w:rFonts w:hint="eastAsia" w:ascii="Times New Roman" w:hAnsi="Times New Roman" w:cs="Times New Roman"/>
          <w:color w:val="auto"/>
          <w:sz w:val="24"/>
          <w:highlight w:val="none"/>
          <w:lang w:eastAsia="zh-CN"/>
        </w:rPr>
        <w:t>％。</w:t>
      </w:r>
    </w:p>
    <w:p>
      <w:pPr>
        <w:pStyle w:val="8"/>
        <w:spacing w:line="480" w:lineRule="exact"/>
        <w:ind w:firstLine="360" w:firstLineChars="15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w:t>
      </w:r>
      <w:r>
        <w:rPr>
          <w:rFonts w:hint="eastAsia" w:ascii="Times New Roman" w:hAnsi="Times New Roman" w:cs="Times New Roman"/>
          <w:color w:val="auto"/>
          <w:sz w:val="24"/>
          <w:szCs w:val="32"/>
          <w:highlight w:val="none"/>
          <w:lang w:val="en-US" w:eastAsia="zh-CN"/>
        </w:rPr>
        <w:t>3</w:t>
      </w:r>
      <w:r>
        <w:rPr>
          <w:rFonts w:ascii="Times New Roman" w:hAnsi="Times New Roman" w:eastAsia="宋体" w:cs="Times New Roman"/>
          <w:color w:val="auto"/>
          <w:sz w:val="24"/>
          <w:szCs w:val="32"/>
          <w:highlight w:val="none"/>
        </w:rPr>
        <w:t>）厂界噪声治理设施</w:t>
      </w:r>
    </w:p>
    <w:p>
      <w:pPr>
        <w:pStyle w:val="8"/>
        <w:spacing w:line="480" w:lineRule="exact"/>
        <w:ind w:firstLine="480" w:firstLineChars="20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highlight w:val="none"/>
          <w:lang w:bidi="ar"/>
        </w:rPr>
        <w:t>监测结果显示：</w:t>
      </w:r>
      <w:r>
        <w:rPr>
          <w:rFonts w:ascii="Times New Roman" w:hAnsi="Times New Roman" w:eastAsia="宋体" w:cs="Times New Roman"/>
          <w:color w:val="auto"/>
          <w:sz w:val="24"/>
          <w:highlight w:val="none"/>
        </w:rPr>
        <w:t>项目厂界昼间噪声监测值</w:t>
      </w:r>
      <w:r>
        <w:rPr>
          <w:rFonts w:hint="eastAsia" w:ascii="Times New Roman" w:hAnsi="Times New Roman" w:eastAsia="宋体" w:cs="Times New Roman"/>
          <w:color w:val="auto"/>
          <w:sz w:val="24"/>
          <w:highlight w:val="none"/>
          <w:lang w:val="en-US" w:eastAsia="zh-CN"/>
        </w:rPr>
        <w:t>满足</w:t>
      </w:r>
      <w:r>
        <w:rPr>
          <w:rFonts w:ascii="Times New Roman" w:hAnsi="Times New Roman" w:eastAsia="宋体" w:cs="Times New Roman"/>
          <w:color w:val="auto"/>
          <w:sz w:val="24"/>
          <w:highlight w:val="none"/>
        </w:rPr>
        <w:t>《工业企业厂界环境噪声排放标准》（GB12348-2008）</w:t>
      </w:r>
      <w:r>
        <w:rPr>
          <w:rFonts w:hint="eastAsia" w:ascii="Times New Roman" w:hAnsi="Times New Roman" w:eastAsia="宋体" w:cs="Times New Roman"/>
          <w:color w:val="auto"/>
          <w:sz w:val="24"/>
          <w:highlight w:val="none"/>
          <w:lang w:val="en-US" w:eastAsia="zh-CN"/>
        </w:rPr>
        <w:t>中的</w:t>
      </w:r>
      <w:r>
        <w:rPr>
          <w:rFonts w:hint="eastAsia" w:ascii="Times New Roman" w:hAnsi="Times New Roman" w:cs="Times New Roman"/>
          <w:color w:val="auto"/>
          <w:sz w:val="24"/>
          <w:highlight w:val="none"/>
          <w:lang w:val="en-US" w:eastAsia="zh-CN"/>
        </w:rPr>
        <w:t>2</w:t>
      </w:r>
      <w:r>
        <w:rPr>
          <w:rFonts w:ascii="Times New Roman" w:hAnsi="Times New Roman" w:eastAsia="宋体" w:cs="Times New Roman"/>
          <w:color w:val="auto"/>
          <w:sz w:val="24"/>
          <w:highlight w:val="none"/>
        </w:rPr>
        <w:t>类标准限值要求，</w:t>
      </w:r>
      <w:r>
        <w:rPr>
          <w:rFonts w:hint="eastAsia" w:ascii="Times New Roman" w:hAnsi="Times New Roman" w:eastAsia="宋体" w:cs="Times New Roman"/>
          <w:color w:val="auto"/>
          <w:sz w:val="24"/>
          <w:highlight w:val="none"/>
          <w:lang w:val="en-US" w:eastAsia="zh-CN"/>
        </w:rPr>
        <w:t>黄泥岗村昼间噪声满足《声环境质量标准》（GB3096-2008）中的2类标准</w:t>
      </w:r>
      <w:r>
        <w:rPr>
          <w:rFonts w:hint="eastAsia" w:ascii="Times New Roman" w:hAnsi="Times New Roman" w:cs="Times New Roman"/>
          <w:color w:val="auto"/>
          <w:sz w:val="24"/>
          <w:highlight w:val="none"/>
          <w:lang w:val="en-US" w:eastAsia="zh-CN"/>
        </w:rPr>
        <w:t>，</w:t>
      </w:r>
      <w:r>
        <w:rPr>
          <w:rFonts w:ascii="Times New Roman" w:hAnsi="Times New Roman" w:eastAsia="宋体" w:cs="Times New Roman"/>
          <w:color w:val="auto"/>
          <w:sz w:val="24"/>
          <w:highlight w:val="none"/>
        </w:rPr>
        <w:t>说明项目采取的噪声防治措施合理。</w:t>
      </w:r>
    </w:p>
    <w:p>
      <w:pPr>
        <w:pStyle w:val="8"/>
        <w:spacing w:line="480" w:lineRule="exact"/>
        <w:ind w:firstLine="360" w:firstLineChars="15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w:t>
      </w:r>
      <w:r>
        <w:rPr>
          <w:rFonts w:hint="eastAsia" w:ascii="Times New Roman" w:hAnsi="Times New Roman" w:cs="Times New Roman"/>
          <w:color w:val="auto"/>
          <w:sz w:val="24"/>
          <w:szCs w:val="32"/>
          <w:highlight w:val="none"/>
          <w:lang w:val="en-US" w:eastAsia="zh-CN"/>
        </w:rPr>
        <w:t>4</w:t>
      </w:r>
      <w:r>
        <w:rPr>
          <w:rFonts w:ascii="Times New Roman" w:hAnsi="Times New Roman" w:eastAsia="宋体" w:cs="Times New Roman"/>
          <w:color w:val="auto"/>
          <w:sz w:val="24"/>
          <w:szCs w:val="32"/>
          <w:highlight w:val="none"/>
        </w:rPr>
        <w:t>）固体废物治理设施</w:t>
      </w:r>
    </w:p>
    <w:p>
      <w:pPr>
        <w:pStyle w:val="8"/>
        <w:spacing w:line="480" w:lineRule="exact"/>
        <w:ind w:firstLine="480" w:firstLineChars="200"/>
        <w:rPr>
          <w:rFonts w:hint="default" w:ascii="Times New Roman" w:hAnsi="Times New Roman" w:eastAsia="宋体" w:cs="Times New Roman"/>
          <w:color w:val="auto"/>
          <w:sz w:val="24"/>
          <w:szCs w:val="32"/>
          <w:highlight w:val="none"/>
          <w:lang w:val="en-US" w:eastAsia="zh-CN"/>
        </w:rPr>
      </w:pPr>
      <w:r>
        <w:rPr>
          <w:rFonts w:ascii="Times New Roman" w:hAnsi="Times New Roman" w:eastAsia="宋体" w:cs="Times New Roman"/>
          <w:color w:val="auto"/>
          <w:sz w:val="24"/>
          <w:szCs w:val="32"/>
          <w:highlight w:val="none"/>
        </w:rPr>
        <w:t>项目固废均委托外单位进行处置，自身不配备</w:t>
      </w:r>
      <w:r>
        <w:rPr>
          <w:rFonts w:hint="eastAsia" w:ascii="Times New Roman" w:hAnsi="Times New Roman" w:cs="Times New Roman"/>
          <w:color w:val="auto"/>
          <w:sz w:val="24"/>
          <w:szCs w:val="32"/>
          <w:highlight w:val="none"/>
          <w:lang w:eastAsia="zh-CN"/>
        </w:rPr>
        <w:t>固体废物处理</w:t>
      </w:r>
      <w:r>
        <w:rPr>
          <w:rFonts w:ascii="Times New Roman" w:hAnsi="Times New Roman" w:eastAsia="宋体" w:cs="Times New Roman"/>
          <w:color w:val="auto"/>
          <w:sz w:val="24"/>
          <w:szCs w:val="32"/>
          <w:highlight w:val="none"/>
        </w:rPr>
        <w:t>设施。</w:t>
      </w:r>
      <w:r>
        <w:rPr>
          <w:rFonts w:hint="eastAsia" w:ascii="Times New Roman" w:hAnsi="Times New Roman" w:cs="Times New Roman"/>
          <w:color w:val="auto"/>
          <w:sz w:val="24"/>
          <w:szCs w:val="32"/>
          <w:highlight w:val="none"/>
          <w:lang w:val="en-US" w:eastAsia="zh-CN"/>
        </w:rPr>
        <w:t>废包装材料、清扫的灰尘、除尘器收集的粉尘、炉渣、沉渣收集后贮存在固废储存场所，委托宁国市宁墩镇统贵水泥砖厂等公司处置；废活性炭、干式过滤棉、废机油集中收集后，暂存于危废仓库，委托宣城宏顺环保科技有限公司等有资质单位处理。</w:t>
      </w:r>
    </w:p>
    <w:p>
      <w:pPr>
        <w:pStyle w:val="8"/>
        <w:spacing w:line="480" w:lineRule="exact"/>
        <w:ind w:firstLine="360" w:firstLineChars="15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w:t>
      </w:r>
      <w:r>
        <w:rPr>
          <w:rFonts w:ascii="Times New Roman" w:hAnsi="Times New Roman" w:eastAsia="宋体" w:cs="Times New Roman"/>
          <w:color w:val="auto"/>
          <w:sz w:val="24"/>
          <w:szCs w:val="32"/>
          <w:highlight w:val="none"/>
        </w:rPr>
        <w:t>二）污染物排放情况</w:t>
      </w:r>
    </w:p>
    <w:p>
      <w:pPr>
        <w:pStyle w:val="8"/>
        <w:spacing w:line="480" w:lineRule="exact"/>
        <w:ind w:firstLine="360" w:firstLineChars="150"/>
        <w:rPr>
          <w:rFonts w:ascii="Times New Roman" w:hAnsi="Times New Roman" w:eastAsia="宋体" w:cs="Times New Roman"/>
          <w:color w:val="auto"/>
          <w:sz w:val="24"/>
          <w:szCs w:val="32"/>
          <w:highlight w:val="none"/>
        </w:rPr>
      </w:pPr>
      <w:r>
        <w:rPr>
          <w:rFonts w:ascii="Times New Roman" w:hAnsi="Times New Roman" w:eastAsia="宋体" w:cs="Times New Roman"/>
          <w:color w:val="auto"/>
          <w:sz w:val="24"/>
          <w:szCs w:val="32"/>
          <w:highlight w:val="none"/>
        </w:rPr>
        <w:t>（1）噪声污染物排放评价</w:t>
      </w:r>
    </w:p>
    <w:p>
      <w:pPr>
        <w:spacing w:line="480" w:lineRule="exact"/>
        <w:ind w:firstLine="480" w:firstLineChars="200"/>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监测结果显示：项目厂界昼间噪声测量值</w:t>
      </w:r>
      <w:r>
        <w:rPr>
          <w:rFonts w:hint="eastAsia" w:ascii="Times New Roman" w:hAnsi="Times New Roman" w:eastAsia="宋体"/>
          <w:color w:val="auto"/>
          <w:kern w:val="0"/>
          <w:sz w:val="24"/>
          <w:highlight w:val="none"/>
          <w:lang w:val="en-US" w:eastAsia="zh-CN"/>
        </w:rPr>
        <w:t>满足</w:t>
      </w:r>
      <w:r>
        <w:rPr>
          <w:rFonts w:ascii="Times New Roman" w:hAnsi="Times New Roman" w:eastAsia="宋体"/>
          <w:color w:val="auto"/>
          <w:kern w:val="0"/>
          <w:sz w:val="24"/>
          <w:highlight w:val="none"/>
        </w:rPr>
        <w:t>《工业企业厂界噪声排放标准》（GB 12348-2008）中</w:t>
      </w:r>
      <w:r>
        <w:rPr>
          <w:rFonts w:hint="eastAsia" w:ascii="Times New Roman" w:hAnsi="Times New Roman"/>
          <w:color w:val="auto"/>
          <w:kern w:val="0"/>
          <w:sz w:val="24"/>
          <w:highlight w:val="none"/>
          <w:lang w:val="en-US" w:eastAsia="zh-CN"/>
        </w:rPr>
        <w:t>2</w:t>
      </w:r>
      <w:r>
        <w:rPr>
          <w:rFonts w:ascii="Times New Roman" w:hAnsi="Times New Roman" w:eastAsia="宋体"/>
          <w:color w:val="auto"/>
          <w:kern w:val="0"/>
          <w:sz w:val="24"/>
          <w:highlight w:val="none"/>
        </w:rPr>
        <w:t>类标准的要求</w:t>
      </w:r>
      <w:r>
        <w:rPr>
          <w:rFonts w:hint="eastAsia" w:ascii="Times New Roman" w:hAnsi="Times New Roman"/>
          <w:color w:val="auto"/>
          <w:kern w:val="0"/>
          <w:sz w:val="24"/>
          <w:highlight w:val="none"/>
          <w:lang w:eastAsia="zh-CN"/>
        </w:rPr>
        <w:t>，</w:t>
      </w:r>
      <w:r>
        <w:rPr>
          <w:rFonts w:hint="eastAsia" w:ascii="Times New Roman" w:hAnsi="Times New Roman" w:eastAsia="宋体"/>
          <w:color w:val="auto"/>
          <w:kern w:val="0"/>
          <w:sz w:val="24"/>
          <w:highlight w:val="none"/>
          <w:lang w:val="en-US" w:eastAsia="zh-CN"/>
        </w:rPr>
        <w:t>黄泥岗村昼间噪声满足《声环境质量标准》（GB3096-2008）中的2类标准。</w:t>
      </w:r>
    </w:p>
    <w:p>
      <w:pPr>
        <w:spacing w:line="480" w:lineRule="exact"/>
        <w:ind w:firstLine="360" w:firstLineChars="150"/>
        <w:rPr>
          <w:rFonts w:ascii="Times New Roman" w:hAnsi="Times New Roman" w:eastAsia="宋体"/>
          <w:color w:val="auto"/>
          <w:kern w:val="0"/>
          <w:sz w:val="24"/>
          <w:highlight w:val="none"/>
        </w:rPr>
      </w:pPr>
      <w:r>
        <w:rPr>
          <w:rFonts w:ascii="Times New Roman" w:hAnsi="Times New Roman" w:eastAsia="宋体"/>
          <w:color w:val="auto"/>
          <w:sz w:val="24"/>
          <w:szCs w:val="32"/>
          <w:highlight w:val="none"/>
        </w:rPr>
        <w:t>（</w:t>
      </w:r>
      <w:r>
        <w:rPr>
          <w:rFonts w:ascii="Times New Roman" w:hAnsi="Times New Roman" w:eastAsia="宋体"/>
          <w:color w:val="auto"/>
          <w:kern w:val="0"/>
          <w:sz w:val="24"/>
          <w:highlight w:val="none"/>
        </w:rPr>
        <w:t>2）废气污染物排放评价</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由检测结果可知，项目验收监测期间，项目锅炉废气排气筒颗粒物、二氧化硫、氮氧化物排放满足《锅炉大气污染物排放标准》（GB13271-2014）中新建锅炉大气污染物特别排放限值中燃煤锅炉标准；浸胶废气排气筒非甲烷总烃、甲醛排放满足上海市《大气污染物综合排放标准》（DB31/933-2015）中表1大气污染物项目排放限值；压板、烘干废气排气筒非甲烷总烃、甲醛排放满足上海市《大气污染物综合排放标准》（DB31/933-2015）中表1大气污染物项目排放限值</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24"/>
          <w:highlight w:val="none"/>
          <w:lang w:val="en-US" w:eastAsia="zh-CN"/>
        </w:rPr>
        <w:t>厂界无组织非甲烷总烃、甲醛排放浓度满足上海市《大气污染物综合排放标准》（DB31/933-2015）表3厂界大气污染物监控点浓度限值；厂区内车间外无组织非甲烷总烃排放浓度满足《挥发性有机物无组织排放控制标准》（GB37822-2019）表A.1中的特别排放限值；黄泥岗村非甲烷总烃浓度满足《大气污染物综合排放标准详解》中的排放限值，甲醛浓度满足《环境影响评价技术导则 大气环境》（HJ 2.2-2018）中的排放限值</w:t>
      </w:r>
      <w:r>
        <w:rPr>
          <w:rFonts w:hint="eastAsia" w:ascii="Times New Roman" w:hAnsi="Times New Roman" w:eastAsia="宋体" w:cs="Times New Roman"/>
          <w:color w:val="auto"/>
          <w:sz w:val="24"/>
          <w:szCs w:val="24"/>
          <w:highlight w:val="none"/>
          <w:lang w:val="en-US" w:eastAsia="zh-CN"/>
        </w:rPr>
        <w:t>。</w:t>
      </w:r>
    </w:p>
    <w:p>
      <w:pPr>
        <w:spacing w:line="480" w:lineRule="exact"/>
        <w:ind w:firstLine="360" w:firstLineChars="150"/>
        <w:rPr>
          <w:rFonts w:ascii="Times New Roman" w:hAnsi="Times New Roman" w:eastAsia="宋体"/>
          <w:color w:val="auto"/>
          <w:kern w:val="0"/>
          <w:sz w:val="24"/>
          <w:highlight w:val="none"/>
        </w:rPr>
      </w:pPr>
      <w:r>
        <w:rPr>
          <w:rFonts w:ascii="Times New Roman" w:hAnsi="Times New Roman" w:eastAsia="宋体"/>
          <w:color w:val="auto"/>
          <w:sz w:val="24"/>
          <w:szCs w:val="32"/>
          <w:highlight w:val="none"/>
        </w:rPr>
        <w:t>（</w:t>
      </w:r>
      <w:r>
        <w:rPr>
          <w:rFonts w:ascii="Times New Roman" w:hAnsi="Times New Roman" w:eastAsia="宋体"/>
          <w:color w:val="auto"/>
          <w:kern w:val="0"/>
          <w:sz w:val="24"/>
          <w:highlight w:val="none"/>
        </w:rPr>
        <w:t>3）废水污染物排放评价</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由检测结果可知，项目验收监测期间，本项目污水总排口</w:t>
      </w:r>
      <w:r>
        <w:rPr>
          <w:rFonts w:hint="eastAsia" w:ascii="Times New Roman" w:hAnsi="Times New Roman" w:cs="Times New Roman"/>
          <w:color w:val="auto"/>
          <w:sz w:val="24"/>
          <w:szCs w:val="24"/>
          <w:highlight w:val="none"/>
          <w:lang w:val="en-US" w:eastAsia="zh-CN"/>
        </w:rPr>
        <w:t>中</w:t>
      </w:r>
      <w:r>
        <w:rPr>
          <w:rFonts w:hint="default" w:ascii="Times New Roman" w:hAnsi="Times New Roman" w:eastAsia="宋体" w:cs="Times New Roman"/>
          <w:color w:val="auto"/>
          <w:sz w:val="24"/>
          <w:szCs w:val="24"/>
          <w:highlight w:val="none"/>
          <w:lang w:val="en-US" w:eastAsia="zh-CN"/>
        </w:rPr>
        <w:t>pH值、化学需氧量、氨氮、悬浮物、总磷、动植物油类浓度满足</w:t>
      </w:r>
      <w:r>
        <w:rPr>
          <w:rFonts w:hint="eastAsia" w:ascii="Times New Roman" w:hAnsi="Times New Roman" w:eastAsia="宋体" w:cs="Times New Roman"/>
          <w:color w:val="auto"/>
          <w:sz w:val="24"/>
          <w:szCs w:val="24"/>
          <w:highlight w:val="none"/>
          <w:lang w:val="en-US" w:eastAsia="zh-CN"/>
        </w:rPr>
        <w:t>宁墩镇污水处理厂污水接管标准。</w:t>
      </w:r>
    </w:p>
    <w:p>
      <w:pPr>
        <w:spacing w:line="480" w:lineRule="exact"/>
        <w:ind w:firstLine="360" w:firstLineChars="150"/>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（4）污染物排放总量</w:t>
      </w:r>
    </w:p>
    <w:p>
      <w:pPr>
        <w:spacing w:line="480" w:lineRule="exact"/>
        <w:ind w:firstLine="480" w:firstLineChars="20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项目涉及总量控制污染物为</w:t>
      </w:r>
      <w:r>
        <w:rPr>
          <w:rFonts w:hint="default" w:ascii="Times New Roman" w:hAnsi="Times New Roman" w:eastAsia="宋体"/>
          <w:color w:val="auto"/>
          <w:sz w:val="24"/>
          <w:szCs w:val="24"/>
          <w:highlight w:val="none"/>
          <w:lang w:val="en-US" w:eastAsia="zh-CN"/>
        </w:rPr>
        <w:t>COD</w:t>
      </w:r>
      <w:r>
        <w:rPr>
          <w:rFonts w:hint="default" w:ascii="Times New Roman" w:hAnsi="Times New Roman" w:eastAsia="宋体"/>
          <w:color w:val="auto"/>
          <w:sz w:val="24"/>
          <w:szCs w:val="24"/>
          <w:highlight w:val="none"/>
          <w:vertAlign w:val="subscript"/>
          <w:lang w:val="en-US" w:eastAsia="zh-CN"/>
        </w:rPr>
        <w:t>Cr</w:t>
      </w:r>
      <w:r>
        <w:rPr>
          <w:rFonts w:hint="default" w:ascii="Times New Roman" w:hAnsi="Times New Roman" w:eastAsia="宋体"/>
          <w:color w:val="auto"/>
          <w:sz w:val="24"/>
          <w:szCs w:val="24"/>
          <w:highlight w:val="none"/>
          <w:lang w:val="en-US" w:eastAsia="zh-CN"/>
        </w:rPr>
        <w:t>、NH</w:t>
      </w:r>
      <w:r>
        <w:rPr>
          <w:rFonts w:hint="default" w:ascii="Times New Roman" w:hAnsi="Times New Roman" w:eastAsia="宋体"/>
          <w:color w:val="auto"/>
          <w:sz w:val="24"/>
          <w:szCs w:val="24"/>
          <w:highlight w:val="none"/>
          <w:vertAlign w:val="subscript"/>
          <w:lang w:val="en-US" w:eastAsia="zh-CN"/>
        </w:rPr>
        <w:t>3</w:t>
      </w:r>
      <w:r>
        <w:rPr>
          <w:rFonts w:hint="default" w:ascii="Times New Roman" w:hAnsi="Times New Roman" w:eastAsia="宋体"/>
          <w:color w:val="auto"/>
          <w:sz w:val="24"/>
          <w:szCs w:val="24"/>
          <w:highlight w:val="none"/>
          <w:lang w:val="en-US" w:eastAsia="zh-CN"/>
        </w:rPr>
        <w:t>-N、颗粒物、挥发性有机物（VOCs）、二氧化硫、氮氧化物</w:t>
      </w:r>
      <w:r>
        <w:rPr>
          <w:rFonts w:ascii="Times New Roman" w:hAnsi="Times New Roman" w:eastAsia="宋体"/>
          <w:color w:val="auto"/>
          <w:sz w:val="24"/>
          <w:szCs w:val="24"/>
          <w:highlight w:val="none"/>
        </w:rPr>
        <w:t>。</w:t>
      </w:r>
    </w:p>
    <w:p>
      <w:pPr>
        <w:spacing w:line="480" w:lineRule="exact"/>
        <w:ind w:firstLine="480" w:firstLineChars="200"/>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环评给出项目废水排放量为</w:t>
      </w:r>
      <w:r>
        <w:rPr>
          <w:rFonts w:hint="eastAsia" w:ascii="Times New Roman" w:hAnsi="Times New Roman" w:eastAsia="宋体"/>
          <w:color w:val="auto"/>
          <w:sz w:val="24"/>
          <w:szCs w:val="24"/>
          <w:highlight w:val="none"/>
          <w:lang w:val="en-US" w:eastAsia="zh-CN"/>
        </w:rPr>
        <w:t>5656.8</w:t>
      </w:r>
      <w:r>
        <w:rPr>
          <w:rFonts w:hint="eastAsia" w:ascii="Times New Roman" w:hAnsi="Times New Roman" w:eastAsia="宋体"/>
          <w:color w:val="auto"/>
          <w:sz w:val="24"/>
          <w:szCs w:val="24"/>
          <w:highlight w:val="none"/>
        </w:rPr>
        <w:t>t</w:t>
      </w:r>
      <w:r>
        <w:rPr>
          <w:rFonts w:ascii="Times New Roman" w:hAnsi="Times New Roman" w:eastAsia="宋体"/>
          <w:color w:val="auto"/>
          <w:sz w:val="24"/>
          <w:szCs w:val="24"/>
          <w:highlight w:val="none"/>
        </w:rPr>
        <w:t>/a，</w:t>
      </w:r>
      <w:r>
        <w:rPr>
          <w:rFonts w:hint="default" w:ascii="Times New Roman" w:hAnsi="Times New Roman" w:eastAsia="宋体"/>
          <w:color w:val="auto"/>
          <w:sz w:val="24"/>
          <w:szCs w:val="24"/>
          <w:highlight w:val="none"/>
          <w:lang w:val="en-US" w:eastAsia="zh-CN"/>
        </w:rPr>
        <w:t>COD</w:t>
      </w:r>
      <w:r>
        <w:rPr>
          <w:rFonts w:hint="default" w:ascii="Times New Roman" w:hAnsi="Times New Roman" w:eastAsia="宋体"/>
          <w:color w:val="auto"/>
          <w:sz w:val="24"/>
          <w:szCs w:val="24"/>
          <w:highlight w:val="none"/>
          <w:vertAlign w:val="subscript"/>
          <w:lang w:val="en-US" w:eastAsia="zh-CN"/>
        </w:rPr>
        <w:t>Cr</w:t>
      </w:r>
      <w:r>
        <w:rPr>
          <w:rFonts w:ascii="Times New Roman" w:hAnsi="Times New Roman" w:eastAsia="宋体"/>
          <w:color w:val="auto"/>
          <w:sz w:val="24"/>
          <w:szCs w:val="24"/>
          <w:highlight w:val="none"/>
        </w:rPr>
        <w:t>排环境量</w:t>
      </w:r>
      <w:r>
        <w:rPr>
          <w:rFonts w:hint="eastAsia" w:ascii="Times New Roman" w:hAnsi="Times New Roman" w:eastAsia="宋体"/>
          <w:color w:val="auto"/>
          <w:sz w:val="24"/>
          <w:szCs w:val="24"/>
          <w:highlight w:val="none"/>
          <w:lang w:val="en-US" w:eastAsia="zh-CN"/>
        </w:rPr>
        <w:t>1.527</w:t>
      </w:r>
      <w:r>
        <w:rPr>
          <w:rFonts w:ascii="Times New Roman" w:hAnsi="Times New Roman" w:eastAsia="宋体"/>
          <w:color w:val="auto"/>
          <w:sz w:val="24"/>
          <w:szCs w:val="24"/>
          <w:highlight w:val="none"/>
        </w:rPr>
        <w:t>t/a；氨氮排环境量0.</w:t>
      </w:r>
      <w:r>
        <w:rPr>
          <w:rFonts w:hint="eastAsia" w:ascii="Times New Roman" w:hAnsi="Times New Roman" w:eastAsia="宋体"/>
          <w:color w:val="auto"/>
          <w:sz w:val="24"/>
          <w:szCs w:val="24"/>
          <w:highlight w:val="none"/>
          <w:lang w:val="en-US" w:eastAsia="zh-CN"/>
        </w:rPr>
        <w:t>141</w:t>
      </w:r>
      <w:r>
        <w:rPr>
          <w:rFonts w:ascii="Times New Roman" w:hAnsi="Times New Roman" w:eastAsia="宋体"/>
          <w:color w:val="auto"/>
          <w:sz w:val="24"/>
          <w:szCs w:val="24"/>
          <w:highlight w:val="none"/>
        </w:rPr>
        <w:t>t/a。</w:t>
      </w:r>
    </w:p>
    <w:p>
      <w:pPr>
        <w:spacing w:line="480" w:lineRule="exact"/>
        <w:ind w:firstLine="480" w:firstLineChars="200"/>
        <w:rPr>
          <w:rFonts w:ascii="Times New Roman" w:hAnsi="Times New Roman" w:eastAsia="宋体"/>
          <w:color w:val="auto"/>
          <w:sz w:val="24"/>
          <w:szCs w:val="24"/>
          <w:highlight w:val="none"/>
        </w:rPr>
      </w:pPr>
      <w:r>
        <w:rPr>
          <w:rFonts w:hint="default" w:ascii="Times New Roman" w:hAnsi="Times New Roman" w:eastAsia="宋体"/>
          <w:color w:val="auto"/>
          <w:sz w:val="24"/>
          <w:szCs w:val="24"/>
          <w:highlight w:val="none"/>
          <w:lang w:val="en-US" w:eastAsia="zh-CN"/>
        </w:rPr>
        <w:t>本项目生活污水和保洁废水经企业内部管网排入企业化粪池后，暂时由附近村民定期清掏后农用处置，不外排；锅炉废水、软水制备废水、设备冷却水经沉淀池收集后，暂时回用于水膜除尘装置，不外排。目前因市政污水处理厂及配套管网铺设未完成，待后期市政管网铺设完成，生活污水、保洁废水经企业化粪池预处理后纳管，锅炉废水、软水制备废水、设备冷却水经企业沉淀池预处理后纳管，排入污水处理厂处理达标后排入自然水体。</w:t>
      </w:r>
      <w:r>
        <w:rPr>
          <w:rFonts w:hint="eastAsia" w:ascii="Times New Roman" w:hAnsi="Times New Roman" w:eastAsia="宋体"/>
          <w:color w:val="auto"/>
          <w:sz w:val="24"/>
          <w:szCs w:val="24"/>
          <w:highlight w:val="none"/>
          <w:lang w:val="en-US" w:eastAsia="zh-CN"/>
        </w:rPr>
        <w:t>因此本项目</w:t>
      </w:r>
      <w:r>
        <w:rPr>
          <w:rFonts w:hint="eastAsia" w:ascii="Times New Roman" w:hAnsi="Times New Roman"/>
          <w:color w:val="auto"/>
          <w:sz w:val="24"/>
          <w:szCs w:val="24"/>
          <w:highlight w:val="none"/>
          <w:lang w:val="en-US" w:eastAsia="zh-CN"/>
        </w:rPr>
        <w:t>暂时</w:t>
      </w:r>
      <w:r>
        <w:rPr>
          <w:rFonts w:hint="eastAsia" w:ascii="Times New Roman" w:hAnsi="Times New Roman" w:eastAsia="宋体"/>
          <w:color w:val="auto"/>
          <w:sz w:val="24"/>
          <w:szCs w:val="24"/>
          <w:highlight w:val="none"/>
          <w:lang w:val="en-US" w:eastAsia="zh-CN"/>
        </w:rPr>
        <w:t>无废水外排，</w:t>
      </w:r>
      <w:r>
        <w:rPr>
          <w:rFonts w:hint="eastAsia" w:ascii="Times New Roman" w:hAnsi="Times New Roman"/>
          <w:color w:val="auto"/>
          <w:sz w:val="24"/>
          <w:szCs w:val="24"/>
          <w:highlight w:val="none"/>
          <w:lang w:val="en-US" w:eastAsia="zh-CN"/>
        </w:rPr>
        <w:t>故</w:t>
      </w:r>
      <w:r>
        <w:rPr>
          <w:rFonts w:hint="eastAsia" w:ascii="Times New Roman" w:hAnsi="Times New Roman" w:eastAsia="宋体"/>
          <w:color w:val="auto"/>
          <w:sz w:val="24"/>
          <w:szCs w:val="24"/>
          <w:highlight w:val="none"/>
          <w:lang w:val="en-US" w:eastAsia="zh-CN"/>
        </w:rPr>
        <w:t>不核算总量。</w:t>
      </w:r>
    </w:p>
    <w:p>
      <w:pPr>
        <w:spacing w:line="480" w:lineRule="exact"/>
        <w:ind w:firstLine="480" w:firstLineChars="200"/>
        <w:rPr>
          <w:color w:val="auto"/>
          <w:highlight w:val="none"/>
        </w:rPr>
      </w:pPr>
      <w:r>
        <w:rPr>
          <w:rFonts w:ascii="Times New Roman" w:hAnsi="Times New Roman" w:eastAsia="宋体"/>
          <w:color w:val="auto"/>
          <w:sz w:val="24"/>
          <w:highlight w:val="none"/>
        </w:rPr>
        <w:t>环评给出企业</w:t>
      </w:r>
      <w:r>
        <w:rPr>
          <w:rFonts w:hint="eastAsia" w:ascii="Times New Roman" w:hAnsi="Times New Roman"/>
          <w:color w:val="auto"/>
          <w:sz w:val="24"/>
          <w:highlight w:val="none"/>
          <w:lang w:val="en-US" w:eastAsia="zh-CN"/>
        </w:rPr>
        <w:t>年产15万平方户外重竹板肧项目中</w:t>
      </w:r>
      <w:r>
        <w:rPr>
          <w:rFonts w:hint="eastAsia" w:ascii="Times New Roman" w:hAnsi="Times New Roman" w:eastAsia="宋体"/>
          <w:color w:val="auto"/>
          <w:kern w:val="0"/>
          <w:sz w:val="24"/>
          <w:szCs w:val="24"/>
          <w:highlight w:val="none"/>
          <w:lang w:val="en-US" w:eastAsia="zh-CN"/>
        </w:rPr>
        <w:t>VOCs</w:t>
      </w:r>
      <w:r>
        <w:rPr>
          <w:rFonts w:ascii="Times New Roman" w:hAnsi="Times New Roman" w:eastAsia="宋体"/>
          <w:color w:val="auto"/>
          <w:sz w:val="24"/>
          <w:highlight w:val="none"/>
        </w:rPr>
        <w:t>总量</w:t>
      </w:r>
      <w:r>
        <w:rPr>
          <w:rFonts w:hint="eastAsia" w:ascii="Times New Roman" w:hAnsi="Times New Roman" w:eastAsia="宋体"/>
          <w:color w:val="auto"/>
          <w:sz w:val="24"/>
          <w:highlight w:val="none"/>
          <w:lang w:val="en-US" w:eastAsia="zh-CN"/>
        </w:rPr>
        <w:t>0.</w:t>
      </w:r>
      <w:r>
        <w:rPr>
          <w:rFonts w:hint="eastAsia" w:ascii="Times New Roman" w:hAnsi="Times New Roman"/>
          <w:color w:val="auto"/>
          <w:sz w:val="24"/>
          <w:highlight w:val="none"/>
          <w:lang w:val="en-US" w:eastAsia="zh-CN"/>
        </w:rPr>
        <w:t>072</w:t>
      </w:r>
      <w:r>
        <w:rPr>
          <w:rFonts w:ascii="Times New Roman" w:hAnsi="Times New Roman" w:eastAsia="宋体"/>
          <w:color w:val="auto"/>
          <w:sz w:val="24"/>
          <w:highlight w:val="none"/>
        </w:rPr>
        <w:t>t/a</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lang w:val="en-US" w:eastAsia="zh-CN"/>
        </w:rPr>
        <w:t>颗粒物总量1.22t/a、二氧化硫总量5.51t/a、氮氧化物总量3.31t/a</w:t>
      </w:r>
      <w:r>
        <w:rPr>
          <w:rFonts w:ascii="Times New Roman" w:hAnsi="Times New Roman" w:eastAsia="宋体"/>
          <w:color w:val="auto"/>
          <w:sz w:val="24"/>
          <w:highlight w:val="none"/>
        </w:rPr>
        <w:t>。根据检测报告</w:t>
      </w:r>
      <w:r>
        <w:rPr>
          <w:rFonts w:hint="eastAsia" w:ascii="Times New Roman" w:hAnsi="Times New Roman"/>
          <w:color w:val="auto"/>
          <w:sz w:val="24"/>
          <w:highlight w:val="none"/>
          <w:lang w:val="en-US" w:eastAsia="zh-CN"/>
        </w:rPr>
        <w:t>中数据</w:t>
      </w:r>
      <w:r>
        <w:rPr>
          <w:rFonts w:ascii="Times New Roman" w:hAnsi="Times New Roman" w:eastAsia="宋体"/>
          <w:color w:val="auto"/>
          <w:sz w:val="24"/>
          <w:highlight w:val="none"/>
        </w:rPr>
        <w:t>进行核算，企业</w:t>
      </w:r>
      <w:r>
        <w:rPr>
          <w:rFonts w:hint="eastAsia" w:ascii="Times New Roman" w:hAnsi="Times New Roman" w:eastAsia="宋体"/>
          <w:color w:val="auto"/>
          <w:sz w:val="24"/>
          <w:highlight w:val="none"/>
          <w:lang w:val="en-US" w:eastAsia="zh-CN"/>
        </w:rPr>
        <w:t>VOCs</w:t>
      </w:r>
      <w:r>
        <w:rPr>
          <w:rFonts w:ascii="Times New Roman" w:hAnsi="Times New Roman" w:eastAsia="宋体"/>
          <w:color w:val="auto"/>
          <w:sz w:val="24"/>
          <w:highlight w:val="none"/>
        </w:rPr>
        <w:t>的实际排放量为</w:t>
      </w:r>
      <w:r>
        <w:rPr>
          <w:rFonts w:hint="eastAsia" w:ascii="Times New Roman" w:hAnsi="Times New Roman" w:eastAsia="宋体"/>
          <w:color w:val="auto"/>
          <w:sz w:val="24"/>
          <w:highlight w:val="none"/>
          <w:lang w:val="en-US" w:eastAsia="zh-CN"/>
        </w:rPr>
        <w:t>0.</w:t>
      </w:r>
      <w:r>
        <w:rPr>
          <w:rFonts w:hint="eastAsia" w:ascii="Times New Roman" w:hAnsi="Times New Roman"/>
          <w:color w:val="auto"/>
          <w:sz w:val="24"/>
          <w:highlight w:val="none"/>
          <w:lang w:val="en-US" w:eastAsia="zh-CN"/>
        </w:rPr>
        <w:t>055</w:t>
      </w:r>
      <w:r>
        <w:rPr>
          <w:rFonts w:ascii="Times New Roman" w:hAnsi="Times New Roman" w:eastAsia="宋体"/>
          <w:color w:val="auto"/>
          <w:sz w:val="24"/>
          <w:highlight w:val="none"/>
        </w:rPr>
        <w:t>t/a</w:t>
      </w:r>
      <w:r>
        <w:rPr>
          <w:rFonts w:hint="eastAsia" w:ascii="Times New Roman" w:hAnsi="Times New Roman" w:eastAsia="宋体"/>
          <w:color w:val="auto"/>
          <w:sz w:val="24"/>
          <w:highlight w:val="none"/>
          <w:lang w:val="en-US" w:eastAsia="zh-CN"/>
        </w:rPr>
        <w:t>，</w:t>
      </w:r>
      <w:r>
        <w:rPr>
          <w:rFonts w:hint="eastAsia" w:ascii="Times New Roman" w:hAnsi="Times New Roman"/>
          <w:color w:val="auto"/>
          <w:sz w:val="24"/>
          <w:highlight w:val="none"/>
          <w:lang w:val="en-US" w:eastAsia="zh-CN"/>
        </w:rPr>
        <w:t>颗粒物</w:t>
      </w:r>
      <w:r>
        <w:rPr>
          <w:rFonts w:hint="eastAsia" w:ascii="Times New Roman" w:hAnsi="Times New Roman" w:eastAsia="宋体"/>
          <w:color w:val="auto"/>
          <w:sz w:val="24"/>
          <w:highlight w:val="none"/>
          <w:lang w:val="en-US" w:eastAsia="zh-CN"/>
        </w:rPr>
        <w:t>的实际排放量为0.</w:t>
      </w:r>
      <w:r>
        <w:rPr>
          <w:rFonts w:hint="eastAsia" w:ascii="Times New Roman" w:hAnsi="Times New Roman"/>
          <w:color w:val="auto"/>
          <w:sz w:val="24"/>
          <w:highlight w:val="none"/>
          <w:lang w:val="en-US" w:eastAsia="zh-CN"/>
        </w:rPr>
        <w:t>383</w:t>
      </w:r>
      <w:r>
        <w:rPr>
          <w:rFonts w:hint="eastAsia" w:ascii="Times New Roman" w:hAnsi="Times New Roman" w:eastAsia="宋体"/>
          <w:color w:val="auto"/>
          <w:sz w:val="24"/>
          <w:highlight w:val="none"/>
          <w:lang w:val="en-US" w:eastAsia="zh-CN"/>
        </w:rPr>
        <w:t>t/a</w:t>
      </w:r>
      <w:r>
        <w:rPr>
          <w:rFonts w:hint="eastAsia" w:ascii="Times New Roman" w:hAnsi="Times New Roman"/>
          <w:color w:val="auto"/>
          <w:sz w:val="24"/>
          <w:highlight w:val="none"/>
          <w:lang w:val="en-US" w:eastAsia="zh-CN"/>
        </w:rPr>
        <w:t>，二氧化硫</w:t>
      </w:r>
      <w:r>
        <w:rPr>
          <w:rFonts w:hint="eastAsia" w:ascii="Times New Roman" w:hAnsi="Times New Roman" w:eastAsia="宋体"/>
          <w:color w:val="auto"/>
          <w:sz w:val="24"/>
          <w:highlight w:val="none"/>
          <w:lang w:val="en-US" w:eastAsia="zh-CN"/>
        </w:rPr>
        <w:t>的实际排放量为</w:t>
      </w:r>
      <w:r>
        <w:rPr>
          <w:rFonts w:hint="eastAsia" w:ascii="Times New Roman" w:hAnsi="Times New Roman"/>
          <w:color w:val="auto"/>
          <w:sz w:val="24"/>
          <w:highlight w:val="none"/>
          <w:lang w:val="en-US" w:eastAsia="zh-CN"/>
        </w:rPr>
        <w:t>4.568</w:t>
      </w:r>
      <w:r>
        <w:rPr>
          <w:rFonts w:hint="eastAsia" w:ascii="Times New Roman" w:hAnsi="Times New Roman" w:eastAsia="宋体"/>
          <w:color w:val="auto"/>
          <w:sz w:val="24"/>
          <w:highlight w:val="none"/>
          <w:lang w:val="en-US" w:eastAsia="zh-CN"/>
        </w:rPr>
        <w:t>t/a</w:t>
      </w:r>
      <w:r>
        <w:rPr>
          <w:rFonts w:hint="eastAsia" w:ascii="Times New Roman" w:hAnsi="Times New Roman"/>
          <w:color w:val="auto"/>
          <w:sz w:val="24"/>
          <w:highlight w:val="none"/>
          <w:lang w:val="en-US" w:eastAsia="zh-CN"/>
        </w:rPr>
        <w:t>，氮氧化物的实际排放量为3.285t/a，</w:t>
      </w:r>
      <w:r>
        <w:rPr>
          <w:rFonts w:ascii="Times New Roman" w:hAnsi="Times New Roman" w:eastAsia="宋体"/>
          <w:color w:val="auto"/>
          <w:sz w:val="24"/>
          <w:highlight w:val="none"/>
        </w:rPr>
        <w:t>符合总量控制要求</w:t>
      </w:r>
      <w:r>
        <w:rPr>
          <w:rFonts w:ascii="Times New Roman" w:hAnsi="Times New Roman" w:eastAsia="宋体"/>
          <w:color w:val="auto"/>
          <w:sz w:val="24"/>
          <w:szCs w:val="24"/>
          <w:highlight w:val="none"/>
        </w:rPr>
        <w:t>。</w:t>
      </w:r>
    </w:p>
    <w:p>
      <w:pPr>
        <w:spacing w:line="360" w:lineRule="auto"/>
        <w:ind w:firstLine="482" w:firstLineChars="200"/>
        <w:outlineLvl w:val="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五、工程建设对环境的影响</w:t>
      </w:r>
    </w:p>
    <w:p>
      <w:pPr>
        <w:spacing w:line="360" w:lineRule="auto"/>
        <w:ind w:firstLine="480" w:firstLineChars="200"/>
        <w:rPr>
          <w:rFonts w:hint="default" w:ascii="Times New Roman" w:hAnsi="Times New Roman" w:eastAsia="宋体" w:cs="Times New Roman"/>
          <w:color w:val="auto"/>
          <w:kern w:val="0"/>
          <w:sz w:val="24"/>
          <w:highlight w:val="none"/>
        </w:rPr>
      </w:pPr>
      <w:r>
        <w:rPr>
          <w:rFonts w:ascii="Times New Roman" w:hAnsi="Times New Roman" w:eastAsia="宋体"/>
          <w:color w:val="auto"/>
          <w:kern w:val="0"/>
          <w:sz w:val="24"/>
          <w:szCs w:val="24"/>
          <w:highlight w:val="none"/>
        </w:rPr>
        <w:t>依据《建设项目竣工环境保护验收暂行办法</w:t>
      </w:r>
      <w:r>
        <w:rPr>
          <w:rFonts w:hint="eastAsia" w:ascii="Times New Roman" w:hAnsi="Times New Roman"/>
          <w:color w:val="auto"/>
          <w:kern w:val="0"/>
          <w:sz w:val="24"/>
          <w:szCs w:val="24"/>
          <w:highlight w:val="none"/>
          <w:lang w:eastAsia="zh-CN"/>
        </w:rPr>
        <w:t>》《</w:t>
      </w:r>
      <w:r>
        <w:rPr>
          <w:rFonts w:hint="eastAsia" w:ascii="Times New Roman" w:hAnsi="Times New Roman" w:cs="Times New Roman"/>
          <w:b w:val="0"/>
          <w:bCs w:val="0"/>
          <w:color w:val="auto"/>
          <w:sz w:val="24"/>
          <w:szCs w:val="24"/>
          <w:highlight w:val="none"/>
          <w:lang w:eastAsia="zh-CN"/>
        </w:rPr>
        <w:t>安徽君澜竹业科技有限公司</w:t>
      </w:r>
      <w:r>
        <w:rPr>
          <w:rFonts w:hint="eastAsia" w:ascii="Times New Roman" w:hAnsi="Times New Roman" w:cs="Times New Roman"/>
          <w:b w:val="0"/>
          <w:bCs w:val="0"/>
          <w:color w:val="auto"/>
          <w:sz w:val="24"/>
          <w:szCs w:val="24"/>
          <w:highlight w:val="none"/>
          <w:lang w:val="en-US" w:eastAsia="zh-CN"/>
        </w:rPr>
        <w:t>年产15万平方户外重竹板肧项目</w:t>
      </w:r>
      <w:r>
        <w:rPr>
          <w:rFonts w:hint="eastAsia" w:ascii="Times New Roman" w:hAnsi="Times New Roman" w:eastAsia="宋体"/>
          <w:color w:val="auto"/>
          <w:kern w:val="0"/>
          <w:sz w:val="24"/>
          <w:szCs w:val="24"/>
          <w:highlight w:val="none"/>
        </w:rPr>
        <w:t>（阶段性）</w:t>
      </w:r>
      <w:r>
        <w:rPr>
          <w:rFonts w:hint="eastAsia" w:ascii="Times New Roman" w:hAnsi="Times New Roman"/>
          <w:color w:val="auto"/>
          <w:kern w:val="0"/>
          <w:sz w:val="24"/>
          <w:szCs w:val="24"/>
          <w:highlight w:val="none"/>
          <w:lang w:val="en-US" w:eastAsia="zh-CN"/>
        </w:rPr>
        <w:t>竣工环境保护</w:t>
      </w:r>
      <w:r>
        <w:rPr>
          <w:rFonts w:ascii="Times New Roman" w:hAnsi="Times New Roman" w:eastAsia="宋体"/>
          <w:color w:val="auto"/>
          <w:kern w:val="0"/>
          <w:sz w:val="24"/>
          <w:szCs w:val="24"/>
          <w:highlight w:val="none"/>
        </w:rPr>
        <w:t>验收监测报告表》等资料及环境保护设施现场检查情况，</w:t>
      </w:r>
      <w:r>
        <w:rPr>
          <w:rFonts w:hint="eastAsia" w:ascii="Times New Roman" w:hAnsi="Times New Roman" w:cs="Times New Roman"/>
          <w:color w:val="auto"/>
          <w:kern w:val="0"/>
          <w:sz w:val="24"/>
          <w:highlight w:val="none"/>
          <w:lang w:eastAsia="zh-CN"/>
        </w:rPr>
        <w:t>安徽君澜竹业科技有限公司年产15万平方户外重竹板肧项目</w:t>
      </w:r>
      <w:r>
        <w:rPr>
          <w:rFonts w:ascii="Times New Roman" w:hAnsi="Times New Roman" w:eastAsia="宋体"/>
          <w:color w:val="auto"/>
          <w:kern w:val="0"/>
          <w:sz w:val="24"/>
          <w:szCs w:val="24"/>
          <w:highlight w:val="none"/>
        </w:rPr>
        <w:t>环保手续齐全，污染防治措施基本按照环评及批复要求落实；经验收监测，废气、废水、噪声</w:t>
      </w:r>
      <w:r>
        <w:rPr>
          <w:rFonts w:hint="eastAsia" w:ascii="Times New Roman" w:hAnsi="Times New Roman"/>
          <w:color w:val="auto"/>
          <w:kern w:val="0"/>
          <w:sz w:val="24"/>
          <w:szCs w:val="24"/>
          <w:highlight w:val="none"/>
          <w:lang w:val="en-US" w:eastAsia="zh-CN"/>
        </w:rPr>
        <w:t>数据均能</w:t>
      </w:r>
      <w:r>
        <w:rPr>
          <w:rFonts w:ascii="Times New Roman" w:hAnsi="Times New Roman" w:eastAsia="宋体"/>
          <w:color w:val="auto"/>
          <w:kern w:val="0"/>
          <w:sz w:val="24"/>
          <w:szCs w:val="24"/>
          <w:highlight w:val="none"/>
        </w:rPr>
        <w:t>达标，固体废物能得到妥善处置，因此该项目符合申请建设项目竣工环境保护自主验收条件项目，不存在《建设项目竣工环境保护验收暂行办法》第八条中所列验收不合格的情形，符合</w:t>
      </w:r>
      <w:r>
        <w:rPr>
          <w:rFonts w:hint="eastAsia" w:ascii="Times New Roman" w:hAnsi="Times New Roman" w:eastAsia="宋体"/>
          <w:color w:val="auto"/>
          <w:kern w:val="0"/>
          <w:sz w:val="24"/>
          <w:szCs w:val="24"/>
          <w:highlight w:val="none"/>
        </w:rPr>
        <w:t>（阶段性）</w:t>
      </w:r>
      <w:r>
        <w:rPr>
          <w:rFonts w:ascii="Times New Roman" w:hAnsi="Times New Roman" w:eastAsia="宋体"/>
          <w:color w:val="auto"/>
          <w:kern w:val="0"/>
          <w:sz w:val="24"/>
          <w:szCs w:val="24"/>
          <w:highlight w:val="none"/>
        </w:rPr>
        <w:t>竣工环境保护验收条件，验收结论为合格。</w:t>
      </w:r>
    </w:p>
    <w:p>
      <w:pPr>
        <w:spacing w:line="360" w:lineRule="auto"/>
        <w:ind w:firstLine="482" w:firstLineChars="200"/>
        <w:outlineLvl w:val="0"/>
        <w:rPr>
          <w:rFonts w:hint="default" w:ascii="Times New Roman" w:hAnsi="Times New Roman" w:eastAsia="宋体" w:cs="Times New Roman"/>
          <w:b/>
          <w:color w:val="auto"/>
          <w:kern w:val="0"/>
          <w:sz w:val="24"/>
          <w:highlight w:val="none"/>
        </w:rPr>
      </w:pPr>
      <w:r>
        <w:rPr>
          <w:rFonts w:hint="eastAsia" w:ascii="Times New Roman" w:hAnsi="Times New Roman" w:cs="Times New Roman"/>
          <w:b/>
          <w:color w:val="auto"/>
          <w:kern w:val="0"/>
          <w:sz w:val="24"/>
          <w:highlight w:val="none"/>
          <w:lang w:val="en-US" w:eastAsia="zh-CN"/>
        </w:rPr>
        <w:t>六</w:t>
      </w:r>
      <w:r>
        <w:rPr>
          <w:rFonts w:hint="default" w:ascii="Times New Roman" w:hAnsi="Times New Roman" w:eastAsia="宋体" w:cs="Times New Roman"/>
          <w:b/>
          <w:color w:val="auto"/>
          <w:kern w:val="0"/>
          <w:sz w:val="24"/>
          <w:highlight w:val="none"/>
        </w:rPr>
        <w:t>、后续要求</w:t>
      </w:r>
    </w:p>
    <w:p>
      <w:pPr>
        <w:spacing w:line="480" w:lineRule="exact"/>
        <w:ind w:firstLine="424" w:firstLineChars="177"/>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（一）完善生产设施和环保设施标识标牌，完善企业环保管理制度，完善各类台账建设。</w:t>
      </w:r>
    </w:p>
    <w:p>
      <w:pPr>
        <w:spacing w:line="480" w:lineRule="exact"/>
        <w:ind w:firstLine="424" w:firstLineChars="177"/>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（二）进一步加强对有机废气处理设施的日常管理和维护，定期更换活性炭，并足量填充高碘值活性炭，确保长期稳定达标排放。</w:t>
      </w:r>
    </w:p>
    <w:p>
      <w:pPr>
        <w:pStyle w:val="2"/>
        <w:spacing w:line="480" w:lineRule="exact"/>
        <w:ind w:left="0" w:firstLine="405" w:firstLineChars="169"/>
        <w:rPr>
          <w:rFonts w:ascii="Times New Roman" w:hAnsi="Times New Roman" w:eastAsia="宋体"/>
          <w:color w:val="auto"/>
          <w:kern w:val="0"/>
          <w:sz w:val="24"/>
          <w:highlight w:val="none"/>
        </w:rPr>
      </w:pPr>
      <w:r>
        <w:rPr>
          <w:rFonts w:ascii="Times New Roman" w:hAnsi="Times New Roman" w:eastAsia="宋体"/>
          <w:color w:val="auto"/>
          <w:kern w:val="0"/>
          <w:sz w:val="24"/>
          <w:highlight w:val="none"/>
        </w:rPr>
        <w:t>（</w:t>
      </w:r>
      <w:r>
        <w:rPr>
          <w:rFonts w:hint="eastAsia" w:ascii="Times New Roman" w:hAnsi="Times New Roman" w:eastAsia="宋体"/>
          <w:color w:val="auto"/>
          <w:kern w:val="0"/>
          <w:sz w:val="24"/>
          <w:highlight w:val="none"/>
          <w:lang w:val="en-US" w:eastAsia="zh-CN"/>
        </w:rPr>
        <w:t>三</w:t>
      </w:r>
      <w:r>
        <w:rPr>
          <w:rFonts w:ascii="Times New Roman" w:hAnsi="Times New Roman" w:eastAsia="宋体"/>
          <w:color w:val="auto"/>
          <w:kern w:val="0"/>
          <w:sz w:val="24"/>
          <w:highlight w:val="none"/>
        </w:rPr>
        <w:t>）建议企业加强日常环保管理和环境风险防范与应急事件处置能力，并开展演</w:t>
      </w:r>
      <w:bookmarkStart w:id="3" w:name="_GoBack"/>
      <w:bookmarkEnd w:id="3"/>
      <w:r>
        <w:rPr>
          <w:rFonts w:ascii="Times New Roman" w:hAnsi="Times New Roman" w:eastAsia="宋体"/>
          <w:color w:val="auto"/>
          <w:kern w:val="0"/>
          <w:sz w:val="24"/>
          <w:highlight w:val="none"/>
        </w:rPr>
        <w:t>练。</w:t>
      </w:r>
    </w:p>
    <w:p>
      <w:pPr>
        <w:spacing w:line="360" w:lineRule="auto"/>
        <w:ind w:firstLine="482" w:firstLineChars="200"/>
        <w:outlineLvl w:val="0"/>
        <w:rPr>
          <w:rFonts w:hint="eastAsia" w:ascii="Times New Roman" w:hAnsi="Times New Roman" w:eastAsia="宋体" w:cs="Times New Roman"/>
          <w:b/>
          <w:color w:val="auto"/>
          <w:kern w:val="0"/>
          <w:sz w:val="24"/>
          <w:highlight w:val="none"/>
          <w:lang w:val="en-US" w:eastAsia="zh-CN"/>
        </w:rPr>
      </w:pPr>
      <w:r>
        <w:rPr>
          <w:rFonts w:hint="eastAsia" w:ascii="Times New Roman" w:hAnsi="Times New Roman" w:cs="Times New Roman"/>
          <w:b/>
          <w:color w:val="auto"/>
          <w:kern w:val="0"/>
          <w:sz w:val="24"/>
          <w:highlight w:val="none"/>
          <w:lang w:val="en-US" w:eastAsia="zh-CN"/>
        </w:rPr>
        <w:t>七</w:t>
      </w:r>
      <w:r>
        <w:rPr>
          <w:rFonts w:hint="default" w:ascii="Times New Roman" w:hAnsi="Times New Roman" w:eastAsia="宋体" w:cs="Times New Roman"/>
          <w:b/>
          <w:color w:val="auto"/>
          <w:kern w:val="0"/>
          <w:sz w:val="24"/>
          <w:highlight w:val="none"/>
        </w:rPr>
        <w:t>、验收人员</w:t>
      </w:r>
      <w:r>
        <w:rPr>
          <w:rFonts w:hint="eastAsia" w:ascii="Times New Roman" w:hAnsi="Times New Roman" w:cs="Times New Roman"/>
          <w:b/>
          <w:color w:val="auto"/>
          <w:kern w:val="0"/>
          <w:sz w:val="24"/>
          <w:highlight w:val="none"/>
          <w:lang w:val="en-US" w:eastAsia="zh-CN"/>
        </w:rPr>
        <w:t>信息</w:t>
      </w:r>
    </w:p>
    <w:p>
      <w:pPr>
        <w:spacing w:line="360" w:lineRule="auto"/>
        <w:ind w:firstLine="480" w:firstLineChars="200"/>
        <w:jc w:val="both"/>
        <w:rPr>
          <w:rFonts w:hint="eastAsia" w:ascii="Times New Roman" w:hAnsi="Times New Roman" w:cs="Times New Roman"/>
          <w:b w:val="0"/>
          <w:bCs w:val="0"/>
          <w:color w:val="auto"/>
          <w:sz w:val="24"/>
          <w:szCs w:val="24"/>
          <w:highlight w:val="none"/>
          <w:lang w:eastAsia="zh-CN"/>
        </w:rPr>
      </w:pPr>
      <w:r>
        <w:rPr>
          <w:rFonts w:hint="eastAsia" w:ascii="Times New Roman" w:hAnsi="Times New Roman" w:cs="Times New Roman"/>
          <w:b w:val="0"/>
          <w:bCs w:val="0"/>
          <w:color w:val="auto"/>
          <w:sz w:val="24"/>
          <w:szCs w:val="24"/>
          <w:highlight w:val="none"/>
          <w:lang w:eastAsia="zh-CN"/>
        </w:rPr>
        <w:t>验收工作组成员名单及信息附后。</w:t>
      </w:r>
    </w:p>
    <w:p>
      <w:pPr>
        <w:spacing w:line="360" w:lineRule="auto"/>
        <w:ind w:firstLine="480" w:firstLineChars="200"/>
        <w:jc w:val="right"/>
        <w:rPr>
          <w:rFonts w:hint="default" w:ascii="Times New Roman" w:hAnsi="Times New Roman" w:eastAsia="宋体" w:cs="Times New Roman"/>
          <w:b w:val="0"/>
          <w:bCs w:val="0"/>
          <w:color w:val="auto"/>
          <w:sz w:val="24"/>
          <w:szCs w:val="24"/>
          <w:highlight w:val="none"/>
          <w:lang w:eastAsia="zh-CN"/>
        </w:rPr>
      </w:pPr>
      <w:r>
        <w:rPr>
          <w:rFonts w:hint="eastAsia" w:ascii="Times New Roman" w:hAnsi="Times New Roman" w:cs="Times New Roman"/>
          <w:b w:val="0"/>
          <w:bCs w:val="0"/>
          <w:color w:val="auto"/>
          <w:sz w:val="24"/>
          <w:szCs w:val="24"/>
          <w:highlight w:val="none"/>
          <w:lang w:eastAsia="zh-CN"/>
        </w:rPr>
        <w:t>安徽君澜竹业科技有限公司</w:t>
      </w:r>
    </w:p>
    <w:p>
      <w:pPr>
        <w:spacing w:line="360" w:lineRule="auto"/>
        <w:ind w:firstLine="480" w:firstLineChars="200"/>
        <w:jc w:val="righ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highlight w:val="none"/>
        </w:rPr>
        <w:t>20</w:t>
      </w:r>
      <w:r>
        <w:rPr>
          <w:rFonts w:hint="default" w:ascii="Times New Roman" w:hAnsi="Times New Roman" w:eastAsia="宋体" w:cs="Times New Roman"/>
          <w:color w:val="auto"/>
          <w:kern w:val="0"/>
          <w:sz w:val="24"/>
          <w:highlight w:val="none"/>
          <w:lang w:val="en-US" w:eastAsia="zh-CN"/>
        </w:rPr>
        <w:t>2</w:t>
      </w:r>
      <w:r>
        <w:rPr>
          <w:rFonts w:hint="eastAsia" w:ascii="Times New Roman" w:hAnsi="Times New Roman"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rPr>
        <w:t>年</w:t>
      </w:r>
      <w:r>
        <w:rPr>
          <w:rFonts w:hint="eastAsia" w:ascii="Times New Roman" w:hAnsi="Times New Roman"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月</w:t>
      </w:r>
      <w:r>
        <w:rPr>
          <w:rFonts w:hint="eastAsia" w:ascii="Times New Roman" w:hAnsi="Times New Roman"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rPr>
        <w:t>日</w:t>
      </w:r>
    </w:p>
    <w:sectPr>
      <w:pgSz w:w="11906" w:h="16838"/>
      <w:pgMar w:top="1440" w:right="1440" w:bottom="1440"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F2A9D"/>
    <w:multiLevelType w:val="multilevel"/>
    <w:tmpl w:val="406F2A9D"/>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YzI1ZDAyMjM0MDY3NzAxYzYyNTNhZWNlOGZlODMifQ=="/>
  </w:docVars>
  <w:rsids>
    <w:rsidRoot w:val="00000000"/>
    <w:rsid w:val="006F44F3"/>
    <w:rsid w:val="00AE01F7"/>
    <w:rsid w:val="00B87A8B"/>
    <w:rsid w:val="00E15234"/>
    <w:rsid w:val="00EF7950"/>
    <w:rsid w:val="00FD2119"/>
    <w:rsid w:val="013B0DE8"/>
    <w:rsid w:val="01553993"/>
    <w:rsid w:val="01C77D80"/>
    <w:rsid w:val="01FD26C6"/>
    <w:rsid w:val="02306473"/>
    <w:rsid w:val="025263E9"/>
    <w:rsid w:val="02D84414"/>
    <w:rsid w:val="02E828A9"/>
    <w:rsid w:val="031160F4"/>
    <w:rsid w:val="03566F57"/>
    <w:rsid w:val="0363238C"/>
    <w:rsid w:val="038D16A3"/>
    <w:rsid w:val="038F541B"/>
    <w:rsid w:val="03DB41BC"/>
    <w:rsid w:val="04096F7B"/>
    <w:rsid w:val="040F20B8"/>
    <w:rsid w:val="041D6583"/>
    <w:rsid w:val="04497378"/>
    <w:rsid w:val="045126D0"/>
    <w:rsid w:val="047A39D5"/>
    <w:rsid w:val="04F34A42"/>
    <w:rsid w:val="058C7E64"/>
    <w:rsid w:val="0597059F"/>
    <w:rsid w:val="05F31C91"/>
    <w:rsid w:val="06103038"/>
    <w:rsid w:val="064A73D7"/>
    <w:rsid w:val="065B7836"/>
    <w:rsid w:val="06EE09F3"/>
    <w:rsid w:val="072B7687"/>
    <w:rsid w:val="072C3B31"/>
    <w:rsid w:val="073472B0"/>
    <w:rsid w:val="07373DFF"/>
    <w:rsid w:val="074F1149"/>
    <w:rsid w:val="075C73C2"/>
    <w:rsid w:val="077F5883"/>
    <w:rsid w:val="07A5520D"/>
    <w:rsid w:val="08406CE4"/>
    <w:rsid w:val="08762705"/>
    <w:rsid w:val="088968DD"/>
    <w:rsid w:val="08B651F8"/>
    <w:rsid w:val="08C07E24"/>
    <w:rsid w:val="09063A89"/>
    <w:rsid w:val="09153CCC"/>
    <w:rsid w:val="093B7E06"/>
    <w:rsid w:val="094D7C70"/>
    <w:rsid w:val="09594501"/>
    <w:rsid w:val="098F4818"/>
    <w:rsid w:val="0A352E89"/>
    <w:rsid w:val="0A410AF1"/>
    <w:rsid w:val="0A420C4B"/>
    <w:rsid w:val="0AAC0EF8"/>
    <w:rsid w:val="0ABE325C"/>
    <w:rsid w:val="0AC62EBA"/>
    <w:rsid w:val="0AED5AFE"/>
    <w:rsid w:val="0AFA5870"/>
    <w:rsid w:val="0B097861"/>
    <w:rsid w:val="0B1A43F5"/>
    <w:rsid w:val="0B297F03"/>
    <w:rsid w:val="0B4602A1"/>
    <w:rsid w:val="0B4E5BBB"/>
    <w:rsid w:val="0B64718D"/>
    <w:rsid w:val="0B753148"/>
    <w:rsid w:val="0B8E420A"/>
    <w:rsid w:val="0BB51A45"/>
    <w:rsid w:val="0BDF6813"/>
    <w:rsid w:val="0BEF4CA9"/>
    <w:rsid w:val="0BF57DE5"/>
    <w:rsid w:val="0CAF3B7D"/>
    <w:rsid w:val="0CBB2DDD"/>
    <w:rsid w:val="0CE20369"/>
    <w:rsid w:val="0CEC568C"/>
    <w:rsid w:val="0D0C378D"/>
    <w:rsid w:val="0D134413"/>
    <w:rsid w:val="0D2E7A52"/>
    <w:rsid w:val="0D4940E8"/>
    <w:rsid w:val="0D75673E"/>
    <w:rsid w:val="0DB3645F"/>
    <w:rsid w:val="0DE30506"/>
    <w:rsid w:val="0E752FC5"/>
    <w:rsid w:val="0F2A5FF8"/>
    <w:rsid w:val="0F2B6C1B"/>
    <w:rsid w:val="0F803D94"/>
    <w:rsid w:val="10101691"/>
    <w:rsid w:val="10234F21"/>
    <w:rsid w:val="10596B94"/>
    <w:rsid w:val="10702130"/>
    <w:rsid w:val="108A4FA0"/>
    <w:rsid w:val="10F22B45"/>
    <w:rsid w:val="10F60887"/>
    <w:rsid w:val="115D26B4"/>
    <w:rsid w:val="118A6CA0"/>
    <w:rsid w:val="11D230A2"/>
    <w:rsid w:val="12130FC5"/>
    <w:rsid w:val="12575356"/>
    <w:rsid w:val="125F5E2E"/>
    <w:rsid w:val="126A598F"/>
    <w:rsid w:val="134C0770"/>
    <w:rsid w:val="13596EAB"/>
    <w:rsid w:val="135D042F"/>
    <w:rsid w:val="13957CB9"/>
    <w:rsid w:val="13C133CE"/>
    <w:rsid w:val="13D673F9"/>
    <w:rsid w:val="146E6986"/>
    <w:rsid w:val="14A800EA"/>
    <w:rsid w:val="14B120F6"/>
    <w:rsid w:val="14D07641"/>
    <w:rsid w:val="14D41776"/>
    <w:rsid w:val="150A66AF"/>
    <w:rsid w:val="150D2643"/>
    <w:rsid w:val="152534E9"/>
    <w:rsid w:val="152F0BBC"/>
    <w:rsid w:val="16287735"/>
    <w:rsid w:val="1683324F"/>
    <w:rsid w:val="16A42B33"/>
    <w:rsid w:val="16CA07EC"/>
    <w:rsid w:val="16D57191"/>
    <w:rsid w:val="16F45869"/>
    <w:rsid w:val="16F95920"/>
    <w:rsid w:val="16FC64CC"/>
    <w:rsid w:val="172B7D93"/>
    <w:rsid w:val="174B2FAF"/>
    <w:rsid w:val="17681DB3"/>
    <w:rsid w:val="17B429B6"/>
    <w:rsid w:val="17EB45EE"/>
    <w:rsid w:val="1853036D"/>
    <w:rsid w:val="18932E60"/>
    <w:rsid w:val="189337CE"/>
    <w:rsid w:val="18E52319"/>
    <w:rsid w:val="19436634"/>
    <w:rsid w:val="19472921"/>
    <w:rsid w:val="19570331"/>
    <w:rsid w:val="197131A1"/>
    <w:rsid w:val="19E576EB"/>
    <w:rsid w:val="19EF40C6"/>
    <w:rsid w:val="19F83716"/>
    <w:rsid w:val="1A197394"/>
    <w:rsid w:val="1A473F02"/>
    <w:rsid w:val="1A4F5002"/>
    <w:rsid w:val="1A974E89"/>
    <w:rsid w:val="1B1D4C62"/>
    <w:rsid w:val="1B215A8A"/>
    <w:rsid w:val="1B6862D7"/>
    <w:rsid w:val="1B7F33D1"/>
    <w:rsid w:val="1B806455"/>
    <w:rsid w:val="1BA17641"/>
    <w:rsid w:val="1BB40EED"/>
    <w:rsid w:val="1BB46365"/>
    <w:rsid w:val="1BB479A2"/>
    <w:rsid w:val="1BD143CB"/>
    <w:rsid w:val="1BE0016A"/>
    <w:rsid w:val="1C085913"/>
    <w:rsid w:val="1C0F6CA1"/>
    <w:rsid w:val="1C313849"/>
    <w:rsid w:val="1C576A9C"/>
    <w:rsid w:val="1C6A7562"/>
    <w:rsid w:val="1C6D08DF"/>
    <w:rsid w:val="1C6D515A"/>
    <w:rsid w:val="1C760ACE"/>
    <w:rsid w:val="1C9E1AEA"/>
    <w:rsid w:val="1D043207"/>
    <w:rsid w:val="1D0936F0"/>
    <w:rsid w:val="1D352737"/>
    <w:rsid w:val="1D992CC6"/>
    <w:rsid w:val="1DB23D88"/>
    <w:rsid w:val="1DE55F0B"/>
    <w:rsid w:val="1DE71C83"/>
    <w:rsid w:val="1DF9228A"/>
    <w:rsid w:val="1E0A7720"/>
    <w:rsid w:val="1E116D00"/>
    <w:rsid w:val="1E401394"/>
    <w:rsid w:val="1E592A71"/>
    <w:rsid w:val="1E7948A6"/>
    <w:rsid w:val="1ED04016"/>
    <w:rsid w:val="1F525822"/>
    <w:rsid w:val="1FD955FC"/>
    <w:rsid w:val="1FFC6A34"/>
    <w:rsid w:val="200F54C2"/>
    <w:rsid w:val="201725C8"/>
    <w:rsid w:val="20605D1D"/>
    <w:rsid w:val="206C7B49"/>
    <w:rsid w:val="207120C3"/>
    <w:rsid w:val="20971013"/>
    <w:rsid w:val="209E7C51"/>
    <w:rsid w:val="20F67487"/>
    <w:rsid w:val="21115269"/>
    <w:rsid w:val="21225204"/>
    <w:rsid w:val="21294361"/>
    <w:rsid w:val="216B2BCB"/>
    <w:rsid w:val="2184503B"/>
    <w:rsid w:val="21B17C21"/>
    <w:rsid w:val="22200FE5"/>
    <w:rsid w:val="22242A4E"/>
    <w:rsid w:val="222D1ACA"/>
    <w:rsid w:val="228527E6"/>
    <w:rsid w:val="228C4BA7"/>
    <w:rsid w:val="229B20FD"/>
    <w:rsid w:val="22B8599C"/>
    <w:rsid w:val="22D45DCA"/>
    <w:rsid w:val="233F7E6C"/>
    <w:rsid w:val="23863CED"/>
    <w:rsid w:val="23B5012E"/>
    <w:rsid w:val="23BD07B1"/>
    <w:rsid w:val="24A7216D"/>
    <w:rsid w:val="24BF3430"/>
    <w:rsid w:val="24D34D10"/>
    <w:rsid w:val="24EC5DD1"/>
    <w:rsid w:val="25227A45"/>
    <w:rsid w:val="25257535"/>
    <w:rsid w:val="25330E57"/>
    <w:rsid w:val="2551032A"/>
    <w:rsid w:val="257150D5"/>
    <w:rsid w:val="25867FD4"/>
    <w:rsid w:val="25BE6335"/>
    <w:rsid w:val="25C805EC"/>
    <w:rsid w:val="25DD571A"/>
    <w:rsid w:val="25E371D4"/>
    <w:rsid w:val="26103D41"/>
    <w:rsid w:val="2612465B"/>
    <w:rsid w:val="261455E0"/>
    <w:rsid w:val="26C32B62"/>
    <w:rsid w:val="27421CD9"/>
    <w:rsid w:val="27D56FF1"/>
    <w:rsid w:val="280653FC"/>
    <w:rsid w:val="285D507A"/>
    <w:rsid w:val="28F65471"/>
    <w:rsid w:val="290F5367"/>
    <w:rsid w:val="29A749BD"/>
    <w:rsid w:val="29B13146"/>
    <w:rsid w:val="29BF1D06"/>
    <w:rsid w:val="2A557F75"/>
    <w:rsid w:val="2A5C7555"/>
    <w:rsid w:val="2A9E0161"/>
    <w:rsid w:val="2B285689"/>
    <w:rsid w:val="2B381D70"/>
    <w:rsid w:val="2B45623B"/>
    <w:rsid w:val="2B4B2AFB"/>
    <w:rsid w:val="2B764647"/>
    <w:rsid w:val="2B88437A"/>
    <w:rsid w:val="2B9D7E25"/>
    <w:rsid w:val="2BB40E5B"/>
    <w:rsid w:val="2C4E7372"/>
    <w:rsid w:val="2CDC497D"/>
    <w:rsid w:val="2CF0667B"/>
    <w:rsid w:val="2CF41CC7"/>
    <w:rsid w:val="2D0B1F79"/>
    <w:rsid w:val="2D77745E"/>
    <w:rsid w:val="2D7E3C87"/>
    <w:rsid w:val="2D864EB0"/>
    <w:rsid w:val="2E4647A4"/>
    <w:rsid w:val="2E567191"/>
    <w:rsid w:val="2E6B37BB"/>
    <w:rsid w:val="2E82663A"/>
    <w:rsid w:val="2E905A1F"/>
    <w:rsid w:val="2E9D1104"/>
    <w:rsid w:val="2EB15996"/>
    <w:rsid w:val="2EBC6814"/>
    <w:rsid w:val="2EC3451F"/>
    <w:rsid w:val="2EF20488"/>
    <w:rsid w:val="2EF53AD4"/>
    <w:rsid w:val="2EFA558F"/>
    <w:rsid w:val="2F1B7324"/>
    <w:rsid w:val="2F527179"/>
    <w:rsid w:val="2F7215C9"/>
    <w:rsid w:val="2F7C41F6"/>
    <w:rsid w:val="2F8B61E7"/>
    <w:rsid w:val="2FA5288E"/>
    <w:rsid w:val="2FE83639"/>
    <w:rsid w:val="300541EB"/>
    <w:rsid w:val="303B19BB"/>
    <w:rsid w:val="303F598D"/>
    <w:rsid w:val="3058256D"/>
    <w:rsid w:val="30782C0F"/>
    <w:rsid w:val="307920D8"/>
    <w:rsid w:val="308405B2"/>
    <w:rsid w:val="309003C3"/>
    <w:rsid w:val="30917605"/>
    <w:rsid w:val="30A532D8"/>
    <w:rsid w:val="30DB6CFA"/>
    <w:rsid w:val="3126266B"/>
    <w:rsid w:val="31440D43"/>
    <w:rsid w:val="31480833"/>
    <w:rsid w:val="319C46DB"/>
    <w:rsid w:val="31B201DD"/>
    <w:rsid w:val="31B22151"/>
    <w:rsid w:val="31BD1DC4"/>
    <w:rsid w:val="31CD2AE7"/>
    <w:rsid w:val="32052280"/>
    <w:rsid w:val="32A25D21"/>
    <w:rsid w:val="32A27F10"/>
    <w:rsid w:val="32D83E39"/>
    <w:rsid w:val="33152997"/>
    <w:rsid w:val="331621F9"/>
    <w:rsid w:val="331812CD"/>
    <w:rsid w:val="33291F9F"/>
    <w:rsid w:val="33574D5E"/>
    <w:rsid w:val="33BE4DDD"/>
    <w:rsid w:val="33D43DBD"/>
    <w:rsid w:val="33DC5263"/>
    <w:rsid w:val="340F388A"/>
    <w:rsid w:val="341E3ACD"/>
    <w:rsid w:val="343F4A14"/>
    <w:rsid w:val="349A75F8"/>
    <w:rsid w:val="34BD5094"/>
    <w:rsid w:val="34D50630"/>
    <w:rsid w:val="34EC4711"/>
    <w:rsid w:val="35011425"/>
    <w:rsid w:val="35170C48"/>
    <w:rsid w:val="351F3913"/>
    <w:rsid w:val="35337151"/>
    <w:rsid w:val="355A6D87"/>
    <w:rsid w:val="35642E36"/>
    <w:rsid w:val="35AB37D1"/>
    <w:rsid w:val="35CB558F"/>
    <w:rsid w:val="35ED19A9"/>
    <w:rsid w:val="361909F0"/>
    <w:rsid w:val="361E6007"/>
    <w:rsid w:val="36251143"/>
    <w:rsid w:val="36297C02"/>
    <w:rsid w:val="36511F38"/>
    <w:rsid w:val="36633A19"/>
    <w:rsid w:val="36877708"/>
    <w:rsid w:val="36941E25"/>
    <w:rsid w:val="36B349A1"/>
    <w:rsid w:val="36C721FA"/>
    <w:rsid w:val="36F01751"/>
    <w:rsid w:val="375872F6"/>
    <w:rsid w:val="3784633D"/>
    <w:rsid w:val="37FB5F35"/>
    <w:rsid w:val="38030A86"/>
    <w:rsid w:val="382D3998"/>
    <w:rsid w:val="38877E93"/>
    <w:rsid w:val="38972E1C"/>
    <w:rsid w:val="38CF1470"/>
    <w:rsid w:val="38E70932"/>
    <w:rsid w:val="38F17F19"/>
    <w:rsid w:val="3914549F"/>
    <w:rsid w:val="39287C1C"/>
    <w:rsid w:val="39763A64"/>
    <w:rsid w:val="39777F08"/>
    <w:rsid w:val="397D3044"/>
    <w:rsid w:val="39C3314D"/>
    <w:rsid w:val="39FE23D7"/>
    <w:rsid w:val="3A16319D"/>
    <w:rsid w:val="3A810912"/>
    <w:rsid w:val="3A914FF9"/>
    <w:rsid w:val="3AC80920"/>
    <w:rsid w:val="3AC90C3C"/>
    <w:rsid w:val="3AF45588"/>
    <w:rsid w:val="3B0319E9"/>
    <w:rsid w:val="3B385475"/>
    <w:rsid w:val="3B4E3612"/>
    <w:rsid w:val="3B590718"/>
    <w:rsid w:val="3B824942"/>
    <w:rsid w:val="3BC74A4B"/>
    <w:rsid w:val="3BFC2946"/>
    <w:rsid w:val="3C0C3CEF"/>
    <w:rsid w:val="3C320282"/>
    <w:rsid w:val="3C6F1EA0"/>
    <w:rsid w:val="3CEC49C0"/>
    <w:rsid w:val="3D437B38"/>
    <w:rsid w:val="3D566086"/>
    <w:rsid w:val="3DAE7C70"/>
    <w:rsid w:val="3DC70D32"/>
    <w:rsid w:val="3E2B7513"/>
    <w:rsid w:val="3E605959"/>
    <w:rsid w:val="3E7762B4"/>
    <w:rsid w:val="3EA177D5"/>
    <w:rsid w:val="3F0365C7"/>
    <w:rsid w:val="3F0D6C18"/>
    <w:rsid w:val="3F76656C"/>
    <w:rsid w:val="3F937B68"/>
    <w:rsid w:val="3FDA11F0"/>
    <w:rsid w:val="400C0C7E"/>
    <w:rsid w:val="40381A73"/>
    <w:rsid w:val="404E1296"/>
    <w:rsid w:val="405A7C3B"/>
    <w:rsid w:val="40AD2461"/>
    <w:rsid w:val="40E439A9"/>
    <w:rsid w:val="410D12F8"/>
    <w:rsid w:val="415029D9"/>
    <w:rsid w:val="41670862"/>
    <w:rsid w:val="41F93484"/>
    <w:rsid w:val="420F2CA7"/>
    <w:rsid w:val="4214206C"/>
    <w:rsid w:val="42722B78"/>
    <w:rsid w:val="431762B8"/>
    <w:rsid w:val="434D1CD9"/>
    <w:rsid w:val="43737CDA"/>
    <w:rsid w:val="43827BB1"/>
    <w:rsid w:val="43BB08DC"/>
    <w:rsid w:val="43C27FD1"/>
    <w:rsid w:val="43E02B4D"/>
    <w:rsid w:val="44182A93"/>
    <w:rsid w:val="442A13D9"/>
    <w:rsid w:val="444162D1"/>
    <w:rsid w:val="44AD6ED3"/>
    <w:rsid w:val="44B21CE6"/>
    <w:rsid w:val="44C25F0B"/>
    <w:rsid w:val="452D3B70"/>
    <w:rsid w:val="453365B0"/>
    <w:rsid w:val="45605CF4"/>
    <w:rsid w:val="45F34DBA"/>
    <w:rsid w:val="460365FF"/>
    <w:rsid w:val="460C5E7C"/>
    <w:rsid w:val="463D7DBF"/>
    <w:rsid w:val="46530312"/>
    <w:rsid w:val="46537607"/>
    <w:rsid w:val="46713811"/>
    <w:rsid w:val="468E4AE3"/>
    <w:rsid w:val="469814BD"/>
    <w:rsid w:val="475A49C5"/>
    <w:rsid w:val="475C698F"/>
    <w:rsid w:val="47727F60"/>
    <w:rsid w:val="477618A3"/>
    <w:rsid w:val="479510FE"/>
    <w:rsid w:val="47D62F59"/>
    <w:rsid w:val="481F0EAE"/>
    <w:rsid w:val="483A26D1"/>
    <w:rsid w:val="488429C0"/>
    <w:rsid w:val="48CE11C6"/>
    <w:rsid w:val="48E42798"/>
    <w:rsid w:val="48FC1291"/>
    <w:rsid w:val="49D56585"/>
    <w:rsid w:val="49D9587C"/>
    <w:rsid w:val="49E334F6"/>
    <w:rsid w:val="4A3239D7"/>
    <w:rsid w:val="4A5E042C"/>
    <w:rsid w:val="4A743FEF"/>
    <w:rsid w:val="4AA5064D"/>
    <w:rsid w:val="4ABD7744"/>
    <w:rsid w:val="4AD36F68"/>
    <w:rsid w:val="4B427C4A"/>
    <w:rsid w:val="4B773D97"/>
    <w:rsid w:val="4BF65E1D"/>
    <w:rsid w:val="4C09265D"/>
    <w:rsid w:val="4C1356A2"/>
    <w:rsid w:val="4CAB577D"/>
    <w:rsid w:val="4D0478AD"/>
    <w:rsid w:val="4D097DFF"/>
    <w:rsid w:val="4D3637DE"/>
    <w:rsid w:val="4D4001B9"/>
    <w:rsid w:val="4D4128AF"/>
    <w:rsid w:val="4D492AC2"/>
    <w:rsid w:val="4DBD7A5B"/>
    <w:rsid w:val="4DC66A12"/>
    <w:rsid w:val="4DDE00FE"/>
    <w:rsid w:val="4DF711BF"/>
    <w:rsid w:val="4E04104E"/>
    <w:rsid w:val="4E165AE9"/>
    <w:rsid w:val="4E2A3343"/>
    <w:rsid w:val="4E406DDB"/>
    <w:rsid w:val="4E6B025A"/>
    <w:rsid w:val="4E8A5B90"/>
    <w:rsid w:val="4E923725"/>
    <w:rsid w:val="4EA2112B"/>
    <w:rsid w:val="4EC15F85"/>
    <w:rsid w:val="4EC527A3"/>
    <w:rsid w:val="4EDB63EB"/>
    <w:rsid w:val="4F005E52"/>
    <w:rsid w:val="4F05790C"/>
    <w:rsid w:val="4F0911AA"/>
    <w:rsid w:val="50231584"/>
    <w:rsid w:val="50724B2D"/>
    <w:rsid w:val="50AA42C7"/>
    <w:rsid w:val="50DE6667"/>
    <w:rsid w:val="510F0E13"/>
    <w:rsid w:val="514B4F78"/>
    <w:rsid w:val="51E23F34"/>
    <w:rsid w:val="51ED7522"/>
    <w:rsid w:val="51FF7420"/>
    <w:rsid w:val="5245699D"/>
    <w:rsid w:val="525C3CE7"/>
    <w:rsid w:val="52755359"/>
    <w:rsid w:val="52923265"/>
    <w:rsid w:val="52990A97"/>
    <w:rsid w:val="52B72CCB"/>
    <w:rsid w:val="52C11D9C"/>
    <w:rsid w:val="53475896"/>
    <w:rsid w:val="53582700"/>
    <w:rsid w:val="537329AF"/>
    <w:rsid w:val="53755060"/>
    <w:rsid w:val="539232B3"/>
    <w:rsid w:val="53B042EA"/>
    <w:rsid w:val="53D0673A"/>
    <w:rsid w:val="541624AE"/>
    <w:rsid w:val="54330CD9"/>
    <w:rsid w:val="544A6CFB"/>
    <w:rsid w:val="545207D2"/>
    <w:rsid w:val="545C3B2A"/>
    <w:rsid w:val="54684676"/>
    <w:rsid w:val="55254864"/>
    <w:rsid w:val="554967A4"/>
    <w:rsid w:val="554C1DF1"/>
    <w:rsid w:val="556E7FB9"/>
    <w:rsid w:val="55823A64"/>
    <w:rsid w:val="55982572"/>
    <w:rsid w:val="55AC7BBD"/>
    <w:rsid w:val="55F61D5C"/>
    <w:rsid w:val="561D378D"/>
    <w:rsid w:val="56225547"/>
    <w:rsid w:val="5625513D"/>
    <w:rsid w:val="563034C0"/>
    <w:rsid w:val="56504000"/>
    <w:rsid w:val="56B063AF"/>
    <w:rsid w:val="56BD287A"/>
    <w:rsid w:val="56EB388B"/>
    <w:rsid w:val="56F03D6C"/>
    <w:rsid w:val="57252A57"/>
    <w:rsid w:val="57340D8E"/>
    <w:rsid w:val="57571CBA"/>
    <w:rsid w:val="577B69BD"/>
    <w:rsid w:val="579E7882"/>
    <w:rsid w:val="57AA72A2"/>
    <w:rsid w:val="57EA4A45"/>
    <w:rsid w:val="57F1536A"/>
    <w:rsid w:val="58064C3C"/>
    <w:rsid w:val="580E5A83"/>
    <w:rsid w:val="58331046"/>
    <w:rsid w:val="58647451"/>
    <w:rsid w:val="586B3150"/>
    <w:rsid w:val="589C097F"/>
    <w:rsid w:val="59044790"/>
    <w:rsid w:val="59111F0A"/>
    <w:rsid w:val="592554A0"/>
    <w:rsid w:val="594554D5"/>
    <w:rsid w:val="59A06702"/>
    <w:rsid w:val="59A246D5"/>
    <w:rsid w:val="59D423B5"/>
    <w:rsid w:val="59FB3DE5"/>
    <w:rsid w:val="5A2055FA"/>
    <w:rsid w:val="5A2A6479"/>
    <w:rsid w:val="5A67147B"/>
    <w:rsid w:val="5A855CC9"/>
    <w:rsid w:val="5AB511FC"/>
    <w:rsid w:val="5AC23CD1"/>
    <w:rsid w:val="5B286E5C"/>
    <w:rsid w:val="5B5548D8"/>
    <w:rsid w:val="5B8322E4"/>
    <w:rsid w:val="5B94629C"/>
    <w:rsid w:val="5BE56AFB"/>
    <w:rsid w:val="5C2313D1"/>
    <w:rsid w:val="5C394FAE"/>
    <w:rsid w:val="5C677510"/>
    <w:rsid w:val="5C693288"/>
    <w:rsid w:val="5C795370"/>
    <w:rsid w:val="5C7B5ADE"/>
    <w:rsid w:val="5C7D31D8"/>
    <w:rsid w:val="5C982577"/>
    <w:rsid w:val="5CCB7A9F"/>
    <w:rsid w:val="5CD3198F"/>
    <w:rsid w:val="5CDB3A5A"/>
    <w:rsid w:val="5D1256CE"/>
    <w:rsid w:val="5D184CAE"/>
    <w:rsid w:val="5D320C20"/>
    <w:rsid w:val="5D46706C"/>
    <w:rsid w:val="5D605245"/>
    <w:rsid w:val="5D8D2FA6"/>
    <w:rsid w:val="5DA42323"/>
    <w:rsid w:val="5DBC7D30"/>
    <w:rsid w:val="5DED1ED3"/>
    <w:rsid w:val="5E176D14"/>
    <w:rsid w:val="5E3C677A"/>
    <w:rsid w:val="5E714676"/>
    <w:rsid w:val="5E7F3237"/>
    <w:rsid w:val="5E9F11E3"/>
    <w:rsid w:val="5EDA221B"/>
    <w:rsid w:val="5EE440EC"/>
    <w:rsid w:val="5F5D4BFA"/>
    <w:rsid w:val="5F797C86"/>
    <w:rsid w:val="5F9920D6"/>
    <w:rsid w:val="5FB409B1"/>
    <w:rsid w:val="5FC15189"/>
    <w:rsid w:val="600C4F8E"/>
    <w:rsid w:val="60270C25"/>
    <w:rsid w:val="60425A2F"/>
    <w:rsid w:val="6062696C"/>
    <w:rsid w:val="60AC5E39"/>
    <w:rsid w:val="60C70EC5"/>
    <w:rsid w:val="60D55390"/>
    <w:rsid w:val="625C563D"/>
    <w:rsid w:val="627B506E"/>
    <w:rsid w:val="628C5F22"/>
    <w:rsid w:val="62B15989"/>
    <w:rsid w:val="630730C7"/>
    <w:rsid w:val="635C2B47"/>
    <w:rsid w:val="639C3F43"/>
    <w:rsid w:val="63BB78A1"/>
    <w:rsid w:val="63BE035D"/>
    <w:rsid w:val="63E13A0B"/>
    <w:rsid w:val="63F54E11"/>
    <w:rsid w:val="6401024A"/>
    <w:rsid w:val="640A70BB"/>
    <w:rsid w:val="64177A6E"/>
    <w:rsid w:val="64550596"/>
    <w:rsid w:val="648C220A"/>
    <w:rsid w:val="649E30EE"/>
    <w:rsid w:val="64D55573"/>
    <w:rsid w:val="64F953C5"/>
    <w:rsid w:val="64FB5E91"/>
    <w:rsid w:val="653855DE"/>
    <w:rsid w:val="65430077"/>
    <w:rsid w:val="656E5DB3"/>
    <w:rsid w:val="65D715A9"/>
    <w:rsid w:val="661D72B3"/>
    <w:rsid w:val="662927B2"/>
    <w:rsid w:val="662C2F95"/>
    <w:rsid w:val="666F48B2"/>
    <w:rsid w:val="66812FCE"/>
    <w:rsid w:val="66845C6B"/>
    <w:rsid w:val="66897B56"/>
    <w:rsid w:val="66B3027F"/>
    <w:rsid w:val="66CC2D91"/>
    <w:rsid w:val="676C6322"/>
    <w:rsid w:val="67E91721"/>
    <w:rsid w:val="684828EC"/>
    <w:rsid w:val="689E0B09"/>
    <w:rsid w:val="68AF64C7"/>
    <w:rsid w:val="68BA2E4A"/>
    <w:rsid w:val="68BF2482"/>
    <w:rsid w:val="68D57089"/>
    <w:rsid w:val="68D75A1D"/>
    <w:rsid w:val="69731BEA"/>
    <w:rsid w:val="69765236"/>
    <w:rsid w:val="697D4817"/>
    <w:rsid w:val="69D02B99"/>
    <w:rsid w:val="69F83E9D"/>
    <w:rsid w:val="6A042842"/>
    <w:rsid w:val="6A374E4B"/>
    <w:rsid w:val="6A5837C7"/>
    <w:rsid w:val="6A7E0847"/>
    <w:rsid w:val="6B00125C"/>
    <w:rsid w:val="6B1B2A5E"/>
    <w:rsid w:val="6B8E2D0B"/>
    <w:rsid w:val="6BBC10B2"/>
    <w:rsid w:val="6BC35730"/>
    <w:rsid w:val="6BCF0C2E"/>
    <w:rsid w:val="6BF012D0"/>
    <w:rsid w:val="6C541216"/>
    <w:rsid w:val="6C686766"/>
    <w:rsid w:val="6C9F6CBF"/>
    <w:rsid w:val="6CDE381E"/>
    <w:rsid w:val="6D817112"/>
    <w:rsid w:val="6D8A47CA"/>
    <w:rsid w:val="6D9B526C"/>
    <w:rsid w:val="6E573888"/>
    <w:rsid w:val="6E92623A"/>
    <w:rsid w:val="6EBA381B"/>
    <w:rsid w:val="6F0D2199"/>
    <w:rsid w:val="6F2968A7"/>
    <w:rsid w:val="6F2F65B3"/>
    <w:rsid w:val="6F457B85"/>
    <w:rsid w:val="6F4638FD"/>
    <w:rsid w:val="6FB940CF"/>
    <w:rsid w:val="6FBD5FE1"/>
    <w:rsid w:val="6FCE7B7A"/>
    <w:rsid w:val="6FE70C3C"/>
    <w:rsid w:val="6FEF189F"/>
    <w:rsid w:val="6FF31971"/>
    <w:rsid w:val="70141305"/>
    <w:rsid w:val="70207CAA"/>
    <w:rsid w:val="70221C74"/>
    <w:rsid w:val="705B5186"/>
    <w:rsid w:val="70785D38"/>
    <w:rsid w:val="70826FF6"/>
    <w:rsid w:val="70D7072F"/>
    <w:rsid w:val="712351CC"/>
    <w:rsid w:val="71665B90"/>
    <w:rsid w:val="716A38D3"/>
    <w:rsid w:val="71704C61"/>
    <w:rsid w:val="71A779AA"/>
    <w:rsid w:val="71BE3C1E"/>
    <w:rsid w:val="71E17B50"/>
    <w:rsid w:val="72612407"/>
    <w:rsid w:val="72D37256"/>
    <w:rsid w:val="72E15E16"/>
    <w:rsid w:val="72EE0533"/>
    <w:rsid w:val="73540F98"/>
    <w:rsid w:val="736507F6"/>
    <w:rsid w:val="73AC0640"/>
    <w:rsid w:val="73B2330F"/>
    <w:rsid w:val="73EF6311"/>
    <w:rsid w:val="740D4E17"/>
    <w:rsid w:val="74220495"/>
    <w:rsid w:val="74A569D0"/>
    <w:rsid w:val="74BC09A1"/>
    <w:rsid w:val="7501454E"/>
    <w:rsid w:val="75093403"/>
    <w:rsid w:val="7521074C"/>
    <w:rsid w:val="75385A96"/>
    <w:rsid w:val="757840E4"/>
    <w:rsid w:val="75860393"/>
    <w:rsid w:val="758B206A"/>
    <w:rsid w:val="758F0E96"/>
    <w:rsid w:val="759929D8"/>
    <w:rsid w:val="75B415C0"/>
    <w:rsid w:val="75F573FC"/>
    <w:rsid w:val="760D2A7F"/>
    <w:rsid w:val="7620086F"/>
    <w:rsid w:val="762B1157"/>
    <w:rsid w:val="76BF6607"/>
    <w:rsid w:val="76F0487A"/>
    <w:rsid w:val="77000835"/>
    <w:rsid w:val="772D6E8E"/>
    <w:rsid w:val="77577C6A"/>
    <w:rsid w:val="776112D4"/>
    <w:rsid w:val="776B3F01"/>
    <w:rsid w:val="778B619F"/>
    <w:rsid w:val="77DB72D8"/>
    <w:rsid w:val="77DC741B"/>
    <w:rsid w:val="77F932A5"/>
    <w:rsid w:val="78200134"/>
    <w:rsid w:val="78760DAF"/>
    <w:rsid w:val="787B63C5"/>
    <w:rsid w:val="789B25C4"/>
    <w:rsid w:val="793D1193"/>
    <w:rsid w:val="794B223C"/>
    <w:rsid w:val="7956473D"/>
    <w:rsid w:val="795F7D0D"/>
    <w:rsid w:val="79A66FD3"/>
    <w:rsid w:val="79A74F98"/>
    <w:rsid w:val="79D0629D"/>
    <w:rsid w:val="79EE0E19"/>
    <w:rsid w:val="7A4B626B"/>
    <w:rsid w:val="7A660A22"/>
    <w:rsid w:val="7AEA338E"/>
    <w:rsid w:val="7B011C90"/>
    <w:rsid w:val="7B1D781F"/>
    <w:rsid w:val="7B3D021F"/>
    <w:rsid w:val="7C3074C7"/>
    <w:rsid w:val="7C833A9B"/>
    <w:rsid w:val="7CF44998"/>
    <w:rsid w:val="7D557E11"/>
    <w:rsid w:val="7D5D6F6D"/>
    <w:rsid w:val="7D6B6113"/>
    <w:rsid w:val="7D785D38"/>
    <w:rsid w:val="7DA26EDC"/>
    <w:rsid w:val="7DAC5273"/>
    <w:rsid w:val="7E066731"/>
    <w:rsid w:val="7E3F39F1"/>
    <w:rsid w:val="7E5E6CCB"/>
    <w:rsid w:val="7E680EAA"/>
    <w:rsid w:val="7E832AC7"/>
    <w:rsid w:val="7E9B156F"/>
    <w:rsid w:val="7E9F071A"/>
    <w:rsid w:val="7EA97B73"/>
    <w:rsid w:val="7EB20667"/>
    <w:rsid w:val="7ECB20F8"/>
    <w:rsid w:val="7F034416"/>
    <w:rsid w:val="7F3900A1"/>
    <w:rsid w:val="7F3C6183"/>
    <w:rsid w:val="7F5B391B"/>
    <w:rsid w:val="7F686F78"/>
    <w:rsid w:val="7F6A7194"/>
    <w:rsid w:val="7F89586C"/>
    <w:rsid w:val="7F9F1785"/>
    <w:rsid w:val="7FF35BB4"/>
    <w:rsid w:val="BFC57707"/>
    <w:rsid w:val="DFF5B08B"/>
    <w:rsid w:val="EEB93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ind w:left="118"/>
    </w:pPr>
    <w:rPr>
      <w:rFonts w:ascii="宋体" w:hAnsi="宋体" w:eastAsia="宋体"/>
    </w:rPr>
  </w:style>
  <w:style w:type="paragraph" w:styleId="3">
    <w:name w:val="Normal Indent"/>
    <w:basedOn w:val="1"/>
    <w:next w:val="4"/>
    <w:autoRedefine/>
    <w:qFormat/>
    <w:uiPriority w:val="0"/>
    <w:pPr>
      <w:ind w:firstLine="420"/>
    </w:pPr>
  </w:style>
  <w:style w:type="paragraph" w:customStyle="1" w:styleId="4">
    <w:name w:val="正文首行缩进2个字 Char"/>
    <w:basedOn w:val="1"/>
    <w:autoRedefine/>
    <w:qFormat/>
    <w:uiPriority w:val="0"/>
    <w:pPr>
      <w:ind w:firstLine="480" w:firstLineChars="200"/>
    </w:pPr>
    <w:rPr>
      <w:rFonts w:eastAsia="楷体"/>
      <w:sz w:val="24"/>
      <w:szCs w:val="24"/>
    </w:rPr>
  </w:style>
  <w:style w:type="paragraph" w:styleId="5">
    <w:name w:val="annotation text"/>
    <w:basedOn w:val="1"/>
    <w:autoRedefine/>
    <w:qFormat/>
    <w:uiPriority w:val="0"/>
    <w:pPr>
      <w:jc w:val="left"/>
    </w:pPr>
  </w:style>
  <w:style w:type="paragraph" w:styleId="6">
    <w:name w:val="Body Text Indent"/>
    <w:basedOn w:val="1"/>
    <w:next w:val="7"/>
    <w:autoRedefine/>
    <w:qFormat/>
    <w:uiPriority w:val="0"/>
    <w:pPr>
      <w:ind w:firstLine="480" w:firstLineChars="200"/>
    </w:pPr>
    <w:rPr>
      <w:rFonts w:ascii="宋体"/>
      <w:color w:val="000000"/>
      <w:sz w:val="24"/>
    </w:rPr>
  </w:style>
  <w:style w:type="paragraph" w:styleId="7">
    <w:name w:val="toc 9"/>
    <w:basedOn w:val="1"/>
    <w:next w:val="1"/>
    <w:autoRedefine/>
    <w:qFormat/>
    <w:uiPriority w:val="0"/>
    <w:pPr>
      <w:widowControl/>
      <w:wordWrap w:val="0"/>
      <w:autoSpaceDE/>
      <w:autoSpaceDN/>
      <w:spacing w:before="0" w:after="0" w:line="240" w:lineRule="auto"/>
      <w:ind w:left="2975" w:firstLine="0"/>
      <w:jc w:val="both"/>
    </w:pPr>
    <w:rPr>
      <w:sz w:val="21"/>
      <w:szCs w:val="22"/>
    </w:rPr>
  </w:style>
  <w:style w:type="paragraph" w:styleId="8">
    <w:name w:val="Plain Text"/>
    <w:basedOn w:val="1"/>
    <w:autoRedefine/>
    <w:qFormat/>
    <w:uiPriority w:val="0"/>
    <w:rPr>
      <w:rFonts w:ascii="宋体" w:hAnsi="Courier New" w:eastAsia="宋体" w:cs="Times New Roman"/>
      <w:szCs w:val="24"/>
    </w:rPr>
  </w:style>
  <w:style w:type="paragraph" w:styleId="9">
    <w:name w:val="Body Text First Indent"/>
    <w:basedOn w:val="2"/>
    <w:next w:val="1"/>
    <w:autoRedefine/>
    <w:qFormat/>
    <w:uiPriority w:val="0"/>
    <w:pPr>
      <w:ind w:firstLine="420" w:firstLineChars="100"/>
    </w:pPr>
  </w:style>
  <w:style w:type="paragraph" w:styleId="10">
    <w:name w:val="Body Text First Indent 2"/>
    <w:basedOn w:val="6"/>
    <w:next w:val="1"/>
    <w:autoRedefine/>
    <w:qFormat/>
    <w:uiPriority w:val="0"/>
    <w:pPr>
      <w:ind w:firstLine="420" w:firstLineChars="200"/>
    </w:pPr>
    <w:rPr>
      <w:snapToGrid w:val="0"/>
      <w:kern w:val="0"/>
      <w:sz w:val="24"/>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Emphasis"/>
    <w:basedOn w:val="13"/>
    <w:autoRedefine/>
    <w:qFormat/>
    <w:uiPriority w:val="0"/>
    <w:rPr>
      <w:i/>
    </w:rPr>
  </w:style>
  <w:style w:type="paragraph" w:customStyle="1" w:styleId="16">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rPr>
  </w:style>
  <w:style w:type="paragraph" w:customStyle="1" w:styleId="17">
    <w:name w:val=" Char Char Char1 Char Char Char Char Char Char Char Char Char Char Char Char Char"/>
    <w:basedOn w:val="1"/>
    <w:autoRedefine/>
    <w:qFormat/>
    <w:uiPriority w:val="0"/>
    <w:rPr>
      <w:rFonts w:ascii="Times New Roman" w:hAnsi="Times New Roman" w:eastAsia="宋体" w:cs="Times New Roman"/>
      <w:sz w:val="24"/>
    </w:rPr>
  </w:style>
  <w:style w:type="paragraph" w:customStyle="1" w:styleId="18">
    <w:name w:val="报告正文"/>
    <w:basedOn w:val="1"/>
    <w:autoRedefine/>
    <w:semiHidden/>
    <w:qFormat/>
    <w:uiPriority w:val="0"/>
    <w:pPr>
      <w:spacing w:line="440" w:lineRule="exact"/>
      <w:ind w:firstLine="200" w:firstLineChars="200"/>
      <w:jc w:val="left"/>
    </w:pPr>
    <w:rPr>
      <w:rFonts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3137</Words>
  <Characters>3480</Characters>
  <Lines>1</Lines>
  <Paragraphs>1</Paragraphs>
  <TotalTime>0</TotalTime>
  <ScaleCrop>false</ScaleCrop>
  <LinksUpToDate>false</LinksUpToDate>
  <CharactersWithSpaces>3487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小刘小刘</cp:lastModifiedBy>
  <cp:lastPrinted>2023-12-16T10:48:00Z</cp:lastPrinted>
  <dcterms:modified xsi:type="dcterms:W3CDTF">2024-02-02T00:32:56Z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C7399CAF82A84403AC221D2C7E4890CA_13</vt:lpwstr>
  </property>
</Properties>
</file>