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33E65">
      <w:pPr>
        <w:widowControl/>
        <w:shd w:val="clear" w:color="auto"/>
        <w:spacing w:line="352" w:lineRule="atLeast"/>
        <w:jc w:val="left"/>
        <w:rPr>
          <w:rFonts w:hint="eastAsia" w:ascii="微软雅黑" w:hAnsi="微软雅黑" w:eastAsia="微软雅黑" w:cs="宋体"/>
          <w:color w:val="FF0000"/>
          <w:spacing w:val="9"/>
          <w:kern w:val="0"/>
          <w:sz w:val="37"/>
          <w:szCs w:val="37"/>
          <w:lang w:val="en-US" w:eastAsia="zh-CN"/>
        </w:rPr>
      </w:pPr>
      <w:r>
        <w:rPr>
          <w:rFonts w:hint="eastAsia" w:ascii="微软雅黑" w:hAnsi="微软雅黑" w:eastAsia="微软雅黑" w:cs="宋体"/>
          <w:color w:val="FF0000"/>
          <w:spacing w:val="9"/>
          <w:kern w:val="0"/>
          <w:sz w:val="37"/>
          <w:szCs w:val="37"/>
          <w:lang w:val="en-US" w:eastAsia="zh-CN"/>
        </w:rPr>
        <w:t xml:space="preserve"> </w:t>
      </w:r>
    </w:p>
    <w:p w14:paraId="7CC26C12">
      <w:pPr>
        <w:pStyle w:val="14"/>
        <w:numPr>
          <w:ilvl w:val="0"/>
          <w:numId w:val="0"/>
        </w:numPr>
        <w:shd w:val="clear"/>
        <w:ind w:leftChars="0"/>
        <w:rPr>
          <w:rFonts w:hint="eastAsia"/>
          <w:color w:val="FF0000"/>
          <w:lang w:eastAsia="zh-CN"/>
        </w:rPr>
      </w:pPr>
    </w:p>
    <w:p w14:paraId="4B174C47">
      <w:pPr>
        <w:widowControl/>
        <w:shd w:val="clear" w:color="auto"/>
        <w:jc w:val="center"/>
        <w:rPr>
          <w:rFonts w:hint="eastAsia" w:ascii="宋体" w:hAnsi="宋体" w:eastAsia="宋体" w:cs="宋体"/>
          <w:b/>
          <w:bCs/>
          <w:color w:val="auto"/>
          <w:spacing w:val="9"/>
          <w:kern w:val="0"/>
          <w:sz w:val="72"/>
          <w:szCs w:val="72"/>
        </w:rPr>
      </w:pPr>
      <w:r>
        <w:rPr>
          <w:rFonts w:hint="eastAsia" w:ascii="宋体" w:hAnsi="宋体" w:eastAsia="宋体" w:cs="宋体"/>
          <w:b/>
          <w:bCs/>
          <w:color w:val="auto"/>
          <w:spacing w:val="9"/>
          <w:kern w:val="0"/>
          <w:sz w:val="72"/>
          <w:szCs w:val="72"/>
        </w:rPr>
        <w:t>建设项目环境影响</w:t>
      </w:r>
      <w:r>
        <w:rPr>
          <w:rFonts w:hint="eastAsia" w:ascii="宋体" w:hAnsi="宋体" w:eastAsia="宋体" w:cs="宋体"/>
          <w:b/>
          <w:bCs/>
          <w:color w:val="auto"/>
          <w:spacing w:val="9"/>
          <w:kern w:val="0"/>
          <w:sz w:val="72"/>
          <w:szCs w:val="72"/>
          <w:lang w:val="en-US" w:eastAsia="zh-CN"/>
        </w:rPr>
        <w:t>登记</w:t>
      </w:r>
      <w:r>
        <w:rPr>
          <w:rFonts w:hint="eastAsia" w:ascii="宋体" w:hAnsi="宋体" w:eastAsia="宋体" w:cs="宋体"/>
          <w:b/>
          <w:bCs/>
          <w:color w:val="auto"/>
          <w:spacing w:val="9"/>
          <w:kern w:val="0"/>
          <w:sz w:val="72"/>
          <w:szCs w:val="72"/>
        </w:rPr>
        <w:t>表</w:t>
      </w:r>
    </w:p>
    <w:p w14:paraId="7162BC49">
      <w:pPr>
        <w:widowControl/>
        <w:shd w:val="clear" w:color="auto"/>
        <w:jc w:val="center"/>
        <w:rPr>
          <w:rFonts w:hint="eastAsia" w:ascii="宋体" w:hAnsi="宋体" w:eastAsia="宋体" w:cs="宋体"/>
          <w:b/>
          <w:bCs/>
          <w:color w:val="auto"/>
          <w:spacing w:val="9"/>
          <w:kern w:val="0"/>
          <w:sz w:val="72"/>
          <w:szCs w:val="72"/>
        </w:rPr>
      </w:pPr>
      <w:r>
        <w:rPr>
          <w:rFonts w:hint="eastAsia" w:ascii="宋体" w:hAnsi="宋体" w:eastAsia="宋体" w:cs="宋体"/>
          <w:b/>
          <w:bCs/>
          <w:color w:val="auto"/>
          <w:spacing w:val="9"/>
          <w:kern w:val="0"/>
          <w:sz w:val="72"/>
          <w:szCs w:val="72"/>
        </w:rPr>
        <w:t>（污染影响类）</w:t>
      </w:r>
    </w:p>
    <w:p w14:paraId="5A335119">
      <w:pPr>
        <w:widowControl/>
        <w:shd w:val="clear" w:color="auto"/>
        <w:jc w:val="center"/>
        <w:rPr>
          <w:rFonts w:hint="eastAsia" w:ascii="Times New Roman" w:hAnsi="Times New Roman" w:eastAsia="微软雅黑" w:cs="Times New Roman"/>
          <w:color w:val="FF0000"/>
          <w:spacing w:val="9"/>
          <w:kern w:val="0"/>
          <w:szCs w:val="21"/>
          <w:lang w:eastAsia="zh-CN"/>
        </w:rPr>
      </w:pPr>
    </w:p>
    <w:p w14:paraId="200F3EA0">
      <w:pPr>
        <w:pStyle w:val="10"/>
        <w:rPr>
          <w:rFonts w:hint="eastAsia"/>
          <w:color w:val="FF0000"/>
          <w:lang w:eastAsia="zh-CN"/>
        </w:rPr>
      </w:pPr>
    </w:p>
    <w:p w14:paraId="2D14537F">
      <w:pPr>
        <w:widowControl/>
        <w:shd w:val="clear" w:color="auto"/>
        <w:spacing w:line="281" w:lineRule="atLeast"/>
        <w:jc w:val="both"/>
        <w:rPr>
          <w:rFonts w:hint="eastAsia" w:ascii="Times New Roman" w:hAnsi="Times New Roman" w:eastAsia="微软雅黑" w:cs="Times New Roman"/>
          <w:color w:val="FF0000"/>
          <w:spacing w:val="9"/>
          <w:kern w:val="0"/>
          <w:szCs w:val="21"/>
          <w:lang w:eastAsia="zh-CN"/>
        </w:rPr>
      </w:pPr>
    </w:p>
    <w:p w14:paraId="465D2FE3">
      <w:pPr>
        <w:pStyle w:val="10"/>
        <w:rPr>
          <w:rFonts w:hint="eastAsia"/>
          <w:color w:val="FF0000"/>
          <w:lang w:eastAsia="zh-CN"/>
        </w:rPr>
      </w:pPr>
    </w:p>
    <w:tbl>
      <w:tblPr>
        <w:tblStyle w:val="23"/>
        <w:tblpPr w:leftFromText="180" w:rightFromText="180" w:vertAnchor="text" w:horzAnchor="page" w:tblpX="1799" w:tblpY="418"/>
        <w:tblOverlap w:val="never"/>
        <w:tblW w:w="0" w:type="auto"/>
        <w:tblInd w:w="0" w:type="dxa"/>
        <w:tblLayout w:type="fixed"/>
        <w:tblCellMar>
          <w:top w:w="0" w:type="dxa"/>
          <w:left w:w="108" w:type="dxa"/>
          <w:bottom w:w="0" w:type="dxa"/>
          <w:right w:w="108" w:type="dxa"/>
        </w:tblCellMar>
      </w:tblPr>
      <w:tblGrid>
        <w:gridCol w:w="2343"/>
        <w:gridCol w:w="6161"/>
      </w:tblGrid>
      <w:tr w14:paraId="6D6AC533">
        <w:tblPrEx>
          <w:tblCellMar>
            <w:top w:w="0" w:type="dxa"/>
            <w:left w:w="108" w:type="dxa"/>
            <w:bottom w:w="0" w:type="dxa"/>
            <w:right w:w="108" w:type="dxa"/>
          </w:tblCellMar>
        </w:tblPrEx>
        <w:trPr>
          <w:trHeight w:val="567" w:hRule="atLeast"/>
        </w:trPr>
        <w:tc>
          <w:tcPr>
            <w:tcW w:w="2343" w:type="dxa"/>
            <w:noWrap w:val="0"/>
            <w:vAlign w:val="center"/>
          </w:tcPr>
          <w:p w14:paraId="3101B94F">
            <w:pPr>
              <w:adjustRightInd w:val="0"/>
              <w:snapToGrid w:val="0"/>
              <w:spacing w:before="126" w:beforeLines="40" w:after="126" w:afterLines="40"/>
              <w:jc w:val="distribute"/>
              <w:rPr>
                <w:b/>
                <w:bCs/>
                <w:color w:val="FF0000"/>
                <w:spacing w:val="20"/>
                <w:sz w:val="36"/>
                <w:szCs w:val="36"/>
              </w:rPr>
            </w:pPr>
            <w:r>
              <w:rPr>
                <w:rFonts w:hAnsi="宋体"/>
                <w:b/>
                <w:bCs/>
                <w:color w:val="auto"/>
                <w:spacing w:val="20"/>
                <w:sz w:val="36"/>
                <w:szCs w:val="36"/>
              </w:rPr>
              <w:t>项目名称</w:t>
            </w:r>
          </w:p>
        </w:tc>
        <w:tc>
          <w:tcPr>
            <w:tcW w:w="6161" w:type="dxa"/>
            <w:noWrap w:val="0"/>
            <w:vAlign w:val="top"/>
          </w:tcPr>
          <w:p w14:paraId="4AEB11C1">
            <w:pPr>
              <w:adjustRightInd w:val="0"/>
              <w:snapToGrid w:val="0"/>
              <w:spacing w:before="126" w:beforeLines="40" w:after="126" w:afterLines="40"/>
              <w:jc w:val="distribute"/>
              <w:rPr>
                <w:rFonts w:hint="eastAsia" w:ascii="Times New Roman" w:hAnsi="Times New Roman"/>
                <w:b/>
                <w:bCs/>
                <w:color w:val="auto"/>
                <w:kern w:val="0"/>
                <w:sz w:val="36"/>
                <w:szCs w:val="36"/>
                <w:u w:val="single"/>
                <w:lang w:val="en-US" w:eastAsia="zh-CN"/>
              </w:rPr>
            </w:pPr>
            <w:r>
              <w:rPr>
                <w:rFonts w:ascii="Times New Roman" w:hAnsi="Times New Roman"/>
                <w:b/>
                <w:bCs/>
                <w:color w:val="auto"/>
                <w:kern w:val="0"/>
                <w:sz w:val="36"/>
                <w:szCs w:val="36"/>
                <w:u w:val="single"/>
              </w:rPr>
              <w:t>年产</w:t>
            </w:r>
            <w:r>
              <w:rPr>
                <w:rFonts w:hint="eastAsia" w:ascii="Times New Roman" w:hAnsi="Times New Roman"/>
                <w:b/>
                <w:bCs/>
                <w:color w:val="auto"/>
                <w:kern w:val="0"/>
                <w:sz w:val="36"/>
                <w:szCs w:val="36"/>
                <w:u w:val="single"/>
                <w:lang w:val="en-US" w:eastAsia="zh-CN"/>
              </w:rPr>
              <w:t>400万片电磁阀智能芯片及2万台高端电磁阀</w:t>
            </w:r>
          </w:p>
          <w:p w14:paraId="67B52F8B">
            <w:pPr>
              <w:adjustRightInd w:val="0"/>
              <w:snapToGrid w:val="0"/>
              <w:spacing w:before="126" w:beforeLines="40" w:after="126" w:afterLines="40"/>
              <w:jc w:val="distribute"/>
              <w:rPr>
                <w:rFonts w:ascii="Times New Roman" w:hAnsi="Times New Roman"/>
                <w:b/>
                <w:bCs/>
                <w:color w:val="FF0000"/>
                <w:kern w:val="0"/>
                <w:sz w:val="36"/>
                <w:szCs w:val="36"/>
                <w:u w:val="single"/>
              </w:rPr>
            </w:pPr>
            <w:r>
              <w:rPr>
                <w:rFonts w:ascii="Times New Roman" w:hAnsi="Times New Roman"/>
                <w:b/>
                <w:bCs/>
                <w:color w:val="auto"/>
                <w:kern w:val="0"/>
                <w:sz w:val="36"/>
                <w:szCs w:val="36"/>
                <w:u w:val="single"/>
              </w:rPr>
              <w:t>项目</w:t>
            </w:r>
          </w:p>
        </w:tc>
      </w:tr>
      <w:tr w14:paraId="7FF05423">
        <w:tblPrEx>
          <w:tblCellMar>
            <w:top w:w="0" w:type="dxa"/>
            <w:left w:w="108" w:type="dxa"/>
            <w:bottom w:w="0" w:type="dxa"/>
            <w:right w:w="108" w:type="dxa"/>
          </w:tblCellMar>
        </w:tblPrEx>
        <w:trPr>
          <w:trHeight w:val="567" w:hRule="atLeast"/>
        </w:trPr>
        <w:tc>
          <w:tcPr>
            <w:tcW w:w="2343" w:type="dxa"/>
            <w:noWrap w:val="0"/>
            <w:vAlign w:val="top"/>
          </w:tcPr>
          <w:p w14:paraId="776644FC">
            <w:pPr>
              <w:adjustRightInd w:val="0"/>
              <w:snapToGrid w:val="0"/>
              <w:spacing w:before="126" w:beforeLines="40" w:after="126" w:afterLines="40"/>
              <w:jc w:val="distribute"/>
              <w:rPr>
                <w:rFonts w:hint="eastAsia" w:eastAsiaTheme="minorEastAsia"/>
                <w:b/>
                <w:bCs/>
                <w:color w:val="auto"/>
                <w:spacing w:val="20"/>
                <w:sz w:val="36"/>
                <w:szCs w:val="36"/>
                <w:lang w:eastAsia="zh-CN"/>
              </w:rPr>
            </w:pPr>
            <w:r>
              <w:rPr>
                <w:rFonts w:hAnsi="宋体"/>
                <w:b/>
                <w:bCs/>
                <w:color w:val="auto"/>
                <w:spacing w:val="20"/>
                <w:sz w:val="36"/>
                <w:szCs w:val="36"/>
              </w:rPr>
              <w:t>建设单位</w:t>
            </w:r>
            <w:r>
              <w:rPr>
                <w:rFonts w:hint="eastAsia" w:hAnsi="宋体"/>
                <w:b/>
                <w:bCs/>
                <w:color w:val="auto"/>
                <w:spacing w:val="20"/>
                <w:sz w:val="36"/>
                <w:szCs w:val="36"/>
                <w:lang w:eastAsia="zh-CN"/>
              </w:rPr>
              <w:t>（盖章）</w:t>
            </w:r>
          </w:p>
        </w:tc>
        <w:tc>
          <w:tcPr>
            <w:tcW w:w="6161" w:type="dxa"/>
            <w:noWrap w:val="0"/>
            <w:vAlign w:val="center"/>
          </w:tcPr>
          <w:p w14:paraId="6F90F4CA">
            <w:pPr>
              <w:adjustRightInd w:val="0"/>
              <w:snapToGrid w:val="0"/>
              <w:spacing w:before="126" w:beforeLines="40" w:after="126" w:afterLines="40"/>
              <w:jc w:val="distribute"/>
              <w:rPr>
                <w:b/>
                <w:bCs/>
                <w:color w:val="auto"/>
                <w:kern w:val="0"/>
                <w:sz w:val="36"/>
                <w:szCs w:val="36"/>
                <w:u w:val="single"/>
              </w:rPr>
            </w:pPr>
            <w:r>
              <w:rPr>
                <w:rFonts w:hint="eastAsia"/>
                <w:b/>
                <w:bCs/>
                <w:color w:val="auto"/>
                <w:sz w:val="36"/>
                <w:szCs w:val="36"/>
                <w:u w:val="single"/>
                <w:lang w:val="en-US" w:eastAsia="zh-CN"/>
              </w:rPr>
              <w:t>浙江桃园智能科技有限公司</w:t>
            </w:r>
          </w:p>
        </w:tc>
      </w:tr>
      <w:tr w14:paraId="097696B0">
        <w:tblPrEx>
          <w:tblCellMar>
            <w:top w:w="0" w:type="dxa"/>
            <w:left w:w="108" w:type="dxa"/>
            <w:bottom w:w="0" w:type="dxa"/>
            <w:right w:w="108" w:type="dxa"/>
          </w:tblCellMar>
        </w:tblPrEx>
        <w:trPr>
          <w:trHeight w:val="567" w:hRule="atLeast"/>
        </w:trPr>
        <w:tc>
          <w:tcPr>
            <w:tcW w:w="2343" w:type="dxa"/>
            <w:noWrap w:val="0"/>
            <w:vAlign w:val="top"/>
          </w:tcPr>
          <w:p w14:paraId="6DD3CB97">
            <w:pPr>
              <w:adjustRightInd w:val="0"/>
              <w:snapToGrid w:val="0"/>
              <w:spacing w:before="126" w:beforeLines="40" w:after="126" w:afterLines="40"/>
              <w:jc w:val="distribute"/>
              <w:rPr>
                <w:rFonts w:hint="eastAsia" w:hAnsi="宋体" w:eastAsiaTheme="minorEastAsia"/>
                <w:b/>
                <w:bCs/>
                <w:color w:val="auto"/>
                <w:spacing w:val="20"/>
                <w:sz w:val="36"/>
                <w:szCs w:val="36"/>
                <w:lang w:eastAsia="zh-CN"/>
              </w:rPr>
            </w:pPr>
            <w:r>
              <w:rPr>
                <w:rFonts w:hint="eastAsia" w:hAnsi="宋体"/>
                <w:b/>
                <w:bCs/>
                <w:color w:val="auto"/>
                <w:spacing w:val="20"/>
                <w:sz w:val="36"/>
                <w:szCs w:val="36"/>
              </w:rPr>
              <w:t>编制</w:t>
            </w:r>
            <w:r>
              <w:rPr>
                <w:rFonts w:hint="eastAsia" w:hAnsi="宋体"/>
                <w:b/>
                <w:bCs/>
                <w:color w:val="auto"/>
                <w:spacing w:val="20"/>
                <w:sz w:val="36"/>
                <w:szCs w:val="36"/>
                <w:lang w:eastAsia="zh-CN"/>
              </w:rPr>
              <w:t>日期</w:t>
            </w:r>
          </w:p>
        </w:tc>
        <w:tc>
          <w:tcPr>
            <w:tcW w:w="6161" w:type="dxa"/>
            <w:noWrap w:val="0"/>
            <w:vAlign w:val="top"/>
          </w:tcPr>
          <w:p w14:paraId="26A3FDBE">
            <w:pPr>
              <w:adjustRightInd w:val="0"/>
              <w:snapToGrid w:val="0"/>
              <w:spacing w:before="126" w:beforeLines="40" w:after="126" w:afterLines="40"/>
              <w:jc w:val="both"/>
              <w:rPr>
                <w:rFonts w:hint="default" w:eastAsiaTheme="minorEastAsia"/>
                <w:b/>
                <w:bCs/>
                <w:color w:val="auto"/>
                <w:spacing w:val="-11"/>
                <w:kern w:val="0"/>
                <w:sz w:val="36"/>
                <w:szCs w:val="36"/>
                <w:u w:val="single"/>
                <w:lang w:val="en-US" w:eastAsia="zh-CN"/>
              </w:rPr>
            </w:pPr>
            <w:r>
              <w:rPr>
                <w:rFonts w:hint="eastAsia" w:ascii="宋体" w:hAnsi="宋体" w:eastAsia="宋体" w:cs="宋体"/>
                <w:b/>
                <w:bCs/>
                <w:color w:val="auto"/>
                <w:spacing w:val="9"/>
                <w:kern w:val="0"/>
                <w:sz w:val="36"/>
                <w:szCs w:val="36"/>
                <w:u w:val="single"/>
              </w:rPr>
              <w:t xml:space="preserve">  </w:t>
            </w:r>
            <w:r>
              <w:rPr>
                <w:rFonts w:hint="eastAsia" w:ascii="宋体" w:hAnsi="宋体" w:eastAsia="宋体" w:cs="宋体"/>
                <w:b/>
                <w:bCs/>
                <w:color w:val="auto"/>
                <w:spacing w:val="9"/>
                <w:kern w:val="0"/>
                <w:sz w:val="36"/>
                <w:szCs w:val="36"/>
                <w:u w:val="single"/>
                <w:lang w:val="en-US" w:eastAsia="zh-CN"/>
              </w:rPr>
              <w:t xml:space="preserve">   </w:t>
            </w:r>
            <w:r>
              <w:rPr>
                <w:rFonts w:hint="eastAsia" w:ascii="宋体" w:hAnsi="宋体" w:eastAsia="宋体" w:cs="宋体"/>
                <w:b/>
                <w:bCs/>
                <w:color w:val="auto"/>
                <w:spacing w:val="9"/>
                <w:kern w:val="0"/>
                <w:sz w:val="36"/>
                <w:szCs w:val="36"/>
                <w:u w:val="single"/>
              </w:rPr>
              <w:t>二〇二</w:t>
            </w:r>
            <w:r>
              <w:rPr>
                <w:rFonts w:hint="eastAsia" w:ascii="宋体" w:hAnsi="宋体" w:eastAsia="宋体" w:cs="宋体"/>
                <w:b/>
                <w:bCs/>
                <w:color w:val="auto"/>
                <w:spacing w:val="9"/>
                <w:kern w:val="0"/>
                <w:sz w:val="36"/>
                <w:szCs w:val="36"/>
                <w:u w:val="single"/>
                <w:lang w:val="en-US" w:eastAsia="zh-CN"/>
              </w:rPr>
              <w:t>四</w:t>
            </w:r>
            <w:r>
              <w:rPr>
                <w:rFonts w:hint="eastAsia" w:ascii="宋体" w:hAnsi="宋体" w:eastAsia="宋体" w:cs="宋体"/>
                <w:b/>
                <w:bCs/>
                <w:color w:val="auto"/>
                <w:spacing w:val="9"/>
                <w:kern w:val="0"/>
                <w:sz w:val="36"/>
                <w:szCs w:val="36"/>
                <w:u w:val="single"/>
              </w:rPr>
              <w:t>年</w:t>
            </w:r>
            <w:r>
              <w:rPr>
                <w:rFonts w:hint="eastAsia" w:ascii="宋体" w:hAnsi="宋体" w:eastAsia="宋体" w:cs="宋体"/>
                <w:b/>
                <w:bCs/>
                <w:color w:val="auto"/>
                <w:spacing w:val="9"/>
                <w:kern w:val="0"/>
                <w:sz w:val="36"/>
                <w:szCs w:val="36"/>
                <w:u w:val="single"/>
                <w:lang w:val="en-US" w:eastAsia="zh-CN"/>
              </w:rPr>
              <w:t>六</w:t>
            </w:r>
            <w:r>
              <w:rPr>
                <w:rFonts w:hint="eastAsia" w:ascii="宋体" w:hAnsi="宋体" w:eastAsia="宋体" w:cs="宋体"/>
                <w:b/>
                <w:bCs/>
                <w:color w:val="auto"/>
                <w:spacing w:val="9"/>
                <w:kern w:val="0"/>
                <w:sz w:val="36"/>
                <w:szCs w:val="36"/>
                <w:u w:val="single"/>
              </w:rPr>
              <w:t>月  </w:t>
            </w:r>
            <w:r>
              <w:rPr>
                <w:rFonts w:hint="eastAsia" w:ascii="宋体" w:hAnsi="宋体" w:eastAsia="宋体" w:cs="宋体"/>
                <w:b/>
                <w:bCs/>
                <w:color w:val="auto"/>
                <w:spacing w:val="9"/>
                <w:kern w:val="0"/>
                <w:sz w:val="36"/>
                <w:szCs w:val="36"/>
                <w:u w:val="single"/>
                <w:lang w:val="en-US" w:eastAsia="zh-CN"/>
              </w:rPr>
              <w:t xml:space="preserve">   </w:t>
            </w:r>
            <w:r>
              <w:rPr>
                <w:rFonts w:hint="eastAsia" w:ascii="宋体" w:hAnsi="宋体" w:eastAsia="宋体" w:cs="宋体"/>
                <w:b/>
                <w:bCs/>
                <w:color w:val="auto"/>
                <w:spacing w:val="9"/>
                <w:kern w:val="0"/>
                <w:sz w:val="36"/>
                <w:szCs w:val="36"/>
                <w:u w:val="single"/>
              </w:rPr>
              <w:t xml:space="preserve">   </w:t>
            </w:r>
            <w:r>
              <w:rPr>
                <w:rFonts w:hint="eastAsia"/>
                <w:b/>
                <w:bCs/>
                <w:color w:val="auto"/>
                <w:sz w:val="36"/>
                <w:szCs w:val="36"/>
                <w:u w:val="single"/>
                <w:lang w:val="en-US" w:eastAsia="zh-CN"/>
              </w:rPr>
              <w:t xml:space="preserve"> </w:t>
            </w:r>
          </w:p>
        </w:tc>
      </w:tr>
    </w:tbl>
    <w:p w14:paraId="53A7705E">
      <w:pPr>
        <w:widowControl/>
        <w:shd w:val="clear" w:color="auto"/>
        <w:spacing w:line="281" w:lineRule="atLeast"/>
        <w:jc w:val="center"/>
        <w:rPr>
          <w:rFonts w:ascii="Times New Roman" w:hAnsi="Times New Roman" w:eastAsia="微软雅黑" w:cs="Times New Roman"/>
          <w:color w:val="FF0000"/>
          <w:spacing w:val="9"/>
          <w:kern w:val="0"/>
          <w:szCs w:val="21"/>
        </w:rPr>
      </w:pPr>
    </w:p>
    <w:p w14:paraId="3BBF3132">
      <w:pPr>
        <w:widowControl/>
        <w:shd w:val="clear" w:color="auto"/>
        <w:jc w:val="center"/>
        <w:rPr>
          <w:rFonts w:ascii="Times New Roman" w:hAnsi="Times New Roman" w:eastAsia="微软雅黑" w:cs="Times New Roman"/>
          <w:color w:val="FF0000"/>
          <w:spacing w:val="9"/>
          <w:kern w:val="0"/>
          <w:szCs w:val="21"/>
        </w:rPr>
      </w:pPr>
    </w:p>
    <w:p w14:paraId="17260221">
      <w:pPr>
        <w:widowControl/>
        <w:shd w:val="clear" w:color="auto"/>
        <w:jc w:val="distribute"/>
        <w:rPr>
          <w:rFonts w:hint="eastAsia" w:ascii="Times New Roman" w:hAnsi="Times New Roman" w:eastAsia="微软雅黑" w:cs="Times New Roman"/>
          <w:color w:val="FF0000"/>
          <w:spacing w:val="9"/>
          <w:kern w:val="0"/>
          <w:szCs w:val="21"/>
          <w:lang w:eastAsia="zh-CN"/>
        </w:rPr>
      </w:pPr>
    </w:p>
    <w:p w14:paraId="05525D7C">
      <w:pPr>
        <w:pStyle w:val="10"/>
        <w:rPr>
          <w:rFonts w:hint="eastAsia"/>
          <w:color w:val="FF0000"/>
          <w:lang w:eastAsia="zh-CN"/>
        </w:rPr>
      </w:pPr>
    </w:p>
    <w:p w14:paraId="772687B6">
      <w:pPr>
        <w:widowControl/>
        <w:shd w:val="clear" w:color="auto"/>
        <w:spacing w:line="352" w:lineRule="atLeast"/>
        <w:jc w:val="center"/>
        <w:rPr>
          <w:rFonts w:ascii="Times New Roman" w:hAnsi="Times New Roman" w:eastAsia="微软雅黑" w:cs="Times New Roman"/>
          <w:color w:val="FF0000"/>
          <w:spacing w:val="9"/>
          <w:kern w:val="0"/>
          <w:szCs w:val="21"/>
        </w:rPr>
      </w:pPr>
    </w:p>
    <w:p w14:paraId="3C3D26C8">
      <w:pPr>
        <w:widowControl/>
        <w:shd w:val="clear" w:color="auto"/>
        <w:spacing w:line="352" w:lineRule="atLeast"/>
        <w:jc w:val="center"/>
        <w:rPr>
          <w:rFonts w:hint="eastAsia" w:ascii="黑体" w:hAnsi="黑体" w:eastAsia="黑体" w:cs="Times New Roman"/>
          <w:color w:val="FF0000"/>
          <w:spacing w:val="9"/>
          <w:kern w:val="0"/>
          <w:sz w:val="32"/>
          <w:szCs w:val="32"/>
          <w:lang w:eastAsia="zh-CN"/>
        </w:rPr>
      </w:pPr>
    </w:p>
    <w:p w14:paraId="6999326E">
      <w:pPr>
        <w:pStyle w:val="10"/>
        <w:rPr>
          <w:rFonts w:hint="eastAsia"/>
          <w:color w:val="FF0000"/>
          <w:lang w:eastAsia="zh-CN"/>
        </w:rPr>
      </w:pPr>
    </w:p>
    <w:p w14:paraId="1C1DF593">
      <w:pPr>
        <w:pStyle w:val="10"/>
        <w:rPr>
          <w:rFonts w:hint="eastAsia"/>
          <w:color w:val="FF0000"/>
          <w:lang w:eastAsia="zh-CN"/>
        </w:rPr>
      </w:pPr>
    </w:p>
    <w:p w14:paraId="7C2477A5">
      <w:pPr>
        <w:widowControl/>
        <w:shd w:val="clear" w:color="auto"/>
        <w:spacing w:line="281" w:lineRule="atLeast"/>
        <w:jc w:val="center"/>
        <w:rPr>
          <w:rFonts w:ascii="Times New Roman" w:hAnsi="Times New Roman" w:eastAsia="微软雅黑" w:cs="Times New Roman"/>
          <w:color w:val="auto"/>
          <w:spacing w:val="9"/>
          <w:kern w:val="0"/>
          <w:szCs w:val="21"/>
        </w:rPr>
      </w:pPr>
      <w:r>
        <w:rPr>
          <w:rFonts w:hint="eastAsia" w:ascii="宋体" w:hAnsi="宋体" w:eastAsia="宋体" w:cs="宋体"/>
          <w:b/>
          <w:bCs/>
          <w:color w:val="auto"/>
          <w:spacing w:val="9"/>
          <w:kern w:val="0"/>
          <w:sz w:val="32"/>
          <w:szCs w:val="32"/>
        </w:rPr>
        <w:t>中华人民共和国生态环境部制</w:t>
      </w:r>
    </w:p>
    <w:p w14:paraId="18C00E01">
      <w:pPr>
        <w:widowControl/>
        <w:shd w:val="clear" w:color="auto"/>
        <w:rPr>
          <w:rFonts w:hint="eastAsia" w:ascii="仿宋_GB2312" w:hAnsi="微软雅黑" w:eastAsia="仿宋_GB2312" w:cs="宋体"/>
          <w:color w:val="FF0000"/>
          <w:spacing w:val="9"/>
          <w:kern w:val="0"/>
          <w:sz w:val="36"/>
          <w:szCs w:val="36"/>
          <w:lang w:eastAsia="zh-CN"/>
        </w:rPr>
      </w:pPr>
      <w:r>
        <w:rPr>
          <w:rFonts w:hint="eastAsia" w:ascii="仿宋_GB2312" w:hAnsi="微软雅黑" w:eastAsia="仿宋_GB2312" w:cs="宋体"/>
          <w:color w:val="FF0000"/>
          <w:spacing w:val="9"/>
          <w:kern w:val="0"/>
          <w:sz w:val="36"/>
          <w:szCs w:val="36"/>
        </w:rPr>
        <w:t> </w:t>
      </w:r>
    </w:p>
    <w:p w14:paraId="2BC98DA4">
      <w:pPr>
        <w:pStyle w:val="10"/>
        <w:rPr>
          <w:rFonts w:hint="eastAsia"/>
          <w:color w:val="FF0000"/>
          <w:lang w:eastAsia="zh-CN"/>
        </w:rPr>
      </w:pPr>
    </w:p>
    <w:p w14:paraId="6825984F">
      <w:pPr>
        <w:widowControl/>
        <w:shd w:val="clear" w:color="auto"/>
        <w:spacing w:line="352" w:lineRule="atLeast"/>
        <w:ind w:firstLine="480"/>
        <w:rPr>
          <w:rFonts w:hint="eastAsia" w:ascii="Times New Roman" w:hAnsi="Times New Roman" w:eastAsia="微软雅黑" w:cs="Times New Roman"/>
          <w:color w:val="FF0000"/>
          <w:spacing w:val="9"/>
          <w:kern w:val="0"/>
          <w:szCs w:val="21"/>
        </w:rPr>
      </w:pPr>
    </w:p>
    <w:p w14:paraId="5E869331">
      <w:pPr>
        <w:pStyle w:val="7"/>
        <w:rPr>
          <w:rFonts w:hint="eastAsia"/>
          <w:color w:val="FF0000"/>
        </w:rPr>
      </w:pPr>
    </w:p>
    <w:p w14:paraId="518756AB">
      <w:pPr>
        <w:widowControl/>
        <w:shd w:val="clear" w:color="auto"/>
        <w:spacing w:line="352" w:lineRule="atLeast"/>
        <w:ind w:firstLine="480"/>
        <w:rPr>
          <w:rFonts w:hint="eastAsia" w:ascii="Times New Roman" w:hAnsi="Times New Roman" w:eastAsia="微软雅黑" w:cs="Times New Roman"/>
          <w:color w:val="FF0000"/>
          <w:spacing w:val="9"/>
          <w:kern w:val="0"/>
          <w:szCs w:val="21"/>
        </w:rPr>
      </w:pPr>
    </w:p>
    <w:p w14:paraId="117F944B">
      <w:pPr>
        <w:widowControl/>
        <w:shd w:val="clear" w:color="auto"/>
        <w:spacing w:line="352" w:lineRule="atLeast"/>
        <w:rPr>
          <w:rFonts w:ascii="Times New Roman" w:hAnsi="Times New Roman" w:eastAsia="微软雅黑" w:cs="Times New Roman"/>
          <w:color w:val="FF0000"/>
          <w:spacing w:val="9"/>
          <w:kern w:val="0"/>
          <w:szCs w:val="21"/>
        </w:rPr>
        <w:sectPr>
          <w:headerReference r:id="rId3" w:type="even"/>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D8575E1">
      <w:pPr>
        <w:spacing w:line="500" w:lineRule="exact"/>
        <w:jc w:val="center"/>
        <w:rPr>
          <w:b/>
          <w:color w:val="auto"/>
          <w:sz w:val="28"/>
          <w:szCs w:val="28"/>
        </w:rPr>
      </w:pPr>
      <w:r>
        <w:rPr>
          <w:b/>
          <w:color w:val="auto"/>
          <w:sz w:val="28"/>
          <w:szCs w:val="28"/>
        </w:rPr>
        <w:t>目  录</w:t>
      </w:r>
    </w:p>
    <w:p w14:paraId="668057B8">
      <w:pPr>
        <w:pStyle w:val="14"/>
        <w:numPr>
          <w:ilvl w:val="0"/>
          <w:numId w:val="0"/>
        </w:numPr>
        <w:tabs>
          <w:tab w:val="right" w:leader="dot" w:pos="8306"/>
          <w:tab w:val="clear" w:pos="8303"/>
        </w:tabs>
        <w:ind w:leftChars="0"/>
        <w:rPr>
          <w:color w:val="FF0000"/>
        </w:rPr>
      </w:pPr>
    </w:p>
    <w:p w14:paraId="66707E1E">
      <w:pPr>
        <w:pStyle w:val="14"/>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"1-3" \h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_Toc20099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一、建设项目基本情况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_Toc20099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E38FA82">
      <w:pPr>
        <w:pStyle w:val="14"/>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_Toc422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二、建设项目工程分析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_Toc422 \h </w:instrText>
      </w:r>
      <w:r>
        <w:rPr>
          <w:rFonts w:hint="default" w:ascii="Times New Roman" w:hAnsi="Times New Roman" w:cs="Times New Roman"/>
          <w:color w:val="auto"/>
        </w:rPr>
        <w:fldChar w:fldCharType="separate"/>
      </w:r>
      <w:r>
        <w:rPr>
          <w:rFonts w:hint="default" w:ascii="Times New Roman" w:hAnsi="Times New Roman" w:cs="Times New Roman"/>
          <w:color w:val="auto"/>
        </w:rPr>
        <w:t>29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CCEF49B">
      <w:pPr>
        <w:pStyle w:val="14"/>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_Toc12398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三、区域环境质量现状、环境保护目标及评价标准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_Toc12398 \h </w:instrText>
      </w:r>
      <w:r>
        <w:rPr>
          <w:rFonts w:hint="default" w:ascii="Times New Roman" w:hAnsi="Times New Roman" w:cs="Times New Roman"/>
          <w:color w:val="auto"/>
        </w:rPr>
        <w:fldChar w:fldCharType="separate"/>
      </w:r>
      <w:r>
        <w:rPr>
          <w:rFonts w:hint="default" w:ascii="Times New Roman" w:hAnsi="Times New Roman" w:cs="Times New Roman"/>
          <w:color w:val="auto"/>
        </w:rPr>
        <w:t>41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FD7870B">
      <w:pPr>
        <w:pStyle w:val="14"/>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_Toc3811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四、主要环境影响和保护措施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_Toc3811 \h </w:instrText>
      </w:r>
      <w:r>
        <w:rPr>
          <w:rFonts w:hint="default" w:ascii="Times New Roman" w:hAnsi="Times New Roman" w:cs="Times New Roman"/>
          <w:color w:val="auto"/>
        </w:rPr>
        <w:fldChar w:fldCharType="separate"/>
      </w:r>
      <w:r>
        <w:rPr>
          <w:rFonts w:hint="default" w:ascii="Times New Roman" w:hAnsi="Times New Roman" w:cs="Times New Roman"/>
          <w:color w:val="auto"/>
        </w:rPr>
        <w:t>49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B3F74C6">
      <w:pPr>
        <w:pStyle w:val="14"/>
        <w:numPr>
          <w:ilvl w:val="0"/>
          <w:numId w:val="0"/>
        </w:numPr>
        <w:tabs>
          <w:tab w:val="right" w:leader="dot" w:pos="8306"/>
          <w:tab w:val="clear" w:pos="8303"/>
        </w:tabs>
        <w:ind w:leftChars="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_Toc13984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五、环境保护措施监督检查清单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_Toc13984 \h </w:instrText>
      </w:r>
      <w:r>
        <w:rPr>
          <w:rFonts w:hint="default" w:ascii="Times New Roman" w:hAnsi="Times New Roman" w:cs="Times New Roman"/>
          <w:color w:val="auto"/>
        </w:rPr>
        <w:fldChar w:fldCharType="separate"/>
      </w:r>
      <w:r>
        <w:rPr>
          <w:rFonts w:hint="default" w:ascii="Times New Roman" w:hAnsi="Times New Roman" w:cs="Times New Roman"/>
          <w:color w:val="auto"/>
        </w:rPr>
        <w:t>75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38CA048">
      <w:pPr>
        <w:pStyle w:val="14"/>
        <w:numPr>
          <w:ilvl w:val="0"/>
          <w:numId w:val="0"/>
        </w:numPr>
        <w:tabs>
          <w:tab w:val="right" w:leader="dot" w:pos="8306"/>
          <w:tab w:val="clear" w:pos="8303"/>
        </w:tabs>
        <w:ind w:leftChars="0"/>
        <w:rPr>
          <w:rFonts w:hint="eastAsia" w:ascii="Times New Roman" w:hAnsi="Times New Roman" w:cs="Times New Roman" w:eastAsiaTheme="minorEastAsia"/>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_Toc7318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0"/>
        </w:rPr>
        <w:t>六、结论</w:t>
      </w:r>
      <w:r>
        <w:rPr>
          <w:rFonts w:hint="default" w:ascii="Times New Roman" w:hAnsi="Times New Roman" w:cs="Times New Roman"/>
          <w:color w:val="auto"/>
        </w:rPr>
        <w:tab/>
      </w:r>
      <w:r>
        <w:rPr>
          <w:rFonts w:hint="eastAsia" w:ascii="Times New Roman" w:hAnsi="Times New Roman" w:cs="Times New Roman"/>
          <w:color w:val="auto"/>
          <w:lang w:val="en-US" w:eastAsia="zh-CN"/>
        </w:rPr>
        <w:t>7</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8</w:t>
      </w:r>
    </w:p>
    <w:p w14:paraId="5BC67D8A">
      <w:pPr>
        <w:rPr>
          <w:color w:val="FF0000"/>
        </w:rPr>
      </w:pPr>
      <w:r>
        <w:rPr>
          <w:rFonts w:hint="default" w:ascii="Times New Roman" w:hAnsi="Times New Roman" w:cs="Times New Roman"/>
          <w:color w:val="auto"/>
        </w:rPr>
        <w:fldChar w:fldCharType="end"/>
      </w:r>
    </w:p>
    <w:p w14:paraId="7752FD6A">
      <w:pPr>
        <w:pStyle w:val="14"/>
        <w:numPr>
          <w:ilvl w:val="0"/>
          <w:numId w:val="0"/>
        </w:numPr>
        <w:spacing w:line="500" w:lineRule="exact"/>
        <w:ind w:leftChars="0"/>
        <w:rPr>
          <w:rFonts w:hint="default" w:ascii="Times New Roman" w:hAnsi="Times New Roman" w:cs="Times New Roman"/>
          <w:b/>
          <w:bCs/>
          <w:color w:val="auto"/>
          <w:szCs w:val="21"/>
        </w:rPr>
      </w:pPr>
      <w:r>
        <w:rPr>
          <w:rFonts w:hint="default" w:ascii="Times New Roman" w:hAnsi="Times New Roman" w:cs="Times New Roman"/>
          <w:b/>
          <w:bCs/>
          <w:color w:val="auto"/>
          <w:szCs w:val="21"/>
        </w:rPr>
        <w:t>附图</w:t>
      </w:r>
    </w:p>
    <w:p w14:paraId="20577BCC">
      <w:pPr>
        <w:spacing w:line="500" w:lineRule="exact"/>
        <w:rPr>
          <w:rFonts w:hint="default" w:ascii="Times New Roman" w:hAnsi="Times New Roman" w:cs="Times New Roman"/>
          <w:color w:val="auto"/>
          <w:szCs w:val="21"/>
        </w:rPr>
      </w:pPr>
      <w:r>
        <w:rPr>
          <w:rFonts w:hint="default" w:ascii="Times New Roman" w:hAnsi="Times New Roman" w:cs="Times New Roman"/>
          <w:color w:val="auto"/>
          <w:szCs w:val="21"/>
        </w:rPr>
        <w:t>附图1 建设项目地理位置图</w:t>
      </w:r>
    </w:p>
    <w:p w14:paraId="4ED5651A">
      <w:pPr>
        <w:spacing w:line="500" w:lineRule="exact"/>
        <w:rPr>
          <w:rFonts w:hint="default" w:ascii="Times New Roman" w:hAnsi="Times New Roman" w:cs="Times New Roman"/>
          <w:color w:val="auto"/>
          <w:szCs w:val="21"/>
        </w:rPr>
      </w:pPr>
      <w:r>
        <w:rPr>
          <w:rFonts w:hint="default" w:ascii="Times New Roman" w:hAnsi="Times New Roman" w:cs="Times New Roman"/>
          <w:color w:val="auto"/>
          <w:szCs w:val="21"/>
        </w:rPr>
        <w:t>附图2 建设项目周围环境状况图</w:t>
      </w:r>
    </w:p>
    <w:p w14:paraId="2F3819E0">
      <w:pPr>
        <w:spacing w:line="500" w:lineRule="exact"/>
        <w:rPr>
          <w:rFonts w:hint="default" w:ascii="Times New Roman" w:hAnsi="Times New Roman" w:cs="Times New Roman"/>
          <w:color w:val="auto"/>
          <w:szCs w:val="21"/>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 xml:space="preserve"> 建设项目厂区平面布置示意图</w:t>
      </w:r>
    </w:p>
    <w:p w14:paraId="50B349FE">
      <w:pPr>
        <w:spacing w:line="500" w:lineRule="exact"/>
        <w:rPr>
          <w:rFonts w:hint="default" w:ascii="Times New Roman" w:hAnsi="Times New Roman" w:cs="Times New Roman"/>
          <w:color w:val="auto"/>
          <w:szCs w:val="21"/>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4</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建设项目</w:t>
      </w:r>
      <w:r>
        <w:rPr>
          <w:rFonts w:hint="default" w:ascii="Times New Roman" w:hAnsi="Times New Roman" w:cs="Times New Roman"/>
          <w:color w:val="auto"/>
          <w:szCs w:val="21"/>
        </w:rPr>
        <w:t>环境</w:t>
      </w:r>
      <w:r>
        <w:rPr>
          <w:rFonts w:hint="eastAsia" w:ascii="Times New Roman" w:hAnsi="Times New Roman" w:cs="Times New Roman"/>
          <w:color w:val="auto"/>
          <w:szCs w:val="21"/>
          <w:lang w:val="en-US" w:eastAsia="zh-CN"/>
        </w:rPr>
        <w:t>敏感点</w:t>
      </w:r>
      <w:r>
        <w:rPr>
          <w:rFonts w:hint="default" w:ascii="Times New Roman" w:hAnsi="Times New Roman" w:cs="Times New Roman"/>
          <w:color w:val="auto"/>
          <w:szCs w:val="21"/>
        </w:rPr>
        <w:t>分布图</w:t>
      </w:r>
    </w:p>
    <w:p w14:paraId="143657E7">
      <w:pPr>
        <w:spacing w:line="500" w:lineRule="exact"/>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rPr>
        <w:t>建设项目生态环境分区图</w:t>
      </w:r>
    </w:p>
    <w:p w14:paraId="29B3952D">
      <w:pPr>
        <w:spacing w:line="500" w:lineRule="exact"/>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6</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rPr>
        <w:t>建设项目生态</w:t>
      </w:r>
      <w:r>
        <w:rPr>
          <w:rFonts w:hint="eastAsia" w:ascii="Times New Roman" w:hAnsi="Times New Roman" w:cs="Times New Roman"/>
          <w:color w:val="auto"/>
          <w:szCs w:val="21"/>
          <w:lang w:val="en-US" w:eastAsia="zh-CN"/>
        </w:rPr>
        <w:t>红线</w:t>
      </w:r>
      <w:r>
        <w:rPr>
          <w:rFonts w:hint="eastAsia" w:ascii="Times New Roman" w:hAnsi="Times New Roman" w:cs="Times New Roman"/>
          <w:color w:val="auto"/>
          <w:szCs w:val="21"/>
        </w:rPr>
        <w:t>图</w:t>
      </w:r>
    </w:p>
    <w:p w14:paraId="36685EA9">
      <w:pPr>
        <w:spacing w:line="500" w:lineRule="exact"/>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rPr>
        <w:t>附图</w:t>
      </w: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rPr>
        <w:t>建设项目</w:t>
      </w:r>
      <w:r>
        <w:rPr>
          <w:rFonts w:hint="eastAsia" w:ascii="Times New Roman" w:hAnsi="Times New Roman" w:cs="Times New Roman"/>
          <w:color w:val="auto"/>
          <w:szCs w:val="21"/>
          <w:lang w:val="en-US" w:eastAsia="zh-CN"/>
        </w:rPr>
        <w:t>三线三区</w:t>
      </w:r>
      <w:r>
        <w:rPr>
          <w:rFonts w:hint="eastAsia" w:ascii="Times New Roman" w:hAnsi="Times New Roman" w:cs="Times New Roman"/>
          <w:color w:val="auto"/>
          <w:szCs w:val="21"/>
        </w:rPr>
        <w:t>图</w:t>
      </w:r>
    </w:p>
    <w:p w14:paraId="2A8BAAB5">
      <w:pPr>
        <w:spacing w:line="500" w:lineRule="exact"/>
        <w:rPr>
          <w:rFonts w:hint="default" w:ascii="Times New Roman" w:hAnsi="Times New Roman" w:cs="Times New Roman"/>
          <w:b/>
          <w:bCs/>
          <w:color w:val="FF0000"/>
          <w:szCs w:val="21"/>
        </w:rPr>
      </w:pPr>
    </w:p>
    <w:p w14:paraId="26FA121E">
      <w:pPr>
        <w:spacing w:line="500" w:lineRule="exact"/>
        <w:rPr>
          <w:rFonts w:hint="default" w:ascii="Times New Roman" w:hAnsi="Times New Roman" w:cs="Times New Roman"/>
          <w:b/>
          <w:bCs/>
          <w:color w:val="auto"/>
          <w:szCs w:val="21"/>
        </w:rPr>
      </w:pPr>
      <w:r>
        <w:rPr>
          <w:rFonts w:hint="default" w:ascii="Times New Roman" w:hAnsi="Times New Roman" w:cs="Times New Roman"/>
          <w:b/>
          <w:bCs/>
          <w:color w:val="auto"/>
          <w:szCs w:val="21"/>
        </w:rPr>
        <w:t>附件</w:t>
      </w:r>
    </w:p>
    <w:p w14:paraId="45DD4445">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附件1 备案通知书</w:t>
      </w:r>
    </w:p>
    <w:p w14:paraId="0DB3D98A">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营业执照</w:t>
      </w:r>
    </w:p>
    <w:p w14:paraId="54C2EC5F">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项目审批函、承诺书</w:t>
      </w:r>
    </w:p>
    <w:p w14:paraId="6CDB5E9F">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附件</w:t>
      </w:r>
      <w:r>
        <w:rPr>
          <w:rFonts w:hint="eastAsia" w:ascii="Times New Roman" w:hAnsi="Times New Roman" w:cs="Times New Roman"/>
          <w:color w:val="auto"/>
          <w:szCs w:val="21"/>
          <w:lang w:val="en-US" w:eastAsia="zh-CN"/>
        </w:rPr>
        <w:t>4</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物料MSDS</w:t>
      </w:r>
    </w:p>
    <w:p w14:paraId="3D174ECF">
      <w:pPr>
        <w:pStyle w:val="13"/>
        <w:rPr>
          <w:rFonts w:hint="eastAsia" w:ascii="Times New Roman" w:hAnsi="Times New Roman" w:eastAsia="黑体" w:cs="Times New Roman"/>
          <w:color w:val="FF0000"/>
          <w:spacing w:val="9"/>
          <w:kern w:val="0"/>
          <w:sz w:val="30"/>
          <w:szCs w:val="30"/>
          <w:lang w:val="en-US" w:eastAsia="zh-CN"/>
        </w:rPr>
      </w:pPr>
    </w:p>
    <w:p w14:paraId="01764B51">
      <w:pPr>
        <w:pStyle w:val="14"/>
        <w:numPr>
          <w:ilvl w:val="0"/>
          <w:numId w:val="0"/>
        </w:numPr>
        <w:ind w:leftChars="0"/>
        <w:rPr>
          <w:rFonts w:hint="default"/>
          <w:color w:val="FF0000"/>
        </w:rPr>
      </w:pPr>
    </w:p>
    <w:p w14:paraId="2FE4CFA4">
      <w:pPr>
        <w:spacing w:line="500" w:lineRule="exact"/>
        <w:rPr>
          <w:b/>
          <w:bCs/>
          <w:color w:val="auto"/>
          <w:szCs w:val="21"/>
        </w:rPr>
      </w:pPr>
      <w:r>
        <w:rPr>
          <w:b/>
          <w:bCs/>
          <w:color w:val="auto"/>
          <w:szCs w:val="21"/>
        </w:rPr>
        <w:t>附表</w:t>
      </w:r>
    </w:p>
    <w:p w14:paraId="2C663B49">
      <w:pPr>
        <w:pStyle w:val="14"/>
        <w:numPr>
          <w:ilvl w:val="0"/>
          <w:numId w:val="0"/>
        </w:numPr>
        <w:ind w:leftChars="0"/>
        <w:rPr>
          <w:rFonts w:hint="default" w:ascii="Times New Roman" w:hAnsi="Times New Roman" w:cs="Times New Roman"/>
          <w:color w:val="auto"/>
          <w:szCs w:val="21"/>
        </w:rPr>
      </w:pPr>
      <w:r>
        <w:rPr>
          <w:rFonts w:hint="default" w:ascii="Times New Roman" w:hAnsi="Times New Roman" w:cs="Times New Roman"/>
          <w:color w:val="auto"/>
          <w:szCs w:val="21"/>
          <w:lang w:eastAsia="zh-CN"/>
        </w:rPr>
        <w:t>附表</w:t>
      </w:r>
      <w:r>
        <w:rPr>
          <w:rFonts w:hint="default" w:ascii="Times New Roman" w:hAnsi="Times New Roman" w:cs="Times New Roman"/>
          <w:color w:val="auto"/>
          <w:szCs w:val="21"/>
          <w:lang w:val="en-US" w:eastAsia="zh-CN"/>
        </w:rPr>
        <w:t xml:space="preserve">1 </w:t>
      </w:r>
      <w:r>
        <w:rPr>
          <w:rFonts w:hint="default" w:ascii="Times New Roman" w:hAnsi="Times New Roman" w:cs="Times New Roman"/>
          <w:color w:val="auto"/>
          <w:szCs w:val="21"/>
        </w:rPr>
        <w:t>建设项目污染物排放量汇总表</w:t>
      </w:r>
    </w:p>
    <w:p w14:paraId="240321B9">
      <w:pPr>
        <w:rPr>
          <w:color w:val="FF0000"/>
          <w:szCs w:val="21"/>
        </w:rPr>
      </w:pPr>
    </w:p>
    <w:p w14:paraId="0A23B6CE">
      <w:pPr>
        <w:pStyle w:val="35"/>
        <w:rPr>
          <w:color w:val="FF0000"/>
          <w:szCs w:val="21"/>
        </w:rPr>
      </w:pPr>
    </w:p>
    <w:p w14:paraId="13A33E0F">
      <w:pPr>
        <w:rPr>
          <w:color w:val="FF0000"/>
          <w:szCs w:val="21"/>
        </w:rPr>
      </w:pPr>
    </w:p>
    <w:p w14:paraId="17798ED8">
      <w:pPr>
        <w:pStyle w:val="35"/>
        <w:rPr>
          <w:color w:val="FF0000"/>
          <w:szCs w:val="21"/>
        </w:rPr>
      </w:pPr>
    </w:p>
    <w:p w14:paraId="24639207">
      <w:pPr>
        <w:rPr>
          <w:color w:val="FF0000"/>
          <w:szCs w:val="21"/>
        </w:rPr>
      </w:pPr>
    </w:p>
    <w:p w14:paraId="23EC2B14">
      <w:pPr>
        <w:pStyle w:val="35"/>
        <w:rPr>
          <w:color w:val="FF0000"/>
          <w:szCs w:val="21"/>
        </w:rPr>
      </w:pPr>
    </w:p>
    <w:p w14:paraId="08EA3A55">
      <w:pPr>
        <w:rPr>
          <w:color w:val="FF0000"/>
        </w:rPr>
      </w:pPr>
    </w:p>
    <w:p w14:paraId="3736F1DC">
      <w:pPr>
        <w:pStyle w:val="35"/>
        <w:rPr>
          <w:color w:val="FF0000"/>
          <w:szCs w:val="21"/>
        </w:rPr>
      </w:pPr>
    </w:p>
    <w:p w14:paraId="5F0F6D15">
      <w:pPr>
        <w:rPr>
          <w:color w:val="FF0000"/>
          <w:szCs w:val="21"/>
        </w:rPr>
      </w:pPr>
    </w:p>
    <w:p w14:paraId="612888E0">
      <w:pPr>
        <w:pStyle w:val="35"/>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AA3BD90">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rPr>
      </w:pPr>
      <w:bookmarkStart w:id="0" w:name="_Toc20099"/>
      <w:r>
        <w:rPr>
          <w:rFonts w:hint="eastAsia" w:ascii="黑体" w:hAnsi="黑体" w:eastAsia="黑体" w:cs="黑体"/>
          <w:b w:val="0"/>
          <w:bCs/>
          <w:color w:val="auto"/>
          <w:sz w:val="30"/>
          <w:szCs w:val="30"/>
        </w:rPr>
        <w:t>一、建设项目基本情况</w:t>
      </w:r>
      <w:bookmarkEnd w:id="0"/>
    </w:p>
    <w:tbl>
      <w:tblPr>
        <w:tblStyle w:val="23"/>
        <w:tblW w:w="9072" w:type="dxa"/>
        <w:jc w:val="center"/>
        <w:tblLayout w:type="fixed"/>
        <w:tblCellMar>
          <w:top w:w="0" w:type="dxa"/>
          <w:left w:w="0" w:type="dxa"/>
          <w:bottom w:w="0" w:type="dxa"/>
          <w:right w:w="0" w:type="dxa"/>
        </w:tblCellMar>
      </w:tblPr>
      <w:tblGrid>
        <w:gridCol w:w="1721"/>
        <w:gridCol w:w="2400"/>
        <w:gridCol w:w="135"/>
        <w:gridCol w:w="1565"/>
        <w:gridCol w:w="3251"/>
      </w:tblGrid>
      <w:tr w14:paraId="3E1D575B">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03EAF39E">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建设项目名称</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61EBDEDC">
            <w:pPr>
              <w:widowControl/>
              <w:wordWrap w:val="0"/>
              <w:jc w:val="center"/>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eastAsia="zh-CN"/>
              </w:rPr>
              <w:t>年产400万片电磁阀智能芯片及2万台高端电磁阀项目</w:t>
            </w:r>
          </w:p>
        </w:tc>
      </w:tr>
      <w:tr w14:paraId="279B980E">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0CEB9035">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项目代码</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49687372">
            <w:pPr>
              <w:widowControl/>
              <w:wordWrap w:val="0"/>
              <w:jc w:val="center"/>
              <w:rPr>
                <w:rFonts w:hint="default" w:ascii="Times New Roman" w:hAnsi="Times New Roman" w:eastAsia="宋体" w:cs="Times New Roman"/>
                <w:color w:val="FF0000"/>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lang w:val="en-US" w:eastAsia="zh-CN"/>
              </w:rPr>
              <w:t>110-330521-07-01-301573</w:t>
            </w:r>
          </w:p>
        </w:tc>
      </w:tr>
      <w:tr w14:paraId="01AD4B29">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5496A197">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建设单位联系人</w:t>
            </w:r>
          </w:p>
        </w:tc>
        <w:tc>
          <w:tcPr>
            <w:tcW w:w="2535" w:type="dxa"/>
            <w:gridSpan w:val="2"/>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05347EE3">
            <w:pPr>
              <w:widowControl/>
              <w:wordWrap w:val="0"/>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陈昭</w:t>
            </w:r>
          </w:p>
        </w:tc>
        <w:tc>
          <w:tcPr>
            <w:tcW w:w="1565"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E70F279">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联系方式</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6DFFFBF2">
            <w:pPr>
              <w:widowControl/>
              <w:wordWrap w:val="0"/>
              <w:jc w:val="center"/>
              <w:rPr>
                <w:rFonts w:hint="default" w:ascii="宋体" w:hAnsi="宋体" w:eastAsia="宋体" w:cs="宋体"/>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15957244694</w:t>
            </w:r>
          </w:p>
        </w:tc>
      </w:tr>
      <w:tr w14:paraId="3028A8C9">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4F0E083C">
            <w:pPr>
              <w:widowControl/>
              <w:wordWrap w:val="0"/>
              <w:jc w:val="center"/>
              <w:rPr>
                <w:rFonts w:ascii="Times New Roman" w:hAnsi="Times New Roman" w:eastAsia="宋体" w:cs="Times New Roman"/>
                <w:color w:val="FF0000"/>
                <w:kern w:val="0"/>
                <w:sz w:val="24"/>
                <w:szCs w:val="24"/>
                <w:highlight w:val="none"/>
              </w:rPr>
            </w:pPr>
            <w:r>
              <w:rPr>
                <w:rFonts w:hint="eastAsia" w:ascii="宋体" w:hAnsi="宋体" w:eastAsia="宋体" w:cs="Times New Roman"/>
                <w:color w:val="auto"/>
                <w:kern w:val="0"/>
                <w:sz w:val="24"/>
                <w:szCs w:val="24"/>
                <w:highlight w:val="none"/>
              </w:rPr>
              <w:t>建设地点</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7614DB9">
            <w:pPr>
              <w:widowControl/>
              <w:wordWrap w:val="0"/>
              <w:jc w:val="center"/>
              <w:rPr>
                <w:rFonts w:hint="default" w:ascii="Times New Roman" w:hAnsi="Times New Roman" w:eastAsia="宋体" w:cs="Times New Roman"/>
                <w:color w:val="FF0000"/>
                <w:kern w:val="0"/>
                <w:sz w:val="24"/>
                <w:szCs w:val="24"/>
                <w:highlight w:val="none"/>
                <w:lang w:val="en-US"/>
              </w:rPr>
            </w:pPr>
            <w:r>
              <w:rPr>
                <w:rFonts w:hint="eastAsia" w:ascii="Times New Roman" w:hAnsi="Times New Roman" w:eastAsia="宋体" w:cs="Times New Roman"/>
                <w:color w:val="auto"/>
                <w:kern w:val="0"/>
                <w:sz w:val="24"/>
                <w:szCs w:val="24"/>
                <w:highlight w:val="none"/>
                <w:lang w:val="en-US" w:eastAsia="zh-CN"/>
              </w:rPr>
              <w:t>浙江省湖州市德清县阜溪街道新丰北路599号</w:t>
            </w:r>
          </w:p>
        </w:tc>
      </w:tr>
      <w:tr w14:paraId="1184EBA3">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38D33C5A">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地理坐标</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5636F602">
            <w:pPr>
              <w:widowControl/>
              <w:wordWrap w:val="0"/>
              <w:jc w:val="center"/>
              <w:rPr>
                <w:rFonts w:ascii="Times New Roman" w:hAnsi="Times New Roman" w:eastAsia="宋体" w:cs="Times New Roman"/>
                <w:color w:val="FF0000"/>
                <w:kern w:val="0"/>
                <w:sz w:val="24"/>
                <w:szCs w:val="24"/>
                <w:highlight w:val="none"/>
              </w:rPr>
            </w:pPr>
            <w:r>
              <w:rPr>
                <w:rFonts w:hint="default" w:ascii="Times New Roman" w:hAnsi="Times New Roman" w:cs="Times New Roman"/>
                <w:color w:val="auto"/>
                <w:kern w:val="0"/>
                <w:sz w:val="24"/>
              </w:rPr>
              <w:t>（E</w:t>
            </w:r>
            <w:r>
              <w:rPr>
                <w:rFonts w:hint="default" w:ascii="Times New Roman" w:hAnsi="Times New Roman" w:cs="Times New Roman"/>
                <w:color w:val="auto"/>
                <w:kern w:val="0"/>
                <w:sz w:val="24"/>
                <w:u w:val="single"/>
              </w:rPr>
              <w:t>1</w:t>
            </w:r>
            <w:r>
              <w:rPr>
                <w:rFonts w:hint="eastAsia" w:ascii="Times New Roman" w:hAnsi="Times New Roman" w:cs="Times New Roman"/>
                <w:color w:val="auto"/>
                <w:kern w:val="0"/>
                <w:sz w:val="24"/>
                <w:u w:val="single"/>
                <w:lang w:val="en-US" w:eastAsia="zh-CN"/>
              </w:rPr>
              <w:t>19</w:t>
            </w:r>
            <w:r>
              <w:rPr>
                <w:rFonts w:hint="default" w:ascii="Times New Roman" w:hAnsi="Times New Roman" w:cs="Times New Roman"/>
                <w:color w:val="auto"/>
                <w:kern w:val="0"/>
                <w:sz w:val="24"/>
              </w:rPr>
              <w:t>度</w:t>
            </w:r>
            <w:r>
              <w:rPr>
                <w:rFonts w:hint="eastAsia" w:ascii="Times New Roman" w:hAnsi="Times New Roman" w:cs="Times New Roman"/>
                <w:color w:val="auto"/>
                <w:kern w:val="0"/>
                <w:sz w:val="24"/>
                <w:u w:val="single"/>
                <w:lang w:val="en-US" w:eastAsia="zh-CN"/>
              </w:rPr>
              <w:t>59</w:t>
            </w:r>
            <w:r>
              <w:rPr>
                <w:rFonts w:hint="default" w:ascii="Times New Roman" w:hAnsi="Times New Roman" w:cs="Times New Roman"/>
                <w:color w:val="auto"/>
                <w:kern w:val="0"/>
                <w:sz w:val="24"/>
              </w:rPr>
              <w:t>分</w:t>
            </w:r>
            <w:r>
              <w:rPr>
                <w:rFonts w:hint="eastAsia" w:ascii="Times New Roman" w:hAnsi="Times New Roman" w:cs="Times New Roman"/>
                <w:color w:val="auto"/>
                <w:kern w:val="0"/>
                <w:sz w:val="24"/>
                <w:u w:val="single"/>
                <w:lang w:val="en-US" w:eastAsia="zh-CN"/>
              </w:rPr>
              <w:t>57.193</w:t>
            </w:r>
            <w:r>
              <w:rPr>
                <w:rFonts w:hint="default" w:ascii="Times New Roman" w:hAnsi="Times New Roman" w:cs="Times New Roman"/>
                <w:color w:val="auto"/>
                <w:kern w:val="0"/>
                <w:sz w:val="24"/>
              </w:rPr>
              <w:t>秒，N</w:t>
            </w:r>
            <w:r>
              <w:rPr>
                <w:rFonts w:hint="default" w:ascii="Times New Roman" w:hAnsi="Times New Roman" w:cs="Times New Roman"/>
                <w:color w:val="auto"/>
                <w:kern w:val="0"/>
                <w:sz w:val="24"/>
                <w:u w:val="single"/>
              </w:rPr>
              <w:t>30</w:t>
            </w:r>
            <w:r>
              <w:rPr>
                <w:rFonts w:hint="default" w:ascii="Times New Roman" w:hAnsi="Times New Roman" w:cs="Times New Roman"/>
                <w:color w:val="auto"/>
                <w:kern w:val="0"/>
                <w:sz w:val="24"/>
              </w:rPr>
              <w:t>度</w:t>
            </w:r>
            <w:r>
              <w:rPr>
                <w:rFonts w:hint="eastAsia" w:ascii="Times New Roman" w:hAnsi="Times New Roman" w:cs="Times New Roman"/>
                <w:color w:val="auto"/>
                <w:kern w:val="0"/>
                <w:sz w:val="24"/>
                <w:u w:val="single"/>
                <w:lang w:val="en-US" w:eastAsia="zh-CN"/>
              </w:rPr>
              <w:t>33</w:t>
            </w:r>
            <w:r>
              <w:rPr>
                <w:rFonts w:hint="default" w:ascii="Times New Roman" w:hAnsi="Times New Roman" w:cs="Times New Roman"/>
                <w:color w:val="auto"/>
                <w:kern w:val="0"/>
                <w:sz w:val="24"/>
              </w:rPr>
              <w:t>分</w:t>
            </w:r>
            <w:r>
              <w:rPr>
                <w:rFonts w:hint="eastAsia" w:ascii="Times New Roman" w:hAnsi="Times New Roman" w:cs="Times New Roman"/>
                <w:color w:val="auto"/>
                <w:kern w:val="0"/>
                <w:sz w:val="24"/>
                <w:u w:val="single"/>
                <w:lang w:val="en-US" w:eastAsia="zh-CN"/>
              </w:rPr>
              <w:t>57.475</w:t>
            </w:r>
            <w:r>
              <w:rPr>
                <w:rFonts w:hint="default" w:ascii="Times New Roman" w:hAnsi="Times New Roman" w:cs="Times New Roman"/>
                <w:color w:val="auto"/>
                <w:kern w:val="0"/>
                <w:sz w:val="24"/>
              </w:rPr>
              <w:t>秒）</w:t>
            </w:r>
          </w:p>
        </w:tc>
      </w:tr>
      <w:tr w14:paraId="323882D1">
        <w:tblPrEx>
          <w:tblCellMar>
            <w:top w:w="0" w:type="dxa"/>
            <w:left w:w="0" w:type="dxa"/>
            <w:bottom w:w="0" w:type="dxa"/>
            <w:right w:w="0" w:type="dxa"/>
          </w:tblCellMar>
        </w:tblPrEx>
        <w:trPr>
          <w:trHeight w:val="561"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61185226">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国民经济</w:t>
            </w:r>
          </w:p>
          <w:p w14:paraId="5D6A3D3C">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行业类别</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78020C60">
            <w:pPr>
              <w:widowControl/>
              <w:wordWrap w:val="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C</w:t>
            </w:r>
            <w:r>
              <w:rPr>
                <w:rFonts w:hint="eastAsia" w:ascii="Times New Roman" w:hAnsi="Times New Roman" w:eastAsia="宋体" w:cs="Times New Roman"/>
                <w:color w:val="auto"/>
                <w:kern w:val="0"/>
                <w:sz w:val="24"/>
                <w:szCs w:val="24"/>
                <w:highlight w:val="none"/>
                <w:lang w:val="en-US" w:eastAsia="zh-CN"/>
              </w:rPr>
              <w:t>4011工业自动控制系统装置制造</w:t>
            </w:r>
          </w:p>
        </w:tc>
        <w:tc>
          <w:tcPr>
            <w:tcW w:w="1700" w:type="dxa"/>
            <w:gridSpan w:val="2"/>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023B69EF">
            <w:pPr>
              <w:widowControl/>
              <w:wordWrap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建设项目</w:t>
            </w:r>
          </w:p>
          <w:p w14:paraId="3AE33CC2">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行业类别</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017550FB">
            <w:pPr>
              <w:widowControl/>
              <w:wordWrap w:val="0"/>
              <w:jc w:val="left"/>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三十七、仪器仪表制造业40通用仪器仪表制造401</w:t>
            </w:r>
          </w:p>
        </w:tc>
      </w:tr>
      <w:tr w14:paraId="564D1F70">
        <w:tblPrEx>
          <w:tblCellMar>
            <w:top w:w="0" w:type="dxa"/>
            <w:left w:w="0" w:type="dxa"/>
            <w:bottom w:w="0" w:type="dxa"/>
            <w:right w:w="0" w:type="dxa"/>
          </w:tblCellMar>
        </w:tblPrEx>
        <w:trPr>
          <w:trHeight w:val="90"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0DC2B22C">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建设性质</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D71B80B">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52"/>
            </w:r>
            <w:r>
              <w:rPr>
                <w:rFonts w:hint="eastAsia" w:ascii="宋体" w:hAnsi="宋体" w:eastAsia="宋体" w:cs="Times New Roman"/>
                <w:color w:val="auto"/>
                <w:kern w:val="0"/>
                <w:sz w:val="24"/>
                <w:szCs w:val="24"/>
                <w:highlight w:val="none"/>
              </w:rPr>
              <w:t>新建（迁建）</w:t>
            </w:r>
          </w:p>
          <w:p w14:paraId="402627C3">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A3"/>
            </w:r>
            <w:r>
              <w:rPr>
                <w:rFonts w:hint="eastAsia" w:ascii="宋体" w:hAnsi="宋体" w:eastAsia="宋体" w:cs="Times New Roman"/>
                <w:color w:val="auto"/>
                <w:kern w:val="0"/>
                <w:sz w:val="24"/>
                <w:szCs w:val="24"/>
                <w:highlight w:val="none"/>
              </w:rPr>
              <w:t>改建</w:t>
            </w:r>
          </w:p>
          <w:p w14:paraId="2047E8DC">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A3"/>
            </w:r>
            <w:r>
              <w:rPr>
                <w:rFonts w:hint="eastAsia" w:ascii="宋体" w:hAnsi="宋体" w:eastAsia="宋体" w:cs="Times New Roman"/>
                <w:color w:val="auto"/>
                <w:kern w:val="0"/>
                <w:sz w:val="24"/>
                <w:szCs w:val="24"/>
                <w:highlight w:val="none"/>
              </w:rPr>
              <w:t>扩建</w:t>
            </w:r>
          </w:p>
          <w:p w14:paraId="7BA83C4E">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A3"/>
            </w:r>
            <w:r>
              <w:rPr>
                <w:rFonts w:hint="eastAsia" w:ascii="宋体" w:hAnsi="宋体" w:eastAsia="宋体" w:cs="Times New Roman"/>
                <w:color w:val="auto"/>
                <w:kern w:val="0"/>
                <w:sz w:val="24"/>
                <w:szCs w:val="24"/>
                <w:highlight w:val="none"/>
              </w:rPr>
              <w:t>技术改造</w:t>
            </w:r>
          </w:p>
        </w:tc>
        <w:tc>
          <w:tcPr>
            <w:tcW w:w="1700" w:type="dxa"/>
            <w:gridSpan w:val="2"/>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681095B2">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建设项目</w:t>
            </w:r>
          </w:p>
          <w:p w14:paraId="37173B0F">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申报情形</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60ED75A3">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52"/>
            </w:r>
            <w:r>
              <w:rPr>
                <w:rFonts w:hint="eastAsia" w:ascii="宋体" w:hAnsi="宋体" w:eastAsia="宋体" w:cs="Times New Roman"/>
                <w:color w:val="auto"/>
                <w:kern w:val="0"/>
                <w:sz w:val="24"/>
                <w:szCs w:val="24"/>
                <w:highlight w:val="none"/>
              </w:rPr>
              <w:t>首次申报项目</w:t>
            </w:r>
          </w:p>
          <w:p w14:paraId="2133D7D8">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□不予批准后再次申报项目</w:t>
            </w:r>
          </w:p>
          <w:p w14:paraId="5ED8B7BE">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□超五年重新审核项目</w:t>
            </w:r>
          </w:p>
          <w:p w14:paraId="39C61A01">
            <w:pPr>
              <w:widowControl/>
              <w:wordWrap w:val="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□重大变动重新报批项目</w:t>
            </w:r>
          </w:p>
        </w:tc>
      </w:tr>
      <w:tr w14:paraId="6AF137A9">
        <w:tblPrEx>
          <w:tblCellMar>
            <w:top w:w="0" w:type="dxa"/>
            <w:left w:w="0" w:type="dxa"/>
            <w:bottom w:w="0" w:type="dxa"/>
            <w:right w:w="0" w:type="dxa"/>
          </w:tblCellMar>
        </w:tblPrEx>
        <w:trPr>
          <w:trHeight w:val="851"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79D545FF">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项目审批（核准/</w:t>
            </w:r>
          </w:p>
          <w:p w14:paraId="1934C74D">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备案）部门（选填）</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F9B5335">
            <w:pPr>
              <w:widowControl/>
              <w:wordWrap w:val="0"/>
              <w:jc w:val="center"/>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德清县湖州莫干山高新技术产业开发区管理委员会</w:t>
            </w:r>
          </w:p>
        </w:tc>
        <w:tc>
          <w:tcPr>
            <w:tcW w:w="1700" w:type="dxa"/>
            <w:gridSpan w:val="2"/>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45ED26C9">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项目审批（核准/备案）文号（选填）</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AA31B01">
            <w:pPr>
              <w:widowControl/>
              <w:wordWrap w:val="0"/>
              <w:jc w:val="center"/>
              <w:rPr>
                <w:rFonts w:hint="default" w:ascii="宋体" w:hAnsi="宋体" w:eastAsia="宋体" w:cs="宋体"/>
                <w:color w:val="FF0000"/>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lang w:val="en-US" w:eastAsia="zh-CN"/>
              </w:rPr>
              <w:t>110-330521-07-01-301573</w:t>
            </w:r>
          </w:p>
        </w:tc>
      </w:tr>
      <w:tr w14:paraId="31BAF5D2">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49F55224">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总投资（万元）</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203404D9">
            <w:pPr>
              <w:widowControl/>
              <w:wordWrap w:val="0"/>
              <w:jc w:val="center"/>
              <w:rPr>
                <w:rFonts w:hint="default" w:ascii="宋体" w:hAnsi="宋体" w:eastAsia="宋体" w:cs="宋体"/>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18000</w:t>
            </w:r>
          </w:p>
        </w:tc>
        <w:tc>
          <w:tcPr>
            <w:tcW w:w="1700" w:type="dxa"/>
            <w:gridSpan w:val="2"/>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7CC74FE2">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环保投资（万元）</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10FB25EA">
            <w:pPr>
              <w:widowControl/>
              <w:wordWrap w:val="0"/>
              <w:jc w:val="center"/>
              <w:rPr>
                <w:rFonts w:hint="default" w:ascii="宋体" w:hAnsi="宋体" w:eastAsia="宋体" w:cs="宋体"/>
                <w:color w:val="FF0000"/>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71.5</w:t>
            </w:r>
          </w:p>
        </w:tc>
      </w:tr>
      <w:tr w14:paraId="59C2B0EC">
        <w:tblPrEx>
          <w:tblCellMar>
            <w:top w:w="0" w:type="dxa"/>
            <w:left w:w="0" w:type="dxa"/>
            <w:bottom w:w="0" w:type="dxa"/>
            <w:right w:w="0" w:type="dxa"/>
          </w:tblCellMar>
        </w:tblPrEx>
        <w:trPr>
          <w:trHeight w:val="497"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30527E74">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环保投资占比（%）</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6B8556F">
            <w:pPr>
              <w:widowControl/>
              <w:wordWrap w:val="0"/>
              <w:jc w:val="center"/>
              <w:rPr>
                <w:rFonts w:hint="default" w:ascii="宋体" w:hAnsi="宋体" w:eastAsia="宋体" w:cs="宋体"/>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0.4</w:t>
            </w:r>
          </w:p>
        </w:tc>
        <w:tc>
          <w:tcPr>
            <w:tcW w:w="1700" w:type="dxa"/>
            <w:gridSpan w:val="2"/>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0C802E4B">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施工工期</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50992A9F">
            <w:pPr>
              <w:widowControl/>
              <w:wordWrap w:val="0"/>
              <w:jc w:val="center"/>
              <w:rPr>
                <w:rFonts w:hint="eastAsia" w:ascii="宋体" w:hAnsi="宋体" w:eastAsia="宋体" w:cs="宋体"/>
                <w:color w:val="FF0000"/>
                <w:kern w:val="0"/>
                <w:sz w:val="24"/>
                <w:szCs w:val="24"/>
                <w:highlight w:val="none"/>
                <w:lang w:eastAsia="zh-CN"/>
              </w:rPr>
            </w:pP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个月</w:t>
            </w:r>
          </w:p>
        </w:tc>
      </w:tr>
      <w:tr w14:paraId="02F6517D">
        <w:tblPrEx>
          <w:tblCellMar>
            <w:top w:w="0" w:type="dxa"/>
            <w:left w:w="0" w:type="dxa"/>
            <w:bottom w:w="0" w:type="dxa"/>
            <w:right w:w="0" w:type="dxa"/>
          </w:tblCellMar>
        </w:tblPrEx>
        <w:trPr>
          <w:trHeight w:val="888" w:hRule="atLeast"/>
          <w:jc w:val="center"/>
        </w:trPr>
        <w:tc>
          <w:tcPr>
            <w:tcW w:w="1721" w:type="dxa"/>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7B706CB7">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是否开工建设</w:t>
            </w:r>
          </w:p>
        </w:tc>
        <w:tc>
          <w:tcPr>
            <w:tcW w:w="2400"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6CCC3C8C">
            <w:pPr>
              <w:widowControl/>
              <w:wordWrap w:val="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52"/>
            </w:r>
            <w:r>
              <w:rPr>
                <w:rFonts w:hint="eastAsia" w:ascii="宋体" w:hAnsi="宋体" w:eastAsia="宋体" w:cs="Times New Roman"/>
                <w:color w:val="auto"/>
                <w:kern w:val="0"/>
                <w:sz w:val="24"/>
                <w:szCs w:val="24"/>
                <w:highlight w:val="none"/>
              </w:rPr>
              <w:t>否</w:t>
            </w:r>
          </w:p>
          <w:p w14:paraId="1F855E7F">
            <w:pPr>
              <w:widowControl/>
              <w:wordWrap w:val="0"/>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sym w:font="Wingdings 2" w:char="00A3"/>
            </w:r>
            <w:r>
              <w:rPr>
                <w:rFonts w:hint="eastAsia" w:ascii="宋体" w:hAnsi="宋体" w:eastAsia="宋体" w:cs="Times New Roman"/>
                <w:color w:val="auto"/>
                <w:kern w:val="0"/>
                <w:sz w:val="24"/>
                <w:szCs w:val="24"/>
                <w:highlight w:val="none"/>
              </w:rPr>
              <w:t>是：</w:t>
            </w:r>
            <w:r>
              <w:rPr>
                <w:rFonts w:hint="eastAsia" w:ascii="宋体" w:hAnsi="宋体" w:eastAsia="宋体" w:cs="Times New Roman"/>
                <w:color w:val="auto"/>
                <w:kern w:val="0"/>
                <w:sz w:val="24"/>
                <w:szCs w:val="24"/>
                <w:highlight w:val="none"/>
                <w:u w:val="single"/>
              </w:rPr>
              <w:t>     </w:t>
            </w:r>
          </w:p>
        </w:tc>
        <w:tc>
          <w:tcPr>
            <w:tcW w:w="1700" w:type="dxa"/>
            <w:gridSpan w:val="2"/>
            <w:tcBorders>
              <w:top w:val="single" w:color="auto" w:sz="8" w:space="0"/>
              <w:left w:val="single" w:color="auto" w:sz="8" w:space="0"/>
              <w:bottom w:val="single" w:color="auto" w:sz="8" w:space="0"/>
              <w:right w:val="single" w:color="auto" w:sz="8" w:space="0"/>
            </w:tcBorders>
            <w:tcMar>
              <w:top w:w="16" w:type="dxa"/>
              <w:left w:w="16" w:type="dxa"/>
              <w:bottom w:w="0" w:type="dxa"/>
              <w:right w:w="16" w:type="dxa"/>
            </w:tcMar>
            <w:vAlign w:val="center"/>
          </w:tcPr>
          <w:p w14:paraId="0B36C846">
            <w:pPr>
              <w:widowControl/>
              <w:wordWrap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6"/>
                <w:kern w:val="0"/>
                <w:sz w:val="24"/>
                <w:szCs w:val="24"/>
                <w:highlight w:val="none"/>
              </w:rPr>
              <w:t>用地</w:t>
            </w:r>
          </w:p>
          <w:p w14:paraId="5690BC64">
            <w:pPr>
              <w:widowControl/>
              <w:wordWrap w:val="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6"/>
                <w:kern w:val="0"/>
                <w:sz w:val="24"/>
                <w:szCs w:val="24"/>
                <w:highlight w:val="none"/>
              </w:rPr>
              <w:t>面积（m</w:t>
            </w:r>
            <w:r>
              <w:rPr>
                <w:rFonts w:hint="default" w:ascii="Times New Roman" w:hAnsi="Times New Roman" w:eastAsia="宋体" w:cs="Times New Roman"/>
                <w:color w:val="auto"/>
                <w:spacing w:val="-6"/>
                <w:kern w:val="0"/>
                <w:sz w:val="24"/>
                <w:szCs w:val="24"/>
                <w:highlight w:val="none"/>
                <w:vertAlign w:val="superscript"/>
              </w:rPr>
              <w:t>2</w:t>
            </w:r>
            <w:r>
              <w:rPr>
                <w:rFonts w:hint="default" w:ascii="Times New Roman" w:hAnsi="Times New Roman" w:eastAsia="宋体" w:cs="Times New Roman"/>
                <w:color w:val="auto"/>
                <w:spacing w:val="-6"/>
                <w:kern w:val="0"/>
                <w:sz w:val="24"/>
                <w:szCs w:val="24"/>
                <w:highlight w:val="none"/>
              </w:rPr>
              <w:t>）</w:t>
            </w:r>
          </w:p>
        </w:tc>
        <w:tc>
          <w:tcPr>
            <w:tcW w:w="325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597AC202">
            <w:pPr>
              <w:widowControl/>
              <w:wordWrap w:val="0"/>
              <w:jc w:val="center"/>
              <w:rPr>
                <w:rFonts w:hint="default" w:ascii="Times New Roman" w:hAnsi="Times New Roman" w:eastAsia="宋体" w:cs="Times New Roman"/>
                <w:color w:val="FF0000"/>
                <w:kern w:val="0"/>
                <w:sz w:val="24"/>
                <w:szCs w:val="24"/>
                <w:highlight w:val="none"/>
                <w:lang w:val="en-US"/>
              </w:rPr>
            </w:pPr>
            <w:r>
              <w:rPr>
                <w:rFonts w:hint="eastAsia" w:ascii="Times New Roman" w:hAnsi="Times New Roman" w:eastAsia="宋体" w:cs="Times New Roman"/>
                <w:color w:val="auto"/>
                <w:sz w:val="24"/>
                <w:szCs w:val="24"/>
                <w:highlight w:val="none"/>
                <w:lang w:val="en-US" w:eastAsia="zh-CN"/>
              </w:rPr>
              <w:t>20611</w:t>
            </w:r>
          </w:p>
        </w:tc>
      </w:tr>
      <w:tr w14:paraId="6DB53BAD">
        <w:tblPrEx>
          <w:tblCellMar>
            <w:top w:w="0" w:type="dxa"/>
            <w:left w:w="0" w:type="dxa"/>
            <w:bottom w:w="0" w:type="dxa"/>
            <w:right w:w="0" w:type="dxa"/>
          </w:tblCellMar>
        </w:tblPrEx>
        <w:trPr>
          <w:trHeight w:val="0" w:hRule="atLeast"/>
          <w:jc w:val="center"/>
        </w:trPr>
        <w:tc>
          <w:tcPr>
            <w:tcW w:w="172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7E527714">
            <w:pPr>
              <w:widowControl/>
              <w:wordWrap w:val="0"/>
              <w:jc w:val="center"/>
              <w:rPr>
                <w:rFonts w:ascii="Times New Roman" w:hAnsi="Times New Roman" w:eastAsia="宋体" w:cs="Times New Roman"/>
                <w:color w:val="FF0000"/>
                <w:kern w:val="0"/>
                <w:sz w:val="24"/>
                <w:szCs w:val="24"/>
                <w:highlight w:val="none"/>
              </w:rPr>
            </w:pPr>
            <w:r>
              <w:rPr>
                <w:rFonts w:hint="eastAsia" w:ascii="宋体" w:hAnsi="宋体" w:eastAsia="宋体" w:cs="Times New Roman"/>
                <w:color w:val="auto"/>
                <w:kern w:val="0"/>
                <w:sz w:val="24"/>
                <w:szCs w:val="24"/>
                <w:highlight w:val="none"/>
              </w:rPr>
              <w:t>专项评价设置情况</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4C6DAE6A">
            <w:pPr>
              <w:autoSpaceDE w:val="0"/>
              <w:autoSpaceDN w:val="0"/>
              <w:adjustRightInd w:val="0"/>
              <w:spacing w:line="500" w:lineRule="exact"/>
              <w:ind w:firstLine="480" w:firstLineChars="200"/>
              <w:rPr>
                <w:rFonts w:hint="default" w:ascii="Times New Roman" w:hAnsi="Times New Roman" w:cs="Times New Roman" w:eastAsiaTheme="minorEastAsia"/>
                <w:bCs/>
                <w:snapToGrid w:val="0"/>
                <w:color w:val="auto"/>
                <w:kern w:val="0"/>
                <w:sz w:val="24"/>
                <w:lang w:val="en-US" w:eastAsia="zh-CN"/>
              </w:rPr>
            </w:pPr>
            <w:r>
              <w:rPr>
                <w:rFonts w:hint="default" w:ascii="Times New Roman" w:hAnsi="Times New Roman" w:cs="Times New Roman" w:eastAsiaTheme="minorEastAsia"/>
                <w:bCs/>
                <w:snapToGrid w:val="0"/>
                <w:color w:val="auto"/>
                <w:kern w:val="0"/>
                <w:sz w:val="24"/>
              </w:rPr>
              <w:t>无</w:t>
            </w:r>
            <w:r>
              <w:rPr>
                <w:rFonts w:hint="default" w:ascii="Times New Roman" w:hAnsi="Times New Roman" w:cs="Times New Roman"/>
                <w:bCs/>
                <w:snapToGrid w:val="0"/>
                <w:color w:val="auto"/>
                <w:kern w:val="0"/>
                <w:sz w:val="24"/>
                <w:lang w:val="en-US" w:eastAsia="zh-CN"/>
              </w:rPr>
              <w:t>需专项评价，具体见表1-1。</w:t>
            </w:r>
          </w:p>
          <w:p w14:paraId="41F57DCB">
            <w:pPr>
              <w:autoSpaceDE w:val="0"/>
              <w:autoSpaceDN w:val="0"/>
              <w:adjustRightInd w:val="0"/>
              <w:snapToGrid w:val="0"/>
              <w:spacing w:line="460" w:lineRule="atLeast"/>
              <w:jc w:val="center"/>
              <w:rPr>
                <w:rFonts w:hint="default" w:ascii="Times New Roman" w:hAnsi="Times New Roman" w:cs="Times New Roman"/>
                <w:b/>
                <w:color w:val="auto"/>
                <w:kern w:val="0"/>
                <w:szCs w:val="21"/>
              </w:rPr>
            </w:pPr>
            <w:r>
              <w:rPr>
                <w:rFonts w:hint="default" w:ascii="Times New Roman" w:hAnsi="Times New Roman" w:cs="Times New Roman"/>
                <w:b/>
                <w:color w:val="auto"/>
                <w:szCs w:val="21"/>
              </w:rPr>
              <w:t>表1-1  专项评价设置判定情况</w:t>
            </w:r>
          </w:p>
          <w:tbl>
            <w:tblPr>
              <w:tblStyle w:val="23"/>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95"/>
              <w:gridCol w:w="2278"/>
              <w:gridCol w:w="1077"/>
            </w:tblGrid>
            <w:tr w14:paraId="1447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6BCA9D55">
                  <w:pPr>
                    <w:autoSpaceDE w:val="0"/>
                    <w:autoSpaceDN w:val="0"/>
                    <w:adjustRightInd w:val="0"/>
                    <w:snapToGrid w:val="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专项评价的类别</w:t>
                  </w:r>
                </w:p>
              </w:tc>
              <w:tc>
                <w:tcPr>
                  <w:tcW w:w="3175" w:type="dxa"/>
                  <w:noWrap/>
                  <w:vAlign w:val="center"/>
                </w:tcPr>
                <w:p w14:paraId="12A9A92F">
                  <w:pPr>
                    <w:autoSpaceDE w:val="0"/>
                    <w:autoSpaceDN w:val="0"/>
                    <w:adjustRightInd w:val="0"/>
                    <w:snapToGrid w:val="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设置原则</w:t>
                  </w:r>
                </w:p>
              </w:tc>
              <w:tc>
                <w:tcPr>
                  <w:tcW w:w="2781" w:type="dxa"/>
                  <w:noWrap/>
                  <w:vAlign w:val="center"/>
                </w:tcPr>
                <w:p w14:paraId="1F49A1A0">
                  <w:pPr>
                    <w:autoSpaceDE w:val="0"/>
                    <w:autoSpaceDN w:val="0"/>
                    <w:adjustRightInd w:val="0"/>
                    <w:snapToGrid w:val="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项目情况</w:t>
                  </w:r>
                </w:p>
              </w:tc>
              <w:tc>
                <w:tcPr>
                  <w:tcW w:w="1286" w:type="dxa"/>
                  <w:noWrap/>
                  <w:vAlign w:val="center"/>
                </w:tcPr>
                <w:p w14:paraId="4AF25019">
                  <w:pPr>
                    <w:autoSpaceDE w:val="0"/>
                    <w:autoSpaceDN w:val="0"/>
                    <w:adjustRightInd w:val="0"/>
                    <w:snapToGrid w:val="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是否设置专项评价</w:t>
                  </w:r>
                </w:p>
              </w:tc>
            </w:tr>
            <w:tr w14:paraId="31E5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122C0AD3">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大气</w:t>
                  </w:r>
                </w:p>
              </w:tc>
              <w:tc>
                <w:tcPr>
                  <w:tcW w:w="3175" w:type="dxa"/>
                  <w:noWrap/>
                  <w:vAlign w:val="center"/>
                </w:tcPr>
                <w:p w14:paraId="7FB33932">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排放废气含有毒有害污染物1、二噁英、苯并[a]芘、氰化物、氯气且厂界外500米范围内有环境空气保护目标2的建设项目</w:t>
                  </w:r>
                </w:p>
              </w:tc>
              <w:tc>
                <w:tcPr>
                  <w:tcW w:w="2781" w:type="dxa"/>
                  <w:noWrap/>
                  <w:vAlign w:val="center"/>
                </w:tcPr>
                <w:p w14:paraId="089DFA9E">
                  <w:pPr>
                    <w:autoSpaceDE w:val="0"/>
                    <w:autoSpaceDN w:val="0"/>
                    <w:adjustRightInd w:val="0"/>
                    <w:snapToGrid w:val="0"/>
                    <w:jc w:val="center"/>
                    <w:rPr>
                      <w:rFonts w:hint="default" w:ascii="Times New Roman" w:hAnsi="Times New Roman" w:cs="Times New Roman" w:eastAsiaTheme="minorEastAsia"/>
                      <w:color w:val="auto"/>
                      <w:kern w:val="0"/>
                      <w:szCs w:val="21"/>
                      <w:lang w:val="en-US" w:eastAsia="zh-CN"/>
                    </w:rPr>
                  </w:pPr>
                  <w:r>
                    <w:rPr>
                      <w:rFonts w:hint="default" w:ascii="Times New Roman" w:hAnsi="Times New Roman" w:cs="Times New Roman"/>
                      <w:color w:val="auto"/>
                      <w:kern w:val="0"/>
                      <w:szCs w:val="21"/>
                    </w:rPr>
                    <w:t>项目废气</w:t>
                  </w:r>
                  <w:r>
                    <w:rPr>
                      <w:rFonts w:hint="eastAsia" w:ascii="Times New Roman" w:hAnsi="Times New Roman" w:cs="Times New Roman"/>
                      <w:color w:val="auto"/>
                      <w:kern w:val="0"/>
                      <w:szCs w:val="21"/>
                      <w:lang w:val="en-US" w:eastAsia="zh-CN"/>
                    </w:rPr>
                    <w:t>污染因子不涉及设置原则中的污染物</w:t>
                  </w:r>
                </w:p>
              </w:tc>
              <w:tc>
                <w:tcPr>
                  <w:tcW w:w="1286" w:type="dxa"/>
                  <w:noWrap/>
                  <w:vAlign w:val="center"/>
                </w:tcPr>
                <w:p w14:paraId="38EF1E9B">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14:paraId="57FB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noWrap/>
                  <w:vAlign w:val="center"/>
                </w:tcPr>
                <w:p w14:paraId="4B4F02CA">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地表水</w:t>
                  </w:r>
                </w:p>
              </w:tc>
              <w:tc>
                <w:tcPr>
                  <w:tcW w:w="3175" w:type="dxa"/>
                  <w:noWrap/>
                  <w:vAlign w:val="center"/>
                </w:tcPr>
                <w:p w14:paraId="51BF5955">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新增工业废水直排建设项目（槽罐车外送污水处理厂的除外）；新增废水直排的污水集中处理厂</w:t>
                  </w:r>
                </w:p>
              </w:tc>
              <w:tc>
                <w:tcPr>
                  <w:tcW w:w="2781" w:type="dxa"/>
                  <w:noWrap/>
                  <w:vAlign w:val="center"/>
                </w:tcPr>
                <w:p w14:paraId="5FADAB80">
                  <w:pPr>
                    <w:autoSpaceDE w:val="0"/>
                    <w:autoSpaceDN w:val="0"/>
                    <w:adjustRightInd w:val="0"/>
                    <w:snapToGrid w:val="0"/>
                    <w:jc w:val="center"/>
                    <w:rPr>
                      <w:rFonts w:hint="default" w:ascii="Times New Roman" w:hAnsi="Times New Roman" w:cs="Times New Roman" w:eastAsiaTheme="minorEastAsia"/>
                      <w:color w:val="FF0000"/>
                      <w:kern w:val="0"/>
                      <w:szCs w:val="21"/>
                      <w:lang w:val="en-US" w:eastAsia="zh-CN"/>
                    </w:rPr>
                  </w:pPr>
                  <w:r>
                    <w:rPr>
                      <w:rFonts w:hint="eastAsia" w:ascii="Times New Roman" w:hAnsi="Times New Roman" w:cs="Times New Roman"/>
                      <w:color w:val="auto"/>
                      <w:kern w:val="0"/>
                      <w:szCs w:val="21"/>
                      <w:lang w:val="en-US" w:eastAsia="zh-CN"/>
                    </w:rPr>
                    <w:t>本项目仅排放生活污水，生活污水经隔油池、化粪池预处理后纳管至德清县恒丰污水处理有限公司及湖州碧水源环境科技有限公司集中处理</w:t>
                  </w:r>
                </w:p>
              </w:tc>
              <w:tc>
                <w:tcPr>
                  <w:tcW w:w="1286" w:type="dxa"/>
                  <w:noWrap/>
                  <w:vAlign w:val="center"/>
                </w:tcPr>
                <w:p w14:paraId="47DE8C31">
                  <w:pPr>
                    <w:autoSpaceDE w:val="0"/>
                    <w:autoSpaceDN w:val="0"/>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Cs w:val="21"/>
                    </w:rPr>
                    <w:t>否</w:t>
                  </w:r>
                </w:p>
              </w:tc>
            </w:tr>
            <w:tr w14:paraId="01A4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7A50347F">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环境风险</w:t>
                  </w:r>
                </w:p>
              </w:tc>
              <w:tc>
                <w:tcPr>
                  <w:tcW w:w="3175" w:type="dxa"/>
                  <w:noWrap/>
                  <w:vAlign w:val="center"/>
                </w:tcPr>
                <w:p w14:paraId="3A0DDCD1">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有毒有害和易燃易爆危险物质存储量超过临界量3的建设项目</w:t>
                  </w:r>
                </w:p>
              </w:tc>
              <w:tc>
                <w:tcPr>
                  <w:tcW w:w="2781" w:type="dxa"/>
                  <w:noWrap/>
                  <w:vAlign w:val="center"/>
                </w:tcPr>
                <w:p w14:paraId="1B85F424">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项目危险物质数量与临界量比值小于1，未超过临界量</w:t>
                  </w:r>
                </w:p>
              </w:tc>
              <w:tc>
                <w:tcPr>
                  <w:tcW w:w="1286" w:type="dxa"/>
                  <w:noWrap/>
                  <w:vAlign w:val="center"/>
                </w:tcPr>
                <w:p w14:paraId="24CE27FA">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14:paraId="63B0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772ED692">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生态</w:t>
                  </w:r>
                </w:p>
              </w:tc>
              <w:tc>
                <w:tcPr>
                  <w:tcW w:w="3175" w:type="dxa"/>
                  <w:noWrap/>
                  <w:vAlign w:val="center"/>
                </w:tcPr>
                <w:p w14:paraId="71DA1262">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取水口下游500米范围内有重要水生生物的自然产卵场、索饵场、越冬场和洄游通道的新增河道取水的污染类建设项目</w:t>
                  </w:r>
                </w:p>
              </w:tc>
              <w:tc>
                <w:tcPr>
                  <w:tcW w:w="2781" w:type="dxa"/>
                  <w:noWrap/>
                  <w:vAlign w:val="center"/>
                </w:tcPr>
                <w:p w14:paraId="5933BD1A">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项目生活</w:t>
                  </w:r>
                  <w:r>
                    <w:rPr>
                      <w:rFonts w:hint="eastAsia" w:ascii="Times New Roman" w:hAnsi="Times New Roman" w:cs="Times New Roman"/>
                      <w:color w:val="auto"/>
                      <w:kern w:val="0"/>
                      <w:szCs w:val="21"/>
                      <w:lang w:eastAsia="zh-CN"/>
                    </w:rPr>
                    <w:t>、</w:t>
                  </w:r>
                  <w:r>
                    <w:rPr>
                      <w:rFonts w:hint="eastAsia" w:ascii="Times New Roman" w:hAnsi="Times New Roman" w:cs="Times New Roman"/>
                      <w:color w:val="auto"/>
                      <w:kern w:val="0"/>
                      <w:szCs w:val="21"/>
                      <w:lang w:val="en-US" w:eastAsia="zh-CN"/>
                    </w:rPr>
                    <w:t>生产</w:t>
                  </w:r>
                  <w:r>
                    <w:rPr>
                      <w:rFonts w:hint="default" w:ascii="Times New Roman" w:hAnsi="Times New Roman" w:cs="Times New Roman"/>
                      <w:color w:val="auto"/>
                      <w:kern w:val="0"/>
                      <w:szCs w:val="21"/>
                    </w:rPr>
                    <w:t>用水均为当地水厂提供，无取水口</w:t>
                  </w:r>
                </w:p>
              </w:tc>
              <w:tc>
                <w:tcPr>
                  <w:tcW w:w="1286" w:type="dxa"/>
                  <w:noWrap/>
                  <w:vAlign w:val="center"/>
                </w:tcPr>
                <w:p w14:paraId="5BA73BD3">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14:paraId="689C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noWrap/>
                  <w:vAlign w:val="center"/>
                </w:tcPr>
                <w:p w14:paraId="604648D7">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海洋</w:t>
                  </w:r>
                </w:p>
              </w:tc>
              <w:tc>
                <w:tcPr>
                  <w:tcW w:w="3175" w:type="dxa"/>
                  <w:noWrap/>
                  <w:vAlign w:val="center"/>
                </w:tcPr>
                <w:p w14:paraId="4D4B60E9">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直接向海排放污染物的海洋工程建设项目</w:t>
                  </w:r>
                </w:p>
              </w:tc>
              <w:tc>
                <w:tcPr>
                  <w:tcW w:w="2781" w:type="dxa"/>
                  <w:noWrap/>
                  <w:vAlign w:val="center"/>
                </w:tcPr>
                <w:p w14:paraId="3E159C17">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项目非海洋工程建设项目</w:t>
                  </w:r>
                </w:p>
              </w:tc>
              <w:tc>
                <w:tcPr>
                  <w:tcW w:w="1286" w:type="dxa"/>
                  <w:noWrap/>
                  <w:vAlign w:val="center"/>
                </w:tcPr>
                <w:p w14:paraId="2D81C7F1">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bl>
          <w:p w14:paraId="23AA5963">
            <w:pPr>
              <w:autoSpaceDE w:val="0"/>
              <w:autoSpaceDN w:val="0"/>
              <w:adjustRightInd w:val="0"/>
              <w:snapToGrid w:val="0"/>
              <w:spacing w:line="46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注：（1）废气中有毒有害污染物指纳入《有毒有害大气污染物名录》的污染物（不包括无排放标准的污染物）。</w:t>
            </w:r>
          </w:p>
          <w:p w14:paraId="646AD80A">
            <w:pPr>
              <w:autoSpaceDE w:val="0"/>
              <w:autoSpaceDN w:val="0"/>
              <w:adjustRightInd w:val="0"/>
              <w:snapToGrid w:val="0"/>
              <w:spacing w:line="460" w:lineRule="exact"/>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（2）环境空气保护目标指自然保护区、风景名胜区、居住区、文化区和农村地区中人群较集中的区域。 </w:t>
            </w:r>
          </w:p>
          <w:p w14:paraId="7CAAA935">
            <w:pPr>
              <w:widowControl/>
              <w:wordWrap w:val="0"/>
              <w:ind w:firstLine="420" w:firstLineChars="200"/>
              <w:jc w:val="both"/>
              <w:rPr>
                <w:rFonts w:hint="default" w:ascii="Times New Roman" w:hAnsi="Times New Roman" w:eastAsia="宋体" w:cs="Times New Roman"/>
                <w:color w:val="FF0000"/>
                <w:kern w:val="0"/>
                <w:sz w:val="24"/>
                <w:szCs w:val="24"/>
                <w:highlight w:val="none"/>
                <w:lang w:val="en-US" w:eastAsia="zh-CN"/>
              </w:rPr>
            </w:pPr>
            <w:r>
              <w:rPr>
                <w:rFonts w:hint="default" w:ascii="Times New Roman" w:hAnsi="Times New Roman" w:cs="Times New Roman"/>
                <w:color w:val="auto"/>
                <w:kern w:val="0"/>
                <w:sz w:val="21"/>
                <w:szCs w:val="21"/>
              </w:rPr>
              <w:t>（3）临界量及其计算方法可参考《建设项目环境风险评价技术导则》（HJ169）附录B、附录C。</w:t>
            </w:r>
          </w:p>
        </w:tc>
      </w:tr>
      <w:tr w14:paraId="7875FC1D">
        <w:tblPrEx>
          <w:tblCellMar>
            <w:top w:w="0" w:type="dxa"/>
            <w:left w:w="0" w:type="dxa"/>
            <w:bottom w:w="0" w:type="dxa"/>
            <w:right w:w="0" w:type="dxa"/>
          </w:tblCellMar>
        </w:tblPrEx>
        <w:trPr>
          <w:trHeight w:val="0" w:hRule="atLeast"/>
          <w:jc w:val="center"/>
        </w:trPr>
        <w:tc>
          <w:tcPr>
            <w:tcW w:w="1721" w:type="dxa"/>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23102F2A">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规划情况</w:t>
            </w:r>
          </w:p>
        </w:tc>
        <w:tc>
          <w:tcPr>
            <w:tcW w:w="7351" w:type="dxa"/>
            <w:gridSpan w:val="4"/>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7489AA11">
            <w:pPr>
              <w:widowControl/>
              <w:wordWrap w:val="0"/>
              <w:jc w:val="center"/>
              <w:rPr>
                <w:rFonts w:hint="default"/>
                <w:b w:val="0"/>
                <w:bCs w:val="0"/>
                <w:color w:val="FF0000"/>
                <w:lang w:val="en-US" w:eastAsia="zh-CN"/>
              </w:rPr>
            </w:pPr>
            <w:r>
              <w:rPr>
                <w:rFonts w:hint="eastAsia" w:ascii="宋体" w:hAnsi="宋体" w:eastAsia="宋体" w:cs="Times New Roman"/>
                <w:color w:val="auto"/>
                <w:kern w:val="0"/>
                <w:sz w:val="24"/>
                <w:szCs w:val="24"/>
                <w:highlight w:val="none"/>
                <w:lang w:val="en-US" w:eastAsia="zh-CN"/>
              </w:rPr>
              <w:t>《莫干山高新技术产业开发区总体规划》</w:t>
            </w:r>
            <w:r>
              <w:rPr>
                <w:rFonts w:hint="default" w:ascii="Times New Roman" w:hAnsi="Times New Roman" w:eastAsia="宋体" w:cs="Times New Roman"/>
                <w:color w:val="auto"/>
                <w:kern w:val="0"/>
                <w:sz w:val="24"/>
                <w:szCs w:val="24"/>
                <w:highlight w:val="none"/>
                <w:lang w:val="en-US" w:eastAsia="zh-CN"/>
              </w:rPr>
              <w:t>（2016~2030）</w:t>
            </w:r>
          </w:p>
        </w:tc>
      </w:tr>
      <w:tr w14:paraId="74EEC9D4">
        <w:tblPrEx>
          <w:tblCellMar>
            <w:top w:w="0" w:type="dxa"/>
            <w:left w:w="0" w:type="dxa"/>
            <w:bottom w:w="0" w:type="dxa"/>
            <w:right w:w="0" w:type="dxa"/>
          </w:tblCellMar>
        </w:tblPrEx>
        <w:trPr>
          <w:trHeight w:val="612" w:hRule="atLeast"/>
          <w:jc w:val="center"/>
        </w:trPr>
        <w:tc>
          <w:tcPr>
            <w:tcW w:w="1721" w:type="dxa"/>
            <w:tcBorders>
              <w:top w:val="single" w:color="auto" w:sz="8" w:space="0"/>
              <w:left w:val="single" w:color="auto" w:sz="8" w:space="0"/>
              <w:bottom w:val="single" w:color="auto" w:sz="4" w:space="0"/>
              <w:right w:val="single" w:color="auto" w:sz="8" w:space="0"/>
            </w:tcBorders>
            <w:tcMar>
              <w:top w:w="84" w:type="dxa"/>
              <w:left w:w="167" w:type="dxa"/>
              <w:bottom w:w="84" w:type="dxa"/>
              <w:right w:w="167" w:type="dxa"/>
            </w:tcMar>
            <w:vAlign w:val="center"/>
          </w:tcPr>
          <w:p w14:paraId="06589D25">
            <w:pPr>
              <w:widowControl/>
              <w:wordWrap w:val="0"/>
              <w:jc w:val="center"/>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规划环境影响评价情况</w:t>
            </w:r>
          </w:p>
        </w:tc>
        <w:tc>
          <w:tcPr>
            <w:tcW w:w="7351" w:type="dxa"/>
            <w:gridSpan w:val="4"/>
            <w:tcBorders>
              <w:top w:val="single" w:color="auto" w:sz="8" w:space="0"/>
              <w:left w:val="single" w:color="auto" w:sz="8" w:space="0"/>
              <w:bottom w:val="single" w:color="auto" w:sz="4" w:space="0"/>
              <w:right w:val="single" w:color="auto" w:sz="8" w:space="0"/>
            </w:tcBorders>
            <w:tcMar>
              <w:top w:w="84" w:type="dxa"/>
              <w:left w:w="167" w:type="dxa"/>
              <w:bottom w:w="84" w:type="dxa"/>
              <w:right w:w="167" w:type="dxa"/>
            </w:tcMar>
            <w:vAlign w:val="center"/>
          </w:tcPr>
          <w:p w14:paraId="22C5CC1D">
            <w:pPr>
              <w:widowControl/>
              <w:wordWrap w:val="0"/>
              <w:jc w:val="left"/>
              <w:rPr>
                <w:rFonts w:hint="default"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val="en-US" w:eastAsia="zh-CN"/>
              </w:rPr>
              <w:t>名称：</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湖州莫干山高新技术产业开发区总体规划环境影响报告书</w:t>
            </w:r>
            <w:r>
              <w:rPr>
                <w:rFonts w:hint="default"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sz w:val="24"/>
                <w:szCs w:val="24"/>
              </w:rPr>
              <w:t>召集</w:t>
            </w:r>
            <w:r>
              <w:rPr>
                <w:rFonts w:ascii="Times New Roman" w:hAnsi="Times New Roman" w:eastAsia="宋体" w:cs="Times New Roman"/>
                <w:color w:val="auto"/>
                <w:sz w:val="24"/>
                <w:szCs w:val="24"/>
              </w:rPr>
              <w:t>审查机关：</w:t>
            </w:r>
            <w:r>
              <w:rPr>
                <w:rFonts w:hint="default" w:ascii="Times New Roman" w:hAnsi="Times New Roman" w:cs="Times New Roman"/>
                <w:color w:val="auto"/>
                <w:kern w:val="0"/>
                <w:sz w:val="24"/>
                <w:szCs w:val="24"/>
                <w:highlight w:val="none"/>
                <w:lang w:eastAsia="zh-CN"/>
              </w:rPr>
              <w:t>原</w:t>
            </w:r>
            <w:r>
              <w:rPr>
                <w:rFonts w:hint="default" w:ascii="Times New Roman" w:hAnsi="Times New Roman" w:eastAsia="宋体" w:cs="Times New Roman"/>
                <w:color w:val="auto"/>
                <w:kern w:val="0"/>
                <w:sz w:val="24"/>
                <w:szCs w:val="24"/>
                <w:highlight w:val="none"/>
                <w:lang w:eastAsia="zh-CN"/>
              </w:rPr>
              <w:t>国家环保部</w:t>
            </w:r>
          </w:p>
          <w:p w14:paraId="008ACAF1">
            <w:pPr>
              <w:widowControl/>
              <w:wordWrap w:val="0"/>
              <w:jc w:val="both"/>
              <w:rPr>
                <w:rFonts w:hint="default" w:ascii="Times New Roman" w:hAnsi="Times New Roman" w:eastAsia="宋体" w:cs="Times New Roman"/>
                <w:b w:val="0"/>
                <w:bCs w:val="0"/>
                <w:color w:val="FF0000"/>
                <w:kern w:val="0"/>
                <w:sz w:val="24"/>
                <w:szCs w:val="24"/>
                <w:highlight w:val="none"/>
                <w:lang w:val="en-US" w:eastAsia="zh-CN"/>
              </w:rPr>
            </w:pPr>
            <w:r>
              <w:rPr>
                <w:rFonts w:ascii="Times New Roman" w:hAnsi="Times New Roman" w:eastAsia="宋体" w:cs="Times New Roman"/>
                <w:color w:val="auto"/>
                <w:sz w:val="24"/>
                <w:szCs w:val="24"/>
              </w:rPr>
              <w:t>文号：</w:t>
            </w:r>
            <w:r>
              <w:rPr>
                <w:rFonts w:hint="default" w:ascii="Times New Roman" w:hAnsi="Times New Roman" w:eastAsia="宋体" w:cs="Times New Roman"/>
                <w:color w:val="auto"/>
                <w:kern w:val="0"/>
                <w:sz w:val="24"/>
                <w:szCs w:val="24"/>
                <w:highlight w:val="none"/>
                <w:lang w:eastAsia="zh-CN"/>
              </w:rPr>
              <w:t>环审〔2017〕148号</w:t>
            </w:r>
          </w:p>
        </w:tc>
      </w:tr>
      <w:tr w14:paraId="704175FC">
        <w:tblPrEx>
          <w:tblCellMar>
            <w:top w:w="0" w:type="dxa"/>
            <w:left w:w="0" w:type="dxa"/>
            <w:bottom w:w="0" w:type="dxa"/>
            <w:right w:w="0" w:type="dxa"/>
          </w:tblCellMar>
        </w:tblPrEx>
        <w:trPr>
          <w:trHeight w:val="512" w:hRule="atLeast"/>
          <w:jc w:val="center"/>
        </w:trPr>
        <w:tc>
          <w:tcPr>
            <w:tcW w:w="9072" w:type="dxa"/>
            <w:gridSpan w:val="5"/>
            <w:tcBorders>
              <w:top w:val="single" w:color="auto" w:sz="4"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7CFCD5D">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lang w:val="en-US" w:eastAsia="zh-CN"/>
              </w:rPr>
              <w:t>1.1</w:t>
            </w:r>
            <w:r>
              <w:rPr>
                <w:rFonts w:hint="default" w:ascii="Times New Roman" w:hAnsi="Times New Roman" w:eastAsia="宋体" w:cs="Times New Roman"/>
                <w:b/>
                <w:bCs/>
                <w:color w:val="auto"/>
                <w:kern w:val="0"/>
                <w:sz w:val="24"/>
                <w:szCs w:val="24"/>
                <w:highlight w:val="none"/>
              </w:rPr>
              <w:t>规划及规划环境影响评价符合性分析</w:t>
            </w:r>
          </w:p>
          <w:p w14:paraId="2A518E4A">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1.1.1规划符合性分析</w:t>
            </w:r>
          </w:p>
          <w:p w14:paraId="149ECE5E">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湖州莫干山高新技术产业开发区（以下简称“高新区”）原为德清高新技术产业园区，1991年经德清县人民政府批准设立，面积7.5平方公里；2010年6月被浙江省人民政府批准为湖州莫干山省级高新技术产业园区</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2015年2月更名为湖州莫干山高新技术产业园区</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面积7.5平方公里；2015年9月29日，被国务院批准升级为国家高新技术产业开发区，核准规划面积6.65平方公里。根据《关于开展产业园区规划环境影响评价清单式管理试点工作的通知》（环办环评〔2016〕61号），莫干山高新技术产业开发区列为国家清单式管理试点园区之一。高新区于1993年编制了《莫干山经济开发区概况》，并开展了区域环境影响评价工作（浙环开建〔1994〕76号）。1999年编制了《莫干山经济开发区总体规划》，规划用地面积7.5平方公里（为一期用地）；2002年编制了《浙江省莫干山科技工业园控制性详细规划》，即二期用地的控规，规划用地面积2.7平方公里；2003年编制了《莫干山经济开发区扩展区控制性详细规划》，即三期用地的控规，规划用地面积19.63平方公里，该控规于2012年进行了修编。2012年修编了《德清经济开发区近期建设用地控制性详细规划》，包括“产业拓展地块”和“退二进三地块”，其中“产业拓展地块”主要位于德清经济开发区三期建设用地</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10.24平方公里</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，“退二进三地块” 为现状建成地块</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0.7平方公里</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2016年，开发区编制了《莫干山高新技术产业开发区总体规划》，即本次环评的评价对象，规划范围包括一、二期用地及修编后的三期用地，因2015年国务院核准的规划范围与初始规划范围略有偏差，规划范围在对历次规划及拓展区块进行汇总的基础上也略微调整。</w:t>
            </w:r>
          </w:p>
          <w:p w14:paraId="5D910413">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1、规划范围：高新区规划面积22.25平方公里，东至杭宁高速，南至北湖街以及武源街，西至防洪渠及阜溪，北至莫干山大道以及北绕城高速西复线。 </w:t>
            </w:r>
          </w:p>
          <w:p w14:paraId="782EBDCD">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2、规划年限：近期2016年-2020年，远期2021-2030年。</w:t>
            </w:r>
          </w:p>
          <w:p w14:paraId="29A22145">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3、发展定位：长三角南翼先进制造业基地，生态型工业区；吸纳外资及上海、杭州等大城市转移产业的基地；现代化中等城市的组成部分。 </w:t>
            </w:r>
          </w:p>
          <w:p w14:paraId="3A109C67">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4、规划布局：</w:t>
            </w:r>
          </w:p>
          <w:p w14:paraId="3A3E69B6">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（1）产业定位：在原有休闲轻工、新型建材和纺织服装的基础上，规划期重点发展生物医药、电子信息、装备制造、新材料等产业。</w:t>
            </w:r>
          </w:p>
          <w:p w14:paraId="097279E9">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FF0000"/>
                <w:kern w:val="0"/>
                <w:sz w:val="24"/>
                <w:szCs w:val="24"/>
                <w:highlight w:val="none"/>
                <w:lang w:val="en-US" w:eastAsia="zh-CN"/>
              </w:rPr>
            </w:pPr>
            <w:r>
              <w:rPr>
                <w:rFonts w:hint="default" w:ascii="Times New Roman" w:hAnsi="Times New Roman" w:cs="Times New Roman"/>
                <w:color w:val="auto"/>
                <w:sz w:val="24"/>
                <w:szCs w:val="24"/>
                <w:highlight w:val="none"/>
              </w:rPr>
              <w:t>（2）产业布局：高新区规划为九个发展片区。其中，生产性产业发展片区为6个，包括生物医药产业片区</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2个</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、新型建材产业片区、传统制造业产业片区、装备电子产业片区和休闲轻工产业片区；与城市融合发展片区为3个，分别为行政商贸组团、科创居住片区和“退二进三片”区。</w:t>
            </w:r>
          </w:p>
          <w:p w14:paraId="3E827932">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default" w:eastAsiaTheme="minorEastAsia"/>
                <w:color w:val="FF0000"/>
                <w:lang w:val="en-US" w:eastAsia="zh-CN"/>
              </w:rPr>
            </w:pPr>
            <w:r>
              <w:rPr>
                <w:rFonts w:hint="default" w:ascii="Times New Roman" w:hAnsi="Times New Roman" w:cs="Times New Roman"/>
                <w:b/>
                <w:bCs/>
                <w:color w:val="auto"/>
                <w:sz w:val="24"/>
                <w:szCs w:val="24"/>
                <w:highlight w:val="none"/>
              </w:rPr>
              <w:t>规划符合性分析</w:t>
            </w:r>
            <w:r>
              <w:rPr>
                <w:rFonts w:hint="eastAsia" w:ascii="Times New Roman" w:hAnsi="Times New Roman" w:cs="Times New Roman"/>
                <w:b/>
                <w:bCs/>
                <w:color w:val="auto"/>
                <w:sz w:val="24"/>
                <w:szCs w:val="24"/>
                <w:highlight w:val="none"/>
                <w:lang w:eastAsia="zh-CN"/>
              </w:rPr>
              <w:t>：</w:t>
            </w:r>
            <w:r>
              <w:rPr>
                <w:rFonts w:hint="default" w:ascii="Times New Roman" w:hAnsi="Times New Roman" w:cs="Times New Roman"/>
                <w:color w:val="auto"/>
                <w:sz w:val="24"/>
                <w:szCs w:val="24"/>
                <w:highlight w:val="none"/>
              </w:rPr>
              <w:t>本项目位于</w:t>
            </w:r>
            <w:r>
              <w:rPr>
                <w:rFonts w:hint="eastAsia" w:ascii="Times New Roman" w:hAnsi="Times New Roman" w:eastAsia="宋体" w:cs="Times New Roman"/>
                <w:color w:val="auto"/>
                <w:kern w:val="0"/>
                <w:sz w:val="24"/>
                <w:szCs w:val="24"/>
                <w:highlight w:val="none"/>
                <w:lang w:val="en-US" w:eastAsia="zh-CN"/>
              </w:rPr>
              <w:t>德清县阜溪街道新丰北路599号</w:t>
            </w:r>
            <w:r>
              <w:rPr>
                <w:rFonts w:hint="eastAsia" w:ascii="Times New Roman" w:hAnsi="Times New Roman" w:cs="Times New Roman"/>
                <w:color w:val="auto"/>
                <w:sz w:val="24"/>
                <w:szCs w:val="24"/>
                <w:highlight w:val="none"/>
                <w:lang w:val="en-US" w:eastAsia="zh-CN"/>
              </w:rPr>
              <w:t>，属于规划布局中的装备电子片区，新购工业用地新建厂房组织生产，符合用地规划要求。项目行业类别为工业自动控制系统装置制造，属于二类工业项目。</w:t>
            </w:r>
            <w:r>
              <w:rPr>
                <w:rFonts w:hint="eastAsia" w:ascii="Times New Roman" w:hAnsi="Times New Roman"/>
                <w:color w:val="auto"/>
                <w:sz w:val="24"/>
              </w:rPr>
              <w:t>因此项目建设符合</w:t>
            </w:r>
            <w:r>
              <w:rPr>
                <w:rFonts w:hint="eastAsia" w:ascii="Times New Roman" w:hAnsi="Times New Roman"/>
                <w:color w:val="auto"/>
                <w:sz w:val="24"/>
                <w:lang w:val="en-US" w:eastAsia="zh-CN"/>
              </w:rPr>
              <w:t>莫干山高新技术产业开发区总体规划的要求。</w:t>
            </w:r>
          </w:p>
          <w:p w14:paraId="68CC965D">
            <w:pPr>
              <w:keepNext w:val="0"/>
              <w:keepLines w:val="0"/>
              <w:pageBreakBefore w:val="0"/>
              <w:widowControl/>
              <w:kinsoku/>
              <w:wordWrap w:val="0"/>
              <w:overflowPunct/>
              <w:topLinePunct w:val="0"/>
              <w:autoSpaceDE/>
              <w:autoSpaceDN/>
              <w:bidi w:val="0"/>
              <w:adjustRightInd/>
              <w:snapToGrid/>
              <w:spacing w:line="500" w:lineRule="exact"/>
              <w:jc w:val="both"/>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lang w:val="en-US" w:eastAsia="zh-CN"/>
              </w:rPr>
              <w:t>1.1</w:t>
            </w:r>
            <w:r>
              <w:rPr>
                <w:rFonts w:hint="eastAsia" w:ascii="Times New Roman" w:hAnsi="Times New Roman" w:eastAsia="宋体" w:cs="Times New Roman"/>
                <w:b/>
                <w:bCs/>
                <w:color w:val="auto"/>
                <w:kern w:val="0"/>
                <w:sz w:val="24"/>
                <w:szCs w:val="24"/>
                <w:highlight w:val="none"/>
                <w:lang w:val="en-US" w:eastAsia="zh-CN"/>
              </w:rPr>
              <w:t>.2</w:t>
            </w:r>
            <w:r>
              <w:rPr>
                <w:rFonts w:hint="default" w:ascii="Times New Roman" w:hAnsi="Times New Roman" w:eastAsia="宋体" w:cs="Times New Roman"/>
                <w:b/>
                <w:bCs/>
                <w:color w:val="auto"/>
                <w:kern w:val="0"/>
                <w:sz w:val="24"/>
                <w:szCs w:val="24"/>
                <w:highlight w:val="none"/>
              </w:rPr>
              <w:t>规划环境影响评价符合性分析</w:t>
            </w:r>
          </w:p>
          <w:p w14:paraId="2C9525D0">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color w:val="FF0000"/>
                <w:sz w:val="24"/>
                <w:szCs w:val="24"/>
                <w:highlight w:val="none"/>
              </w:rPr>
            </w:pPr>
            <w:r>
              <w:rPr>
                <w:rFonts w:hint="default" w:ascii="Times New Roman" w:hAnsi="Times New Roman" w:cs="Times New Roman"/>
                <w:color w:val="auto"/>
                <w:sz w:val="24"/>
                <w:szCs w:val="24"/>
                <w:highlight w:val="none"/>
              </w:rPr>
              <w:t>对照《关于印发湖州莫干山高新技术产业开发区“区域环评+环境标准”改革实施方案的通知》，项目分析情况如表</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所示。</w:t>
            </w:r>
          </w:p>
          <w:p w14:paraId="0078E3AF">
            <w:pPr>
              <w:pStyle w:val="7"/>
              <w:spacing w:line="460" w:lineRule="exact"/>
              <w:ind w:firstLine="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cs="Times New Roman"/>
                <w:b/>
                <w:bCs/>
                <w:color w:val="auto"/>
                <w:sz w:val="21"/>
                <w:szCs w:val="21"/>
                <w:highlight w:val="none"/>
              </w:rPr>
              <w:t xml:space="preserve">  环评审批负面清单对照分析表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782"/>
              <w:gridCol w:w="3559"/>
              <w:gridCol w:w="1061"/>
            </w:tblGrid>
            <w:tr w14:paraId="3836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02" w:type="dxa"/>
                  <w:tcBorders>
                    <w:tl2br w:val="nil"/>
                    <w:tr2bl w:val="nil"/>
                  </w:tcBorders>
                  <w:noWrap w:val="0"/>
                  <w:vAlign w:val="center"/>
                </w:tcPr>
                <w:p w14:paraId="456A5547">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清单名称</w:t>
                  </w:r>
                </w:p>
              </w:tc>
              <w:tc>
                <w:tcPr>
                  <w:tcW w:w="2782" w:type="dxa"/>
                  <w:tcBorders>
                    <w:tl2br w:val="nil"/>
                    <w:tr2bl w:val="nil"/>
                  </w:tcBorders>
                  <w:noWrap w:val="0"/>
                  <w:vAlign w:val="center"/>
                </w:tcPr>
                <w:p w14:paraId="778C28D9">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主要内容</w:t>
                  </w:r>
                </w:p>
              </w:tc>
              <w:tc>
                <w:tcPr>
                  <w:tcW w:w="3559" w:type="dxa"/>
                  <w:tcBorders>
                    <w:tl2br w:val="nil"/>
                    <w:tr2bl w:val="nil"/>
                  </w:tcBorders>
                  <w:noWrap w:val="0"/>
                  <w:vAlign w:val="center"/>
                </w:tcPr>
                <w:p w14:paraId="6431FB46">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本项目情况</w:t>
                  </w:r>
                </w:p>
              </w:tc>
              <w:tc>
                <w:tcPr>
                  <w:tcW w:w="1061" w:type="dxa"/>
                  <w:tcBorders>
                    <w:tl2br w:val="nil"/>
                    <w:tr2bl w:val="nil"/>
                  </w:tcBorders>
                  <w:noWrap w:val="0"/>
                  <w:vAlign w:val="center"/>
                </w:tcPr>
                <w:p w14:paraId="054DFB36">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判定结论</w:t>
                  </w:r>
                </w:p>
              </w:tc>
            </w:tr>
            <w:tr w14:paraId="6874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2" w:type="dxa"/>
                  <w:tcBorders>
                    <w:tl2br w:val="nil"/>
                    <w:tr2bl w:val="nil"/>
                  </w:tcBorders>
                  <w:noWrap w:val="0"/>
                  <w:vAlign w:val="center"/>
                </w:tcPr>
                <w:p w14:paraId="44EC1E2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环评审批负面清单</w:t>
                  </w:r>
                </w:p>
              </w:tc>
              <w:tc>
                <w:tcPr>
                  <w:tcW w:w="2782" w:type="dxa"/>
                  <w:tcBorders>
                    <w:tl2br w:val="nil"/>
                    <w:tr2bl w:val="nil"/>
                  </w:tcBorders>
                  <w:noWrap w:val="0"/>
                  <w:vAlign w:val="center"/>
                </w:tcPr>
                <w:p w14:paraId="09BCCB7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1、环评审批权限在环境保护部的项目；</w:t>
                  </w:r>
                </w:p>
                <w:p w14:paraId="142D544D">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2、需编制报告书的电磁类项目和核技术利用项目；</w:t>
                  </w:r>
                </w:p>
                <w:p w14:paraId="254BAC5D">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3、有化学合成反应的石化、化工、医药项目；</w:t>
                  </w:r>
                </w:p>
                <w:p w14:paraId="4563ED9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4、生活垃圾焚烧发电等高污染、高环境风险建设项目</w:t>
                  </w:r>
                </w:p>
              </w:tc>
              <w:tc>
                <w:tcPr>
                  <w:tcW w:w="3559" w:type="dxa"/>
                  <w:tcBorders>
                    <w:tl2br w:val="nil"/>
                    <w:tr2bl w:val="nil"/>
                  </w:tcBorders>
                  <w:noWrap w:val="0"/>
                  <w:vAlign w:val="center"/>
                </w:tcPr>
                <w:p w14:paraId="1FA60FF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1、本项目行业类别为</w:t>
                  </w:r>
                  <w:r>
                    <w:rPr>
                      <w:rFonts w:hint="default" w:ascii="Times New Roman" w:hAnsi="Times New Roman" w:cs="Times New Roman"/>
                      <w:color w:val="auto"/>
                      <w:sz w:val="21"/>
                      <w:szCs w:val="21"/>
                      <w:highlight w:val="none"/>
                      <w:lang w:val="en-US" w:eastAsia="zh-CN"/>
                    </w:rPr>
                    <w:t>工业自动控制系统装置制造</w:t>
                  </w:r>
                  <w:r>
                    <w:rPr>
                      <w:rFonts w:hint="default" w:ascii="Times New Roman" w:hAnsi="Times New Roman" w:cs="Times New Roman"/>
                      <w:color w:val="auto"/>
                      <w:sz w:val="21"/>
                      <w:szCs w:val="21"/>
                      <w:highlight w:val="none"/>
                    </w:rPr>
                    <w:t>，不属于环评审批权限在环境保护部的项目；</w:t>
                  </w:r>
                </w:p>
                <w:p w14:paraId="29FEAE8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2、不属于需编制报告书的电磁类项目和核技术利用项目；</w:t>
                  </w:r>
                </w:p>
                <w:p w14:paraId="1B06E5C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3、不属于有化学合成反应的石化、化工、医药项目；</w:t>
                  </w:r>
                </w:p>
                <w:p w14:paraId="5EADA9A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4、不属于生活垃圾焚烧发电等高污染、高环境风险建设项目的范畴内。</w:t>
                  </w:r>
                </w:p>
              </w:tc>
              <w:tc>
                <w:tcPr>
                  <w:tcW w:w="1061" w:type="dxa"/>
                  <w:tcBorders>
                    <w:tl2br w:val="nil"/>
                    <w:tr2bl w:val="nil"/>
                  </w:tcBorders>
                  <w:noWrap w:val="0"/>
                  <w:vAlign w:val="center"/>
                </w:tcPr>
                <w:p w14:paraId="5E3D5DE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未列入</w:t>
                  </w:r>
                </w:p>
                <w:p w14:paraId="2F87B55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环评审批</w:t>
                  </w:r>
                </w:p>
                <w:p w14:paraId="54B1A9E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负面清单</w:t>
                  </w:r>
                </w:p>
              </w:tc>
            </w:tr>
          </w:tbl>
          <w:p w14:paraId="0902F04F">
            <w:pPr>
              <w:spacing w:line="500" w:lineRule="exact"/>
              <w:ind w:firstLine="480" w:firstLineChars="200"/>
              <w:jc w:val="left"/>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4"/>
                <w:szCs w:val="24"/>
                <w:highlight w:val="none"/>
              </w:rPr>
              <w:t>对照《湖州莫干山高新技术产业开发区总体规划环境影响报告书》，本项目规划环评结论清单符合性分析见表</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w:t>
            </w:r>
          </w:p>
          <w:p w14:paraId="54613A13">
            <w:pPr>
              <w:pStyle w:val="7"/>
              <w:spacing w:line="460" w:lineRule="exact"/>
              <w:ind w:firstLine="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cs="Times New Roman"/>
                <w:b/>
                <w:bCs/>
                <w:color w:val="auto"/>
                <w:sz w:val="21"/>
                <w:szCs w:val="21"/>
                <w:highlight w:val="none"/>
              </w:rPr>
              <w:t xml:space="preserve">  规划环评结论清单符合性分析汇总表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736"/>
              <w:gridCol w:w="2516"/>
              <w:gridCol w:w="1124"/>
            </w:tblGrid>
            <w:tr w14:paraId="51C0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tcBorders>
                    <w:tl2br w:val="nil"/>
                    <w:tr2bl w:val="nil"/>
                  </w:tcBorders>
                  <w:noWrap w:val="0"/>
                  <w:vAlign w:val="center"/>
                </w:tcPr>
                <w:p w14:paraId="4B9D2654">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结论清单</w:t>
                  </w:r>
                </w:p>
              </w:tc>
              <w:tc>
                <w:tcPr>
                  <w:tcW w:w="3736" w:type="dxa"/>
                  <w:tcBorders>
                    <w:tl2br w:val="nil"/>
                    <w:tr2bl w:val="nil"/>
                  </w:tcBorders>
                  <w:noWrap w:val="0"/>
                  <w:vAlign w:val="center"/>
                </w:tcPr>
                <w:p w14:paraId="62C5BEA7">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主要内容</w:t>
                  </w:r>
                </w:p>
              </w:tc>
              <w:tc>
                <w:tcPr>
                  <w:tcW w:w="2516" w:type="dxa"/>
                  <w:tcBorders>
                    <w:tl2br w:val="nil"/>
                    <w:tr2bl w:val="nil"/>
                  </w:tcBorders>
                  <w:noWrap w:val="0"/>
                  <w:vAlign w:val="center"/>
                </w:tcPr>
                <w:p w14:paraId="28BA1D74">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项目情况</w:t>
                  </w:r>
                </w:p>
              </w:tc>
              <w:tc>
                <w:tcPr>
                  <w:tcW w:w="1124" w:type="dxa"/>
                  <w:tcBorders>
                    <w:tl2br w:val="nil"/>
                    <w:tr2bl w:val="nil"/>
                  </w:tcBorders>
                  <w:noWrap w:val="0"/>
                  <w:vAlign w:val="center"/>
                </w:tcPr>
                <w:p w14:paraId="48FFB1E7">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是否符合</w:t>
                  </w:r>
                </w:p>
              </w:tc>
            </w:tr>
            <w:tr w14:paraId="45D4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tcBorders>
                    <w:tl2br w:val="nil"/>
                    <w:tr2bl w:val="nil"/>
                  </w:tcBorders>
                  <w:noWrap w:val="0"/>
                  <w:vAlign w:val="center"/>
                </w:tcPr>
                <w:p w14:paraId="456D900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w:t>
                  </w:r>
                </w:p>
                <w:p w14:paraId="5223FF6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空间</w:t>
                  </w:r>
                </w:p>
                <w:p w14:paraId="7129042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清单</w:t>
                  </w:r>
                </w:p>
              </w:tc>
              <w:tc>
                <w:tcPr>
                  <w:tcW w:w="3736" w:type="dxa"/>
                  <w:tcBorders>
                    <w:tl2br w:val="nil"/>
                    <w:tr2bl w:val="nil"/>
                  </w:tcBorders>
                  <w:noWrap w:val="0"/>
                  <w:vAlign w:val="center"/>
                </w:tcPr>
                <w:p w14:paraId="437A725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莫干山高新区工业用地全部位于生产空间内，科创居住片区和行政商贸组团的大片商贸居住用地则位于生活空间内；莫干山高新区工业用地主要位于环境重点准入区和环境优化准入区，居住商贸用地主要位于人居环境保障区，阜溪两岸划为苕溪水源涵养区（生态功能保障区）。</w:t>
                  </w:r>
                </w:p>
              </w:tc>
              <w:tc>
                <w:tcPr>
                  <w:tcW w:w="2516" w:type="dxa"/>
                  <w:tcBorders>
                    <w:tl2br w:val="nil"/>
                    <w:tr2bl w:val="nil"/>
                  </w:tcBorders>
                  <w:noWrap w:val="0"/>
                  <w:vAlign w:val="center"/>
                </w:tcPr>
                <w:p w14:paraId="4ACC0D8D">
                  <w:pPr>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snapToGrid w:val="0"/>
                      <w:color w:val="auto"/>
                      <w:kern w:val="0"/>
                      <w:sz w:val="21"/>
                      <w:szCs w:val="21"/>
                      <w:highlight w:val="none"/>
                    </w:rPr>
                    <w:t>本项目位于莫干山高新区的生产空间内，</w:t>
                  </w:r>
                  <w:r>
                    <w:rPr>
                      <w:rFonts w:hint="default" w:ascii="Times New Roman" w:hAnsi="Times New Roman" w:eastAsia="宋体" w:cs="Times New Roman"/>
                      <w:color w:val="auto"/>
                      <w:kern w:val="0"/>
                      <w:sz w:val="21"/>
                      <w:szCs w:val="21"/>
                      <w:highlight w:val="none"/>
                    </w:rPr>
                    <w:t>对照</w:t>
                  </w:r>
                  <w:r>
                    <w:rPr>
                      <w:rFonts w:hint="default" w:ascii="Times New Roman" w:hAnsi="Times New Roman" w:eastAsia="宋体" w:cs="Times New Roman"/>
                      <w:color w:val="auto"/>
                      <w:kern w:val="0"/>
                      <w:sz w:val="21"/>
                      <w:szCs w:val="21"/>
                      <w:highlight w:val="none"/>
                      <w:lang w:val="en-US" w:eastAsia="zh-CN"/>
                    </w:rPr>
                    <w:t>《德清县生态环境分区管控动态更新方案》</w:t>
                  </w:r>
                  <w:r>
                    <w:rPr>
                      <w:rFonts w:hint="default" w:ascii="Times New Roman" w:hAnsi="Times New Roman" w:eastAsia="宋体" w:cs="Times New Roman"/>
                      <w:color w:val="auto"/>
                      <w:kern w:val="0"/>
                      <w:sz w:val="21"/>
                      <w:szCs w:val="21"/>
                      <w:highlight w:val="none"/>
                    </w:rPr>
                    <w:t>（德环〔202</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号），本项目位于</w:t>
                  </w:r>
                  <w:r>
                    <w:rPr>
                      <w:rFonts w:hint="default" w:ascii="Times New Roman" w:hAnsi="Times New Roman" w:eastAsia="宋体" w:cs="Times New Roman"/>
                      <w:color w:val="auto"/>
                      <w:sz w:val="21"/>
                      <w:szCs w:val="21"/>
                      <w:highlight w:val="none"/>
                    </w:rPr>
                    <w:t>湖州市德清县</w:t>
                  </w:r>
                  <w:r>
                    <w:rPr>
                      <w:rFonts w:hint="default" w:ascii="Times New Roman" w:hAnsi="Times New Roman" w:eastAsia="宋体" w:cs="Times New Roman"/>
                      <w:color w:val="auto"/>
                      <w:sz w:val="21"/>
                      <w:szCs w:val="21"/>
                      <w:highlight w:val="none"/>
                      <w:lang w:val="en-US" w:eastAsia="zh-CN"/>
                    </w:rPr>
                    <w:t>高新技术开发区产业集聚重点管控单元（ZH33052120006）</w:t>
                  </w:r>
                  <w:r>
                    <w:rPr>
                      <w:rFonts w:hint="eastAsia" w:ascii="Times New Roman" w:hAnsi="Times New Roman" w:eastAsia="宋体" w:cs="Times New Roman"/>
                      <w:color w:val="auto"/>
                      <w:sz w:val="21"/>
                      <w:szCs w:val="21"/>
                      <w:highlight w:val="none"/>
                      <w:lang w:eastAsia="zh-CN"/>
                    </w:rPr>
                    <w:t>，</w:t>
                  </w:r>
                </w:p>
                <w:p w14:paraId="5B61CC0A">
                  <w:pPr>
                    <w:jc w:val="center"/>
                    <w:rPr>
                      <w:rFonts w:hint="default" w:ascii="Times New Roman" w:hAnsi="Times New Roman" w:eastAsia="宋体" w:cs="Times New Roman"/>
                      <w:color w:val="FF0000"/>
                      <w:kern w:val="0"/>
                      <w:sz w:val="21"/>
                      <w:szCs w:val="21"/>
                      <w:highlight w:val="none"/>
                    </w:rPr>
                  </w:pPr>
                  <w:r>
                    <w:rPr>
                      <w:rFonts w:hint="default" w:ascii="Times New Roman" w:hAnsi="Times New Roman" w:eastAsia="宋体" w:cs="Times New Roman"/>
                      <w:color w:val="auto"/>
                      <w:kern w:val="0"/>
                      <w:sz w:val="21"/>
                      <w:szCs w:val="21"/>
                      <w:highlight w:val="none"/>
                    </w:rPr>
                    <w:t>项目</w:t>
                  </w:r>
                  <w:r>
                    <w:rPr>
                      <w:rFonts w:hint="default" w:ascii="Times New Roman" w:hAnsi="Times New Roman" w:eastAsia="宋体" w:cs="Times New Roman"/>
                      <w:snapToGrid w:val="0"/>
                      <w:color w:val="auto"/>
                      <w:kern w:val="0"/>
                      <w:sz w:val="21"/>
                      <w:szCs w:val="21"/>
                      <w:highlight w:val="none"/>
                    </w:rPr>
                    <w:t>已通过</w:t>
                  </w:r>
                  <w:r>
                    <w:rPr>
                      <w:rFonts w:hint="default" w:ascii="Times New Roman" w:hAnsi="Times New Roman" w:eastAsia="宋体" w:cs="Times New Roman"/>
                      <w:color w:val="auto"/>
                      <w:sz w:val="21"/>
                      <w:szCs w:val="21"/>
                      <w:highlight w:val="none"/>
                    </w:rPr>
                    <w:t>备案</w:t>
                  </w:r>
                  <w:r>
                    <w:rPr>
                      <w:rFonts w:hint="default" w:ascii="Times New Roman" w:hAnsi="Times New Roman" w:eastAsia="宋体" w:cs="Times New Roman"/>
                      <w:color w:val="auto"/>
                      <w:kern w:val="0"/>
                      <w:sz w:val="21"/>
                      <w:szCs w:val="21"/>
                      <w:highlight w:val="none"/>
                    </w:rPr>
                    <w:t>。</w:t>
                  </w:r>
                </w:p>
              </w:tc>
              <w:tc>
                <w:tcPr>
                  <w:tcW w:w="1124" w:type="dxa"/>
                  <w:tcBorders>
                    <w:tl2br w:val="nil"/>
                    <w:tr2bl w:val="nil"/>
                  </w:tcBorders>
                  <w:noWrap w:val="0"/>
                  <w:vAlign w:val="center"/>
                </w:tcPr>
                <w:p w14:paraId="640A3C09">
                  <w:pPr>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符合</w:t>
                  </w:r>
                </w:p>
              </w:tc>
            </w:tr>
            <w:tr w14:paraId="1973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tcBorders>
                    <w:tl2br w:val="nil"/>
                    <w:tr2bl w:val="nil"/>
                  </w:tcBorders>
                  <w:noWrap w:val="0"/>
                  <w:vAlign w:val="center"/>
                </w:tcPr>
                <w:p w14:paraId="4205E2F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w:t>
                  </w:r>
                </w:p>
                <w:p w14:paraId="1756CEE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w:t>
                  </w:r>
                </w:p>
                <w:p w14:paraId="7C3BE24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底线</w:t>
                  </w:r>
                </w:p>
                <w:p w14:paraId="0686938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清单</w:t>
                  </w:r>
                </w:p>
              </w:tc>
              <w:tc>
                <w:tcPr>
                  <w:tcW w:w="3736" w:type="dxa"/>
                  <w:tcBorders>
                    <w:tl2br w:val="nil"/>
                    <w:tr2bl w:val="nil"/>
                  </w:tcBorders>
                  <w:noWrap w:val="0"/>
                  <w:vAlign w:val="center"/>
                </w:tcPr>
                <w:p w14:paraId="205BAF1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规划区域内阜溪、余英溪、龙溪水体水质目标为Ⅲ类，大气环境质量目标为二级，规划土壤环境质量目标为三级。</w:t>
                  </w:r>
                  <w:r>
                    <w:rPr>
                      <w:rFonts w:hint="default" w:ascii="Times New Roman" w:hAnsi="Times New Roman" w:eastAsia="宋体" w:cs="Times New Roman"/>
                      <w:color w:val="auto"/>
                      <w:kern w:val="0"/>
                      <w:sz w:val="21"/>
                      <w:szCs w:val="21"/>
                      <w:highlight w:val="none"/>
                    </w:rPr>
                    <w:t>规划区废水污染物总量控制建议值为：近期COD 291t/a、氨氮46t/a；远期采取措施后COD 211t/a、氨氮11t/a。规划区废气污染物总量控制建议值为：近期SO</w:t>
                  </w:r>
                  <w:r>
                    <w:rPr>
                      <w:rFonts w:hint="default" w:ascii="Times New Roman" w:hAnsi="Times New Roman" w:eastAsia="宋体" w:cs="Times New Roman"/>
                      <w:color w:val="auto"/>
                      <w:kern w:val="0"/>
                      <w:sz w:val="21"/>
                      <w:szCs w:val="21"/>
                      <w:highlight w:val="none"/>
                      <w:vertAlign w:val="subscript"/>
                    </w:rPr>
                    <w:t>2</w:t>
                  </w:r>
                  <w:r>
                    <w:rPr>
                      <w:rFonts w:hint="default" w:ascii="Times New Roman" w:hAnsi="Times New Roman" w:eastAsia="宋体" w:cs="Times New Roman"/>
                      <w:color w:val="auto"/>
                      <w:kern w:val="0"/>
                      <w:sz w:val="21"/>
                      <w:szCs w:val="21"/>
                      <w:highlight w:val="none"/>
                    </w:rPr>
                    <w:t>60t/a、NO</w:t>
                  </w:r>
                  <w:r>
                    <w:rPr>
                      <w:rFonts w:hint="default" w:ascii="Times New Roman" w:hAnsi="Times New Roman" w:eastAsia="宋体" w:cs="Times New Roman"/>
                      <w:color w:val="auto"/>
                      <w:kern w:val="0"/>
                      <w:sz w:val="21"/>
                      <w:szCs w:val="21"/>
                      <w:highlight w:val="none"/>
                      <w:vertAlign w:val="subscript"/>
                    </w:rPr>
                    <w:t xml:space="preserve">X </w:t>
                  </w:r>
                  <w:r>
                    <w:rPr>
                      <w:rFonts w:hint="default" w:ascii="Times New Roman" w:hAnsi="Times New Roman" w:eastAsia="宋体" w:cs="Times New Roman"/>
                      <w:color w:val="auto"/>
                      <w:kern w:val="0"/>
                      <w:sz w:val="21"/>
                      <w:szCs w:val="21"/>
                      <w:highlight w:val="none"/>
                    </w:rPr>
                    <w:t>692.3t/a、烟粉尘61.4t/a、VOCs217.7t/a；远期SO</w:t>
                  </w:r>
                  <w:r>
                    <w:rPr>
                      <w:rFonts w:hint="default" w:ascii="Times New Roman" w:hAnsi="Times New Roman" w:eastAsia="宋体" w:cs="Times New Roman"/>
                      <w:color w:val="auto"/>
                      <w:kern w:val="0"/>
                      <w:sz w:val="21"/>
                      <w:szCs w:val="21"/>
                      <w:highlight w:val="none"/>
                      <w:vertAlign w:val="subscript"/>
                    </w:rPr>
                    <w:t>2</w:t>
                  </w:r>
                  <w:r>
                    <w:rPr>
                      <w:rFonts w:hint="default" w:ascii="Times New Roman" w:hAnsi="Times New Roman" w:eastAsia="宋体" w:cs="Times New Roman"/>
                      <w:color w:val="auto"/>
                      <w:kern w:val="0"/>
                      <w:sz w:val="21"/>
                      <w:szCs w:val="21"/>
                      <w:highlight w:val="none"/>
                    </w:rPr>
                    <w:t>87.5t/a、NO</w:t>
                  </w:r>
                  <w:r>
                    <w:rPr>
                      <w:rFonts w:hint="default" w:ascii="Times New Roman" w:hAnsi="Times New Roman" w:eastAsia="宋体" w:cs="Times New Roman"/>
                      <w:color w:val="auto"/>
                      <w:kern w:val="0"/>
                      <w:sz w:val="21"/>
                      <w:szCs w:val="21"/>
                      <w:highlight w:val="none"/>
                      <w:vertAlign w:val="subscript"/>
                    </w:rPr>
                    <w:t>X</w:t>
                  </w:r>
                  <w:r>
                    <w:rPr>
                      <w:rFonts w:hint="default" w:ascii="Times New Roman" w:hAnsi="Times New Roman" w:eastAsia="宋体" w:cs="Times New Roman"/>
                      <w:color w:val="auto"/>
                      <w:kern w:val="0"/>
                      <w:sz w:val="21"/>
                      <w:szCs w:val="21"/>
                      <w:highlight w:val="none"/>
                    </w:rPr>
                    <w:t>753.8t/a、烟粉尘63.4t/a、VOCs237.5t/a。高新区应实行总量和效率双控制，以资源环境利用效率为先，在满足德清县总量控制指标和规划区环境质量底线目标的前提下，鼓励资源环境利用效率高、清洁生产水平高、工艺技术先进的高新产业，高新区总量指标可在全县范围内实行动态平衡。</w:t>
                  </w:r>
                </w:p>
              </w:tc>
              <w:tc>
                <w:tcPr>
                  <w:tcW w:w="2516" w:type="dxa"/>
                  <w:tcBorders>
                    <w:tl2br w:val="nil"/>
                    <w:tr2bl w:val="nil"/>
                  </w:tcBorders>
                  <w:noWrap w:val="0"/>
                  <w:vAlign w:val="center"/>
                </w:tcPr>
                <w:p w14:paraId="0707F8F9">
                  <w:pPr>
                    <w:jc w:val="both"/>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本项目COD</w:t>
                  </w:r>
                  <w:r>
                    <w:rPr>
                      <w:rFonts w:hint="default" w:ascii="Times New Roman" w:hAnsi="Times New Roman" w:eastAsia="宋体" w:cs="Times New Roman"/>
                      <w:color w:val="auto"/>
                      <w:sz w:val="21"/>
                      <w:szCs w:val="21"/>
                      <w:highlight w:val="none"/>
                      <w:vertAlign w:val="subscript"/>
                    </w:rPr>
                    <w:t>Cr</w:t>
                  </w:r>
                  <w:r>
                    <w:rPr>
                      <w:rFonts w:hint="default" w:ascii="Times New Roman" w:hAnsi="Times New Roman" w:eastAsia="宋体" w:cs="Times New Roman"/>
                      <w:color w:val="auto"/>
                      <w:sz w:val="21"/>
                      <w:szCs w:val="21"/>
                      <w:highlight w:val="none"/>
                    </w:rPr>
                    <w:t>、NH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w:t>
                  </w:r>
                  <w:r>
                    <w:rPr>
                      <w:rFonts w:hint="eastAsia" w:ascii="Times New Roman" w:hAnsi="Times New Roman" w:eastAsia="宋体" w:cs="Times New Roman"/>
                      <w:color w:val="auto"/>
                      <w:sz w:val="21"/>
                      <w:szCs w:val="21"/>
                      <w:highlight w:val="none"/>
                      <w:lang w:val="en-US" w:eastAsia="zh-CN"/>
                    </w:rPr>
                    <w:t>无需</w:t>
                  </w:r>
                  <w:r>
                    <w:rPr>
                      <w:rFonts w:hint="default" w:ascii="Times New Roman" w:hAnsi="Times New Roman" w:eastAsia="宋体" w:cs="Times New Roman"/>
                      <w:color w:val="auto"/>
                      <w:sz w:val="21"/>
                      <w:szCs w:val="21"/>
                      <w:highlight w:val="none"/>
                    </w:rPr>
                    <w:t>进行替代</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挥发性有机物</w:t>
                  </w:r>
                  <w:r>
                    <w:rPr>
                      <w:rFonts w:hint="default" w:ascii="Times New Roman" w:hAnsi="Times New Roman" w:eastAsia="宋体" w:cs="Times New Roman"/>
                      <w:color w:val="auto"/>
                      <w:sz w:val="21"/>
                      <w:szCs w:val="21"/>
                      <w:highlight w:val="none"/>
                    </w:rPr>
                    <w:t>替代比例为1:2，削减替代量为</w:t>
                  </w:r>
                  <w:r>
                    <w:rPr>
                      <w:rFonts w:hint="eastAsia" w:ascii="Times New Roman" w:hAnsi="Times New Roman" w:eastAsia="宋体" w:cs="Times New Roman"/>
                      <w:color w:val="auto"/>
                      <w:sz w:val="21"/>
                      <w:szCs w:val="21"/>
                      <w:highlight w:val="none"/>
                      <w:lang w:val="en-US" w:eastAsia="zh-CN"/>
                    </w:rPr>
                    <w:t>0.11</w:t>
                  </w:r>
                  <w:r>
                    <w:rPr>
                      <w:rFonts w:hint="default" w:ascii="Times New Roman" w:hAnsi="Times New Roman" w:eastAsia="宋体" w:cs="Times New Roman"/>
                      <w:color w:val="auto"/>
                      <w:sz w:val="21"/>
                      <w:szCs w:val="21"/>
                      <w:highlight w:val="none"/>
                    </w:rPr>
                    <w:t>t/a</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满足德清县总量控制指标和规划区环境质量底线目标。</w:t>
                  </w:r>
                </w:p>
              </w:tc>
              <w:tc>
                <w:tcPr>
                  <w:tcW w:w="1124" w:type="dxa"/>
                  <w:tcBorders>
                    <w:tl2br w:val="nil"/>
                    <w:tr2bl w:val="nil"/>
                  </w:tcBorders>
                  <w:noWrap w:val="0"/>
                  <w:vAlign w:val="center"/>
                </w:tcPr>
                <w:p w14:paraId="2A1EDA66">
                  <w:pPr>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符合</w:t>
                  </w:r>
                </w:p>
              </w:tc>
            </w:tr>
            <w:tr w14:paraId="5BAB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tcBorders>
                    <w:tl2br w:val="nil"/>
                    <w:tr2bl w:val="nil"/>
                  </w:tcBorders>
                  <w:noWrap w:val="0"/>
                  <w:vAlign w:val="center"/>
                </w:tcPr>
                <w:p w14:paraId="330EE59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w:t>
                  </w:r>
                </w:p>
                <w:p w14:paraId="057253D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利用</w:t>
                  </w:r>
                </w:p>
                <w:p w14:paraId="2723C5E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上限</w:t>
                  </w:r>
                </w:p>
                <w:p w14:paraId="4A1A905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清单</w:t>
                  </w:r>
                </w:p>
              </w:tc>
              <w:tc>
                <w:tcPr>
                  <w:tcW w:w="3736" w:type="dxa"/>
                  <w:tcBorders>
                    <w:tl2br w:val="nil"/>
                    <w:tr2bl w:val="nil"/>
                  </w:tcBorders>
                  <w:noWrap w:val="0"/>
                  <w:vAlign w:val="center"/>
                </w:tcPr>
                <w:p w14:paraId="2118324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水资源利用上限：用水总量近期2.2万m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/d、远期2.6万m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/d，工业用水量近期1.4万m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/d、远期1.6万m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/d；土地资源利用上限：土地资源总量近期2224.79hm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、远期2224.79hm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，建设用地总量近期2051.07hm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、远期2042.76hm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，工业用地近期9992.64hm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、远期1104.19hm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2516" w:type="dxa"/>
                  <w:tcBorders>
                    <w:tl2br w:val="nil"/>
                    <w:tr2bl w:val="nil"/>
                  </w:tcBorders>
                  <w:noWrap w:val="0"/>
                  <w:vAlign w:val="center"/>
                </w:tcPr>
                <w:p w14:paraId="412BAB45">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本项目通过出让方式取得土地新建厂房组织生产；用水量在资源利用上限范围内。</w:t>
                  </w:r>
                </w:p>
              </w:tc>
              <w:tc>
                <w:tcPr>
                  <w:tcW w:w="1124" w:type="dxa"/>
                  <w:tcBorders>
                    <w:tl2br w:val="nil"/>
                    <w:tr2bl w:val="nil"/>
                  </w:tcBorders>
                  <w:noWrap w:val="0"/>
                  <w:vAlign w:val="center"/>
                </w:tcPr>
                <w:p w14:paraId="6ADEED7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838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tcBorders>
                    <w:tl2br w:val="nil"/>
                    <w:tr2bl w:val="nil"/>
                  </w:tcBorders>
                  <w:noWrap w:val="0"/>
                  <w:vAlign w:val="center"/>
                </w:tcPr>
                <w:p w14:paraId="01E3938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w:t>
                  </w:r>
                </w:p>
                <w:p w14:paraId="0871A98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准入</w:t>
                  </w:r>
                </w:p>
                <w:p w14:paraId="6544FB7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条件</w:t>
                  </w:r>
                </w:p>
                <w:p w14:paraId="0BB886D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清单</w:t>
                  </w:r>
                </w:p>
              </w:tc>
              <w:tc>
                <w:tcPr>
                  <w:tcW w:w="3736" w:type="dxa"/>
                  <w:tcBorders>
                    <w:tl2br w:val="nil"/>
                    <w:tr2bl w:val="nil"/>
                  </w:tcBorders>
                  <w:noWrap w:val="0"/>
                  <w:vAlign w:val="center"/>
                </w:tcPr>
                <w:p w14:paraId="6357CEA6">
                  <w:pPr>
                    <w:pStyle w:val="51"/>
                    <w:ind w:firstLine="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1、限制类产业清单</w:t>
                  </w:r>
                </w:p>
                <w:p w14:paraId="56DC656E">
                  <w:pPr>
                    <w:pStyle w:val="51"/>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类产业主要包括两类，一类是符合规划区产业发展导向，但可能含有环境污染隐患的工序，本次规划环评将其中的重污染行业归类为限制发展产业；另一类是不属于规划期主导产业，但现状有个别企业分布，未来也存在产业引进的可能，且属于污染小、能耗低的一类工业，本次规划环评建议对其限制发展。莫干山高新区限制类产业清单见《湖州莫干山高新技术产业开发区总体规划环境影响报告书》表11.3-8。</w:t>
                  </w:r>
                </w:p>
                <w:p w14:paraId="3E71EFCD">
                  <w:pPr>
                    <w:pStyle w:val="51"/>
                    <w:ind w:firstLine="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2、禁止类产业清单</w:t>
                  </w:r>
                </w:p>
                <w:p w14:paraId="45CF31E9">
                  <w:pPr>
                    <w:pStyle w:val="51"/>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类产业以三类工业和重污染的二类工业为主，另有部分为处于产业链低端、附加值低、无发展前景的行业。对禁止类项目，严禁投资新建；对属于禁止类的现有生产能力，要责令其停产关闭或转型升级。莫干山高新区禁止类产业清单见《湖州莫干山高新技术产业开发区总体规划环境影响报告书》表11.3-9。</w:t>
                  </w:r>
                </w:p>
                <w:p w14:paraId="19AB2A9E">
                  <w:pPr>
                    <w:pStyle w:val="51"/>
                    <w:ind w:firstLine="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3、主导产业环境准入要求</w:t>
                  </w:r>
                </w:p>
                <w:p w14:paraId="5D9AC7D9">
                  <w:pPr>
                    <w:ind w:firstLine="420"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为提高规划环评结论清单的可操作性，针对园区规划重点发展的产业，进一步明确环境准入的重点内容和管控要求。报告根据《产业园区清单式管理试点工作成果框</w:t>
                  </w:r>
                  <w:r>
                    <w:rPr>
                      <w:rFonts w:hint="default" w:ascii="Times New Roman" w:hAnsi="Times New Roman" w:eastAsia="宋体" w:cs="Times New Roman"/>
                      <w:color w:val="auto"/>
                      <w:sz w:val="21"/>
                      <w:szCs w:val="21"/>
                      <w:highlight w:val="none"/>
                    </w:rPr>
                    <w:cr/>
                  </w:r>
                  <w:r>
                    <w:rPr>
                      <w:rFonts w:hint="default" w:ascii="Times New Roman" w:hAnsi="Times New Roman" w:eastAsia="宋体" w:cs="Times New Roman"/>
                      <w:color w:val="auto"/>
                      <w:sz w:val="21"/>
                      <w:szCs w:val="21"/>
                      <w:highlight w:val="none"/>
                    </w:rPr>
                    <w:t>要求》，对主导产业环境准入要求进行归纳汇总，规划产业禁止及限制准入环境负面清单见《湖州莫干山高新技术产业开发区总体规划环境影响报告书》表11.3-10。</w:t>
                  </w:r>
                </w:p>
              </w:tc>
              <w:tc>
                <w:tcPr>
                  <w:tcW w:w="2516" w:type="dxa"/>
                  <w:tcBorders>
                    <w:tl2br w:val="nil"/>
                    <w:tr2bl w:val="nil"/>
                  </w:tcBorders>
                  <w:noWrap w:val="0"/>
                  <w:vAlign w:val="center"/>
                </w:tcPr>
                <w:p w14:paraId="15D37F1C">
                  <w:pPr>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本项目行业类别为</w:t>
                  </w:r>
                  <w:r>
                    <w:rPr>
                      <w:rFonts w:hint="default" w:ascii="Times New Roman" w:hAnsi="Times New Roman" w:eastAsia="宋体" w:cs="Times New Roman"/>
                      <w:color w:val="auto"/>
                      <w:sz w:val="21"/>
                      <w:szCs w:val="21"/>
                      <w:highlight w:val="none"/>
                      <w:lang w:val="en-US" w:eastAsia="zh-CN"/>
                    </w:rPr>
                    <w:t>工业自动控制系统装置制造</w:t>
                  </w:r>
                  <w:r>
                    <w:rPr>
                      <w:rFonts w:hint="default" w:ascii="Times New Roman" w:hAnsi="Times New Roman" w:eastAsia="宋体" w:cs="Times New Roman"/>
                      <w:color w:val="auto"/>
                      <w:sz w:val="21"/>
                      <w:szCs w:val="21"/>
                      <w:highlight w:val="none"/>
                    </w:rPr>
                    <w:t>，未列入《湖州莫干山高新技术产业开发区总体规划环境影响报告书》限制类环境准入负面清单、禁止类环境准入负面清单和主导产业环境准入负面清单。</w:t>
                  </w:r>
                </w:p>
              </w:tc>
              <w:tc>
                <w:tcPr>
                  <w:tcW w:w="1124" w:type="dxa"/>
                  <w:tcBorders>
                    <w:tl2br w:val="nil"/>
                    <w:tr2bl w:val="nil"/>
                  </w:tcBorders>
                  <w:noWrap w:val="0"/>
                  <w:vAlign w:val="center"/>
                </w:tcPr>
                <w:p w14:paraId="3B5E9FC6">
                  <w:pPr>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未列入</w:t>
                  </w:r>
                </w:p>
              </w:tc>
            </w:tr>
            <w:tr w14:paraId="1874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tcBorders>
                    <w:tl2br w:val="nil"/>
                    <w:tr2bl w:val="nil"/>
                  </w:tcBorders>
                  <w:noWrap w:val="0"/>
                  <w:vAlign w:val="center"/>
                </w:tcPr>
                <w:p w14:paraId="6DC64FB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w:t>
                  </w:r>
                </w:p>
                <w:p w14:paraId="573EEF5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审批</w:t>
                  </w:r>
                </w:p>
                <w:p w14:paraId="4DBBC2A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非豁免</w:t>
                  </w:r>
                </w:p>
                <w:p w14:paraId="2D9F2C5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清单</w:t>
                  </w:r>
                </w:p>
              </w:tc>
              <w:tc>
                <w:tcPr>
                  <w:tcW w:w="3736" w:type="dxa"/>
                  <w:tcBorders>
                    <w:tl2br w:val="nil"/>
                    <w:tr2bl w:val="nil"/>
                  </w:tcBorders>
                  <w:noWrap w:val="0"/>
                  <w:vAlign w:val="center"/>
                </w:tcPr>
                <w:p w14:paraId="09AE012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1、核与辐射项目；2、生活垃圾处置项目、危险废物集中利用处置项目；3、存储使用危险化学品或有潜在环境风险的项目；4、表11.3-8 莫干山高新区环境准入负面清单（限制类）中的项目；5、可能引发群体矛盾的建设项目。</w:t>
                  </w:r>
                </w:p>
              </w:tc>
              <w:tc>
                <w:tcPr>
                  <w:tcW w:w="2516" w:type="dxa"/>
                  <w:tcBorders>
                    <w:tl2br w:val="nil"/>
                    <w:tr2bl w:val="nil"/>
                  </w:tcBorders>
                  <w:noWrap w:val="0"/>
                  <w:vAlign w:val="center"/>
                </w:tcPr>
                <w:p w14:paraId="7B11939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eastAsia" w:ascii="Times New Roman" w:hAnsi="Times New Roman" w:eastAsia="宋体" w:cs="Times New Roman"/>
                      <w:color w:val="auto"/>
                      <w:sz w:val="21"/>
                      <w:szCs w:val="21"/>
                      <w:highlight w:val="none"/>
                      <w:lang w:val="en-US" w:eastAsia="zh-CN"/>
                    </w:rPr>
                    <w:t>行业类别为工业自动控制系统装置制造，不涉及使用危化品，不属于负面清单中的项目，不会引起群体矛盾</w:t>
                  </w:r>
                  <w:r>
                    <w:rPr>
                      <w:rFonts w:hint="default" w:ascii="Times New Roman" w:hAnsi="Times New Roman" w:eastAsia="宋体" w:cs="Times New Roman"/>
                      <w:color w:val="auto"/>
                      <w:sz w:val="21"/>
                      <w:szCs w:val="21"/>
                      <w:highlight w:val="none"/>
                    </w:rPr>
                    <w:t>。</w:t>
                  </w:r>
                </w:p>
              </w:tc>
              <w:tc>
                <w:tcPr>
                  <w:tcW w:w="1124" w:type="dxa"/>
                  <w:tcBorders>
                    <w:tl2br w:val="nil"/>
                    <w:tr2bl w:val="nil"/>
                  </w:tcBorders>
                  <w:noWrap w:val="0"/>
                  <w:vAlign w:val="center"/>
                </w:tcPr>
                <w:p w14:paraId="49A7044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属于</w:t>
                  </w:r>
                </w:p>
              </w:tc>
            </w:tr>
          </w:tbl>
          <w:p w14:paraId="75E919D2">
            <w:pPr>
              <w:pStyle w:val="7"/>
              <w:spacing w:line="360" w:lineRule="auto"/>
              <w:ind w:left="0" w:leftChars="0" w:firstLine="480" w:firstLineChars="2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rPr>
              <w:t>对照《建设项目环境影响评价分类管理名录（2021年版）》（生态环境部令第16号），</w:t>
            </w:r>
            <w:r>
              <w:rPr>
                <w:rFonts w:hint="eastAsia" w:ascii="Times New Roman" w:hAnsi="Times New Roman" w:cs="Times New Roman"/>
                <w:color w:val="auto"/>
                <w:sz w:val="24"/>
                <w:szCs w:val="24"/>
                <w:lang w:val="en-US" w:eastAsia="zh-CN"/>
              </w:rPr>
              <w:t>本项目生产工艺不涉及电镀、不采用溶剂型涂料，主要工艺为焊锡、注塑等，应编制环境影响报告表，见表1-4。</w:t>
            </w:r>
          </w:p>
          <w:p w14:paraId="2E4D5FF4">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1</w:t>
            </w:r>
            <w:r>
              <w:rPr>
                <w:rFonts w:hint="default"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4</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建设</w:t>
            </w:r>
            <w:r>
              <w:rPr>
                <w:rFonts w:hint="default" w:ascii="Times New Roman" w:hAnsi="Times New Roman" w:cs="Times New Roman"/>
                <w:b/>
                <w:bCs/>
                <w:color w:val="auto"/>
                <w:szCs w:val="21"/>
              </w:rPr>
              <w:t>项目</w:t>
            </w:r>
            <w:r>
              <w:rPr>
                <w:rFonts w:hint="eastAsia" w:ascii="Times New Roman" w:hAnsi="Times New Roman" w:cs="Times New Roman"/>
                <w:b/>
                <w:bCs/>
                <w:color w:val="auto"/>
                <w:szCs w:val="21"/>
                <w:lang w:val="en-US" w:eastAsia="zh-CN"/>
              </w:rPr>
              <w:t>环境影响评价</w:t>
            </w:r>
            <w:r>
              <w:rPr>
                <w:rFonts w:hint="default" w:ascii="Times New Roman" w:hAnsi="Times New Roman" w:cs="Times New Roman"/>
                <w:b/>
                <w:bCs/>
                <w:color w:val="auto"/>
                <w:szCs w:val="21"/>
              </w:rPr>
              <w:t>分类详情</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238"/>
              <w:gridCol w:w="2703"/>
              <w:gridCol w:w="1005"/>
            </w:tblGrid>
            <w:tr w14:paraId="1B3B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9" w:type="dxa"/>
                  <w:tcBorders>
                    <w:tl2br w:val="single" w:color="auto" w:sz="4" w:space="0"/>
                  </w:tcBorders>
                  <w:noWrap w:val="0"/>
                  <w:vAlign w:val="center"/>
                </w:tcPr>
                <w:p w14:paraId="31FCD9F0">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环评类别</w:t>
                  </w:r>
                </w:p>
                <w:p w14:paraId="77BB2DA3">
                  <w:pPr>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项目类别</w:t>
                  </w:r>
                </w:p>
              </w:tc>
              <w:tc>
                <w:tcPr>
                  <w:tcW w:w="2238" w:type="dxa"/>
                  <w:noWrap w:val="0"/>
                  <w:vAlign w:val="center"/>
                </w:tcPr>
                <w:p w14:paraId="1E7EB5A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报告书</w:t>
                  </w:r>
                </w:p>
              </w:tc>
              <w:tc>
                <w:tcPr>
                  <w:tcW w:w="2703" w:type="dxa"/>
                  <w:noWrap w:val="0"/>
                  <w:vAlign w:val="center"/>
                </w:tcPr>
                <w:p w14:paraId="18668A7C">
                  <w:pPr>
                    <w:jc w:val="center"/>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报告表</w:t>
                  </w:r>
                </w:p>
              </w:tc>
              <w:tc>
                <w:tcPr>
                  <w:tcW w:w="1005" w:type="dxa"/>
                  <w:noWrap w:val="0"/>
                  <w:vAlign w:val="center"/>
                </w:tcPr>
                <w:p w14:paraId="77FDE5C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登记表</w:t>
                  </w:r>
                </w:p>
              </w:tc>
            </w:tr>
            <w:tr w14:paraId="60CE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5" w:type="dxa"/>
                  <w:gridSpan w:val="4"/>
                  <w:noWrap w:val="0"/>
                  <w:vAlign w:val="center"/>
                </w:tcPr>
                <w:p w14:paraId="5C25982B">
                  <w:pPr>
                    <w:jc w:val="left"/>
                    <w:rPr>
                      <w:rFonts w:hint="default" w:ascii="Times New Roman" w:hAnsi="Times New Roman" w:cs="Times New Roman"/>
                      <w:bCs/>
                      <w:color w:val="FF0000"/>
                      <w:sz w:val="21"/>
                      <w:szCs w:val="21"/>
                    </w:rPr>
                  </w:pPr>
                  <w:r>
                    <w:rPr>
                      <w:rFonts w:hint="default" w:ascii="Times New Roman" w:hAnsi="Times New Roman" w:cs="Times New Roman"/>
                      <w:bCs/>
                      <w:color w:val="auto"/>
                      <w:sz w:val="21"/>
                      <w:szCs w:val="21"/>
                    </w:rPr>
                    <w:t>三十七、仪器仪表制造业 40</w:t>
                  </w:r>
                </w:p>
              </w:tc>
            </w:tr>
            <w:tr w14:paraId="2BDC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9" w:type="dxa"/>
                  <w:noWrap w:val="0"/>
                  <w:vAlign w:val="center"/>
                </w:tcPr>
                <w:p w14:paraId="3C1A748C">
                  <w:pPr>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通用仪器仪表制造401；专用仪器仪表制造402；钟表与计时仪器制造 403*；光学仪器制造404；衡器制造405；其他仪器仪表制造业409</w:t>
                  </w:r>
                </w:p>
              </w:tc>
              <w:tc>
                <w:tcPr>
                  <w:tcW w:w="2238" w:type="dxa"/>
                  <w:noWrap w:val="0"/>
                  <w:vAlign w:val="center"/>
                </w:tcPr>
                <w:p w14:paraId="273BC485">
                  <w:pPr>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有电镀工艺的；年用溶剂型涂料（含稀释剂）10吨及以上的</w:t>
                  </w:r>
                </w:p>
              </w:tc>
              <w:tc>
                <w:tcPr>
                  <w:tcW w:w="2703" w:type="dxa"/>
                  <w:noWrap w:val="0"/>
                  <w:vAlign w:val="center"/>
                </w:tcPr>
                <w:p w14:paraId="4F8D61EE">
                  <w:pPr>
                    <w:jc w:val="both"/>
                    <w:rPr>
                      <w:rFonts w:hint="default" w:ascii="Times New Roman" w:hAnsi="Times New Roman" w:cs="Times New Roman"/>
                      <w:b/>
                      <w:bCs/>
                      <w:color w:val="FF0000"/>
                      <w:sz w:val="21"/>
                      <w:szCs w:val="21"/>
                    </w:rPr>
                  </w:pPr>
                  <w:r>
                    <w:rPr>
                      <w:rFonts w:hint="default" w:ascii="Times New Roman" w:hAnsi="Times New Roman" w:cs="Times New Roman"/>
                      <w:b/>
                      <w:bCs/>
                      <w:color w:val="auto"/>
                      <w:sz w:val="21"/>
                      <w:szCs w:val="21"/>
                    </w:rPr>
                    <w:t>其他（仅分割、焊接、组装的除外；年用非溶剂型低VOCs含量涂料10吨以下的除外）</w:t>
                  </w:r>
                </w:p>
              </w:tc>
              <w:tc>
                <w:tcPr>
                  <w:tcW w:w="1005" w:type="dxa"/>
                  <w:noWrap w:val="0"/>
                  <w:vAlign w:val="center"/>
                </w:tcPr>
                <w:p w14:paraId="1DEB8E59">
                  <w:pPr>
                    <w:jc w:val="center"/>
                    <w:rPr>
                      <w:rFonts w:hint="eastAsia" w:ascii="Times New Roman" w:hAnsi="Times New Roman" w:cs="Times New Roman" w:eastAsiaTheme="minorEastAsia"/>
                      <w:color w:val="FF0000"/>
                      <w:sz w:val="21"/>
                      <w:szCs w:val="21"/>
                      <w:lang w:val="en-US" w:eastAsia="zh-CN"/>
                    </w:rPr>
                  </w:pPr>
                  <w:r>
                    <w:rPr>
                      <w:rFonts w:hint="eastAsia" w:ascii="Times New Roman" w:hAnsi="Times New Roman" w:cs="Times New Roman"/>
                      <w:color w:val="auto"/>
                      <w:sz w:val="21"/>
                      <w:szCs w:val="21"/>
                      <w:lang w:val="en-US" w:eastAsia="zh-CN"/>
                    </w:rPr>
                    <w:t>/</w:t>
                  </w:r>
                </w:p>
              </w:tc>
            </w:tr>
          </w:tbl>
          <w:p w14:paraId="25155AAB">
            <w:pPr>
              <w:widowControl/>
              <w:wordWrap w:val="0"/>
              <w:spacing w:line="500" w:lineRule="exact"/>
              <w:ind w:firstLine="480" w:firstLineChars="200"/>
              <w:jc w:val="left"/>
              <w:rPr>
                <w:rFonts w:hint="default" w:ascii="Times New Roman" w:hAnsi="Times New Roman" w:cs="Times New Roman"/>
                <w:color w:val="FF0000"/>
                <w:sz w:val="24"/>
                <w:szCs w:val="24"/>
              </w:rPr>
            </w:pPr>
            <w:r>
              <w:rPr>
                <w:rFonts w:hint="eastAsia"/>
                <w:color w:val="000000" w:themeColor="text1"/>
                <w:sz w:val="24"/>
                <w:szCs w:val="24"/>
                <w14:textFill>
                  <w14:solidFill>
                    <w14:schemeClr w14:val="tx1"/>
                  </w14:solidFill>
                </w14:textFill>
              </w:rPr>
              <w:t>根据上述改革实施方案及规划环评结论清单，选址于湖州莫干山高新技术开发区内且不属于环评审批非豁免清单及管理改革负面清单的建设项目环评类型可以降级</w:t>
            </w:r>
            <w:r>
              <w:rPr>
                <w:rFonts w:hint="eastAsia"/>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本项目满足降级条件，</w:t>
            </w:r>
            <w:r>
              <w:rPr>
                <w:rFonts w:hint="eastAsia" w:ascii="Times New Roman" w:hAnsi="Times New Roman" w:cs="Times New Roman"/>
                <w:color w:val="000000" w:themeColor="text1"/>
                <w:sz w:val="24"/>
                <w:lang w:val="en-US" w:eastAsia="zh-CN"/>
                <w14:textFill>
                  <w14:solidFill>
                    <w14:schemeClr w14:val="tx1"/>
                  </w14:solidFill>
                </w14:textFill>
              </w:rPr>
              <w:t>因此</w:t>
            </w:r>
            <w:r>
              <w:rPr>
                <w:rFonts w:hint="default" w:ascii="Times New Roman" w:hAnsi="Times New Roman" w:cs="Times New Roman"/>
                <w:color w:val="000000" w:themeColor="text1"/>
                <w:sz w:val="24"/>
                <w14:textFill>
                  <w14:solidFill>
                    <w14:schemeClr w14:val="tx1"/>
                  </w14:solidFill>
                </w14:textFill>
              </w:rPr>
              <w:t>环评文件类型可以降级为环境影响登记表。</w:t>
            </w:r>
          </w:p>
          <w:p w14:paraId="5201D464">
            <w:pPr>
              <w:widowControl/>
              <w:wordWrap w:val="0"/>
              <w:spacing w:line="500" w:lineRule="exact"/>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定污染源排污许可分类管理名录（2019年版）》中规定，根据排放污染物的企业事业单位和其他生产经营者污染物产生量、排放量、对环境的影响程度等因素，实行排污许可重点管理、简化管理和登记管理。根据“名录”第四条规定，建设单位应当在启动生产设施或者发生实际排污之前申请取得排污许可证。</w:t>
            </w:r>
          </w:p>
          <w:p w14:paraId="27DDD258">
            <w:pPr>
              <w:widowControl/>
              <w:wordWrap w:val="0"/>
              <w:spacing w:line="500" w:lineRule="exact"/>
              <w:ind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根据《2020年纳入排污许可管理的行业和管理类别表》，管理类别</w:t>
            </w:r>
            <w:r>
              <w:rPr>
                <w:rFonts w:hint="eastAsia" w:ascii="Times New Roman" w:hAnsi="Times New Roman" w:cs="Times New Roman"/>
                <w:color w:val="auto"/>
                <w:sz w:val="24"/>
                <w:szCs w:val="24"/>
                <w:lang w:val="en-US" w:eastAsia="zh-CN"/>
              </w:rPr>
              <w:t>划分如下。</w:t>
            </w:r>
          </w:p>
          <w:p w14:paraId="74984987">
            <w:pPr>
              <w:adjustRightInd w:val="0"/>
              <w:snapToGrid w:val="0"/>
              <w:spacing w:line="240" w:lineRule="auto"/>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1</w:t>
            </w:r>
            <w:r>
              <w:rPr>
                <w:rFonts w:hint="default" w:ascii="Times New Roman" w:hAnsi="Times New Roman" w:eastAsia="宋体" w:cs="Times New Roman"/>
                <w:b/>
                <w:color w:val="auto"/>
                <w:sz w:val="21"/>
                <w:szCs w:val="21"/>
              </w:rPr>
              <w:t>-</w:t>
            </w:r>
            <w:r>
              <w:rPr>
                <w:rFonts w:hint="eastAsia" w:ascii="Times New Roman" w:hAnsi="Times New Roman" w:eastAsia="宋体" w:cs="Times New Roman"/>
                <w:b/>
                <w:color w:val="auto"/>
                <w:sz w:val="21"/>
                <w:szCs w:val="21"/>
                <w:lang w:val="en-US" w:eastAsia="zh-CN"/>
              </w:rPr>
              <w:t>5</w:t>
            </w:r>
            <w:r>
              <w:rPr>
                <w:rFonts w:hint="default" w:ascii="Times New Roman" w:hAnsi="Times New Roman" w:eastAsia="宋体" w:cs="Times New Roman"/>
                <w:b/>
                <w:color w:val="auto"/>
                <w:sz w:val="21"/>
                <w:szCs w:val="21"/>
              </w:rPr>
              <w:t xml:space="preserve">  </w:t>
            </w:r>
            <w:r>
              <w:rPr>
                <w:rFonts w:hint="eastAsia" w:ascii="Times New Roman" w:hAnsi="Times New Roman" w:eastAsia="宋体" w:cs="Times New Roman"/>
                <w:b/>
                <w:color w:val="auto"/>
                <w:sz w:val="21"/>
                <w:szCs w:val="21"/>
                <w:lang w:val="en-US" w:eastAsia="zh-CN"/>
              </w:rPr>
              <w:t>管理类别划分</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159"/>
              <w:gridCol w:w="2556"/>
              <w:gridCol w:w="2035"/>
              <w:gridCol w:w="1144"/>
            </w:tblGrid>
            <w:tr w14:paraId="5FA9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0" w:type="dxa"/>
                  <w:noWrap w:val="0"/>
                  <w:vAlign w:val="center"/>
                </w:tcPr>
                <w:p w14:paraId="38E60625">
                  <w:pPr>
                    <w:spacing w:line="240" w:lineRule="auto"/>
                    <w:jc w:val="center"/>
                    <w:rPr>
                      <w:rFonts w:hint="eastAsia"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序号</w:t>
                  </w:r>
                </w:p>
              </w:tc>
              <w:tc>
                <w:tcPr>
                  <w:tcW w:w="2159" w:type="dxa"/>
                  <w:noWrap w:val="0"/>
                  <w:vAlign w:val="center"/>
                </w:tcPr>
                <w:p w14:paraId="4F7D9EC8">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行业类别</w:t>
                  </w:r>
                </w:p>
              </w:tc>
              <w:tc>
                <w:tcPr>
                  <w:tcW w:w="2556" w:type="dxa"/>
                  <w:noWrap w:val="0"/>
                  <w:vAlign w:val="center"/>
                </w:tcPr>
                <w:p w14:paraId="65379699">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重点管理</w:t>
                  </w:r>
                </w:p>
              </w:tc>
              <w:tc>
                <w:tcPr>
                  <w:tcW w:w="2035" w:type="dxa"/>
                  <w:noWrap w:val="0"/>
                  <w:vAlign w:val="center"/>
                </w:tcPr>
                <w:p w14:paraId="3E064AAE">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简化管理</w:t>
                  </w:r>
                </w:p>
              </w:tc>
              <w:tc>
                <w:tcPr>
                  <w:tcW w:w="1144" w:type="dxa"/>
                  <w:noWrap w:val="0"/>
                  <w:vAlign w:val="center"/>
                </w:tcPr>
                <w:p w14:paraId="6B62CD78">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登记管理</w:t>
                  </w:r>
                </w:p>
              </w:tc>
            </w:tr>
            <w:tr w14:paraId="5DDE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0" w:type="dxa"/>
                  <w:noWrap w:val="0"/>
                  <w:vAlign w:val="center"/>
                </w:tcPr>
                <w:p w14:paraId="4456163B">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74</w:t>
                  </w:r>
                </w:p>
              </w:tc>
              <w:tc>
                <w:tcPr>
                  <w:tcW w:w="2159" w:type="dxa"/>
                  <w:noWrap w:val="0"/>
                  <w:vAlign w:val="center"/>
                </w:tcPr>
                <w:p w14:paraId="76775771">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通用仪器仪表制造401，专用仪器仪表制造402，钟表与计时仪器制造403，光学仪器制造404，衡器制造405，其他仪器仪表制造业409</w:t>
                  </w:r>
                </w:p>
              </w:tc>
              <w:tc>
                <w:tcPr>
                  <w:tcW w:w="2556" w:type="dxa"/>
                  <w:noWrap w:val="0"/>
                  <w:vAlign w:val="center"/>
                </w:tcPr>
                <w:p w14:paraId="75A14D16">
                  <w:pPr>
                    <w:adjustRightInd w:val="0"/>
                    <w:snapToGrid w:val="0"/>
                    <w:jc w:val="left"/>
                    <w:rPr>
                      <w:rFonts w:hint="default" w:ascii="Times New Roman" w:hAnsi="Times New Roman" w:eastAsia="宋体" w:cs="Times New Roman"/>
                      <w:color w:val="FF0000"/>
                      <w:sz w:val="21"/>
                      <w:szCs w:val="21"/>
                    </w:rPr>
                  </w:pPr>
                  <w:r>
                    <w:rPr>
                      <w:rFonts w:ascii="宋体" w:hAnsi="宋体"/>
                      <w:kern w:val="0"/>
                      <w:szCs w:val="21"/>
                    </w:rPr>
                    <w:t>涉及通用工序重点管理的</w:t>
                  </w:r>
                </w:p>
              </w:tc>
              <w:tc>
                <w:tcPr>
                  <w:tcW w:w="2035" w:type="dxa"/>
                  <w:noWrap w:val="0"/>
                  <w:vAlign w:val="center"/>
                </w:tcPr>
                <w:p w14:paraId="19ACE3ED">
                  <w:pPr>
                    <w:adjustRightInd w:val="0"/>
                    <w:snapToGrid w:val="0"/>
                    <w:jc w:val="left"/>
                    <w:rPr>
                      <w:rFonts w:hint="default" w:ascii="Times New Roman" w:hAnsi="Times New Roman" w:eastAsia="宋体" w:cs="Times New Roman"/>
                      <w:color w:val="FF0000"/>
                      <w:sz w:val="21"/>
                      <w:szCs w:val="21"/>
                    </w:rPr>
                  </w:pPr>
                  <w:r>
                    <w:rPr>
                      <w:rFonts w:ascii="宋体" w:hAnsi="宋体"/>
                      <w:kern w:val="0"/>
                      <w:szCs w:val="21"/>
                    </w:rPr>
                    <w:t>涉及通用工序简化管理的</w:t>
                  </w:r>
                </w:p>
              </w:tc>
              <w:tc>
                <w:tcPr>
                  <w:tcW w:w="1144" w:type="dxa"/>
                  <w:noWrap w:val="0"/>
                  <w:vAlign w:val="center"/>
                </w:tcPr>
                <w:p w14:paraId="762C8DCF">
                  <w:pPr>
                    <w:adjustRightInd w:val="0"/>
                    <w:snapToGrid w:val="0"/>
                    <w:jc w:val="center"/>
                    <w:rPr>
                      <w:rFonts w:hint="default" w:ascii="Times New Roman" w:hAnsi="Times New Roman" w:eastAsia="宋体" w:cs="Times New Roman"/>
                      <w:color w:val="FF0000"/>
                      <w:sz w:val="21"/>
                      <w:szCs w:val="21"/>
                    </w:rPr>
                  </w:pPr>
                  <w:r>
                    <w:rPr>
                      <w:rFonts w:ascii="宋体" w:hAnsi="宋体"/>
                      <w:kern w:val="0"/>
                      <w:szCs w:val="21"/>
                    </w:rPr>
                    <w:t>其他</w:t>
                  </w:r>
                </w:p>
              </w:tc>
            </w:tr>
          </w:tbl>
          <w:p w14:paraId="268EE8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center"/>
              <w:outlineLvl w:val="9"/>
              <w:rPr>
                <w:rFonts w:hint="default"/>
                <w:lang w:val="en-US" w:eastAsia="zh-CN"/>
              </w:rPr>
            </w:pPr>
            <w:r>
              <w:rPr>
                <w:rFonts w:hint="eastAsia" w:ascii="Times New Roman" w:hAnsi="Times New Roman" w:cs="Times New Roman"/>
                <w:color w:val="auto"/>
                <w:sz w:val="24"/>
                <w:szCs w:val="24"/>
                <w:lang w:val="en-US" w:eastAsia="zh-CN"/>
              </w:rPr>
              <w:t>由上表可知，本项目排污证管理类别为登记管理。</w:t>
            </w:r>
          </w:p>
        </w:tc>
      </w:tr>
      <w:tr w14:paraId="406BB334">
        <w:tblPrEx>
          <w:tblCellMar>
            <w:top w:w="0" w:type="dxa"/>
            <w:left w:w="0" w:type="dxa"/>
            <w:bottom w:w="0" w:type="dxa"/>
            <w:right w:w="0" w:type="dxa"/>
          </w:tblCellMar>
        </w:tblPrEx>
        <w:trPr>
          <w:trHeight w:val="0" w:hRule="atLeast"/>
          <w:jc w:val="center"/>
        </w:trPr>
        <w:tc>
          <w:tcPr>
            <w:tcW w:w="9072" w:type="dxa"/>
            <w:gridSpan w:val="5"/>
            <w:tcBorders>
              <w:top w:val="single" w:color="auto" w:sz="8" w:space="0"/>
              <w:left w:val="single" w:color="auto" w:sz="8" w:space="0"/>
              <w:bottom w:val="single" w:color="auto" w:sz="8" w:space="0"/>
              <w:right w:val="single" w:color="auto" w:sz="8" w:space="0"/>
            </w:tcBorders>
            <w:tcMar>
              <w:top w:w="84" w:type="dxa"/>
              <w:left w:w="167" w:type="dxa"/>
              <w:bottom w:w="84" w:type="dxa"/>
              <w:right w:w="167" w:type="dxa"/>
            </w:tcMar>
            <w:vAlign w:val="center"/>
          </w:tcPr>
          <w:p w14:paraId="3CA9AF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1.2其他符合性分析</w:t>
            </w:r>
          </w:p>
          <w:p w14:paraId="6643CD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1.2.1“三线一单”符合性分析</w:t>
            </w:r>
          </w:p>
          <w:p w14:paraId="703CF135">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1</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2.1.</w:t>
            </w:r>
            <w:r>
              <w:rPr>
                <w:rFonts w:hint="default" w:ascii="Times New Roman" w:hAnsi="Times New Roman" w:eastAsia="宋体" w:cs="Times New Roman"/>
                <w:b/>
                <w:bCs w:val="0"/>
                <w:color w:val="auto"/>
                <w:kern w:val="2"/>
                <w:sz w:val="24"/>
                <w:szCs w:val="24"/>
                <w:highlight w:val="none"/>
                <w:lang w:val="en-US" w:eastAsia="zh-CN" w:bidi="ar-SA"/>
              </w:rPr>
              <w:t>1</w:t>
            </w:r>
            <w:r>
              <w:rPr>
                <w:rFonts w:hint="eastAsia" w:ascii="Times New Roman" w:hAnsi="Times New Roman" w:eastAsia="宋体" w:cs="Times New Roman"/>
                <w:b/>
                <w:bCs w:val="0"/>
                <w:color w:val="auto"/>
                <w:kern w:val="2"/>
                <w:sz w:val="24"/>
                <w:szCs w:val="24"/>
                <w:highlight w:val="none"/>
                <w:lang w:val="en-US" w:eastAsia="zh-CN" w:bidi="ar-SA"/>
              </w:rPr>
              <w:t>三区三线</w:t>
            </w:r>
            <w:r>
              <w:rPr>
                <w:rFonts w:hint="eastAsia" w:ascii="Times New Roman" w:hAnsi="Times New Roman" w:eastAsia="宋体" w:cs="Times New Roman"/>
                <w:b/>
                <w:bCs/>
                <w:color w:val="auto"/>
                <w:sz w:val="24"/>
                <w:szCs w:val="24"/>
                <w:highlight w:val="none"/>
                <w:lang w:val="en-US" w:eastAsia="zh-CN"/>
              </w:rPr>
              <w:t>符合性分析</w:t>
            </w:r>
          </w:p>
          <w:p w14:paraId="5B4F2607">
            <w:pPr>
              <w:pStyle w:val="13"/>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《自然资源部办公厅关于浙江等省 (市) 启用“三区三线”划定成果作为报批建设项目用地用海依据的函》 (自然资办函[2022]2080号) 及《自然资源部办公厅关于依据“三区三线”划定成果报批建设项目用地用海有关事宜的函》 (自然资办函[2022]2072号)，三区三线中“三区”是指城镇空间、农业空间、生态空间三种类型的国土空间。“三线”分别对应在城镇空间、农业空间、生态空间划定的城镇开发边界、永久基本农田、生态保护红线三条控制线。</w:t>
            </w:r>
          </w:p>
          <w:p w14:paraId="5E7853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本项目位于德清县阜溪街道新丰北路599号，属于“三区三线”中集中建成区内。</w:t>
            </w:r>
          </w:p>
          <w:p w14:paraId="11908AA6">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1</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2.1.2环境质量底线</w:t>
            </w:r>
            <w:r>
              <w:rPr>
                <w:rFonts w:hint="eastAsia" w:ascii="Times New Roman" w:hAnsi="Times New Roman" w:eastAsia="宋体" w:cs="Times New Roman"/>
                <w:b/>
                <w:bCs/>
                <w:color w:val="auto"/>
                <w:sz w:val="24"/>
                <w:szCs w:val="24"/>
                <w:highlight w:val="none"/>
                <w:lang w:val="en-US" w:eastAsia="zh-CN"/>
              </w:rPr>
              <w:t>符合性分析</w:t>
            </w:r>
          </w:p>
          <w:p w14:paraId="0F5B4E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eastAsia"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w:t>
            </w:r>
            <w:r>
              <w:rPr>
                <w:rStyle w:val="27"/>
                <w:rFonts w:hint="default" w:ascii="Times New Roman" w:hAnsi="Times New Roman" w:eastAsia="宋体" w:cs="Times New Roman"/>
                <w:b w:val="0"/>
                <w:bCs/>
                <w:color w:val="auto"/>
                <w:sz w:val="24"/>
                <w:szCs w:val="24"/>
                <w:highlight w:val="none"/>
              </w:rPr>
              <w:t>《湖州市环境空气质量功能区划》</w:t>
            </w:r>
            <w:r>
              <w:rPr>
                <w:rFonts w:hint="default" w:ascii="Times New Roman" w:hAnsi="Times New Roman" w:eastAsia="宋体" w:cs="Times New Roman"/>
                <w:b w:val="0"/>
                <w:bCs/>
                <w:color w:val="auto"/>
                <w:kern w:val="2"/>
                <w:sz w:val="24"/>
                <w:szCs w:val="24"/>
                <w:highlight w:val="none"/>
                <w:lang w:val="en-US" w:eastAsia="zh-CN" w:bidi="ar-SA"/>
              </w:rPr>
              <w:t>，评价区域属</w:t>
            </w:r>
            <w:r>
              <w:rPr>
                <w:rFonts w:hint="eastAsia" w:ascii="Times New Roman" w:hAnsi="Times New Roman" w:eastAsia="宋体" w:cs="Times New Roman"/>
                <w:b w:val="0"/>
                <w:bCs/>
                <w:color w:val="auto"/>
                <w:kern w:val="2"/>
                <w:sz w:val="24"/>
                <w:szCs w:val="24"/>
                <w:highlight w:val="none"/>
                <w:lang w:val="en-US" w:eastAsia="zh-CN" w:bidi="ar-SA"/>
              </w:rPr>
              <w:t>于</w:t>
            </w:r>
            <w:r>
              <w:rPr>
                <w:rFonts w:hint="default" w:ascii="Times New Roman" w:hAnsi="Times New Roman" w:eastAsia="宋体" w:cs="Times New Roman"/>
                <w:b w:val="0"/>
                <w:bCs/>
                <w:color w:val="auto"/>
                <w:kern w:val="2"/>
                <w:sz w:val="24"/>
                <w:szCs w:val="24"/>
                <w:highlight w:val="none"/>
                <w:lang w:val="en-US" w:eastAsia="zh-CN" w:bidi="ar-SA"/>
              </w:rPr>
              <w:t>环境空气</w:t>
            </w:r>
            <w:r>
              <w:rPr>
                <w:rFonts w:hint="eastAsia" w:ascii="Times New Roman" w:hAnsi="Times New Roman" w:eastAsia="宋体" w:cs="Times New Roman"/>
                <w:b w:val="0"/>
                <w:bCs/>
                <w:color w:val="auto"/>
                <w:kern w:val="2"/>
                <w:sz w:val="24"/>
                <w:szCs w:val="24"/>
                <w:highlight w:val="none"/>
                <w:lang w:val="en-US" w:eastAsia="zh-CN" w:bidi="ar-SA"/>
              </w:rPr>
              <w:t>质量</w:t>
            </w:r>
            <w:r>
              <w:rPr>
                <w:rFonts w:hint="default" w:ascii="Times New Roman" w:hAnsi="Times New Roman" w:eastAsia="宋体" w:cs="Times New Roman"/>
                <w:b w:val="0"/>
                <w:bCs/>
                <w:color w:val="auto"/>
                <w:kern w:val="2"/>
                <w:sz w:val="24"/>
                <w:szCs w:val="24"/>
                <w:highlight w:val="none"/>
                <w:lang w:val="en-US" w:eastAsia="zh-CN" w:bidi="ar-SA"/>
              </w:rPr>
              <w:t>二类功能区。项目选址区域</w:t>
            </w:r>
            <w:r>
              <w:rPr>
                <w:rFonts w:hint="eastAsia" w:ascii="Times New Roman" w:hAnsi="Times New Roman" w:eastAsia="宋体" w:cs="Times New Roman"/>
                <w:b w:val="0"/>
                <w:bCs/>
                <w:color w:val="auto"/>
                <w:kern w:val="2"/>
                <w:sz w:val="24"/>
                <w:szCs w:val="24"/>
                <w:highlight w:val="none"/>
                <w:lang w:val="en-US" w:eastAsia="zh-CN" w:bidi="ar-SA"/>
              </w:rPr>
              <w:t>2023年</w:t>
            </w:r>
            <w:r>
              <w:rPr>
                <w:rFonts w:hint="default" w:ascii="Times New Roman" w:hAnsi="Times New Roman" w:cs="Times New Roman"/>
                <w:color w:val="auto"/>
                <w:sz w:val="24"/>
                <w:szCs w:val="22"/>
                <w:highlight w:val="none"/>
                <w:lang w:val="en-US" w:eastAsia="zh-CN"/>
              </w:rPr>
              <w:t>环境空气质量</w:t>
            </w:r>
            <w:r>
              <w:rPr>
                <w:rFonts w:hint="eastAsia" w:ascii="Times New Roman" w:hAnsi="Times New Roman" w:cs="Times New Roman"/>
                <w:color w:val="auto"/>
                <w:sz w:val="24"/>
                <w:szCs w:val="22"/>
                <w:highlight w:val="none"/>
                <w:lang w:val="en-US" w:eastAsia="zh-CN"/>
              </w:rPr>
              <w:t>未</w:t>
            </w:r>
            <w:r>
              <w:rPr>
                <w:rFonts w:hint="default" w:ascii="Times New Roman" w:hAnsi="Times New Roman" w:cs="Times New Roman"/>
                <w:color w:val="auto"/>
                <w:sz w:val="24"/>
                <w:szCs w:val="22"/>
                <w:highlight w:val="none"/>
              </w:rPr>
              <w:t>达到《环境空气质量标准》</w:t>
            </w:r>
            <w:r>
              <w:rPr>
                <w:rFonts w:hint="eastAsia" w:ascii="Times New Roman" w:hAnsi="Times New Roman" w:cs="Times New Roman"/>
                <w:color w:val="auto"/>
                <w:sz w:val="24"/>
                <w:szCs w:val="22"/>
                <w:highlight w:val="none"/>
                <w:lang w:eastAsia="zh-CN"/>
              </w:rPr>
              <w:t>（</w:t>
            </w:r>
            <w:r>
              <w:rPr>
                <w:rFonts w:hint="default" w:ascii="Times New Roman" w:hAnsi="Times New Roman" w:cs="Times New Roman"/>
                <w:color w:val="auto"/>
                <w:sz w:val="24"/>
                <w:szCs w:val="22"/>
                <w:highlight w:val="none"/>
              </w:rPr>
              <w:t>GB3095-2012</w:t>
            </w:r>
            <w:r>
              <w:rPr>
                <w:rFonts w:hint="eastAsia" w:ascii="Times New Roman" w:hAnsi="Times New Roman" w:cs="Times New Roman"/>
                <w:color w:val="auto"/>
                <w:sz w:val="24"/>
                <w:szCs w:val="22"/>
                <w:highlight w:val="none"/>
                <w:lang w:eastAsia="zh-CN"/>
              </w:rPr>
              <w:t>）</w:t>
            </w:r>
            <w:r>
              <w:rPr>
                <w:rFonts w:hint="default" w:ascii="Times New Roman" w:hAnsi="Times New Roman" w:cs="Times New Roman"/>
                <w:color w:val="auto"/>
                <w:sz w:val="24"/>
                <w:szCs w:val="22"/>
                <w:highlight w:val="none"/>
              </w:rPr>
              <w:t>中的二级标准，</w:t>
            </w:r>
            <w:r>
              <w:rPr>
                <w:rFonts w:hint="eastAsia" w:ascii="Times New Roman" w:hAnsi="Times New Roman" w:cs="Times New Roman"/>
                <w:color w:val="auto"/>
                <w:sz w:val="24"/>
                <w:szCs w:val="22"/>
                <w:highlight w:val="none"/>
                <w:lang w:eastAsia="zh-CN"/>
              </w:rPr>
              <w:t>属于</w:t>
            </w:r>
            <w:r>
              <w:rPr>
                <w:rFonts w:hint="eastAsia" w:ascii="Times New Roman" w:hAnsi="Times New Roman" w:cs="Times New Roman"/>
                <w:color w:val="auto"/>
                <w:sz w:val="24"/>
                <w:szCs w:val="22"/>
                <w:highlight w:val="none"/>
                <w:lang w:val="en-US" w:eastAsia="zh-CN"/>
              </w:rPr>
              <w:t>不</w:t>
            </w:r>
            <w:r>
              <w:rPr>
                <w:rFonts w:hint="eastAsia" w:ascii="Times New Roman" w:hAnsi="Times New Roman" w:eastAsia="宋体" w:cs="Times New Roman"/>
                <w:b w:val="0"/>
                <w:bCs/>
                <w:color w:val="auto"/>
                <w:kern w:val="2"/>
                <w:sz w:val="24"/>
                <w:szCs w:val="24"/>
                <w:highlight w:val="none"/>
                <w:lang w:val="en-US" w:eastAsia="zh-CN" w:bidi="ar-SA"/>
              </w:rPr>
              <w:t>达标区，</w:t>
            </w:r>
            <w:r>
              <w:rPr>
                <w:rFonts w:hint="default" w:ascii="Times New Roman" w:hAnsi="Times New Roman" w:eastAsia="宋体" w:cs="Times New Roman"/>
                <w:color w:val="auto"/>
                <w:sz w:val="24"/>
                <w:szCs w:val="24"/>
                <w:lang w:val="en-US" w:eastAsia="zh-CN"/>
              </w:rPr>
              <w:t>根据《湖州市大气环境质量限期达标规划》中明确的空气质量达标的主要路径</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实现2025年环境空气质量全部达标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 w:val="0"/>
                <w:bCs/>
                <w:color w:val="auto"/>
                <w:kern w:val="2"/>
                <w:sz w:val="24"/>
                <w:szCs w:val="24"/>
                <w:highlight w:val="none"/>
                <w:lang w:val="en-US" w:eastAsia="zh-CN" w:bidi="ar-SA"/>
              </w:rPr>
              <w:t>同时本项目建成后企业废气排放量小，能满足《环境空气质量标准》二级标准的要求</w:t>
            </w:r>
            <w:r>
              <w:rPr>
                <w:rFonts w:hint="eastAsia" w:ascii="Times New Roman" w:hAnsi="Times New Roman" w:eastAsia="宋体" w:cs="Times New Roman"/>
                <w:b w:val="0"/>
                <w:bCs/>
                <w:color w:val="auto"/>
                <w:kern w:val="2"/>
                <w:sz w:val="24"/>
                <w:szCs w:val="24"/>
                <w:highlight w:val="none"/>
                <w:lang w:val="en-US" w:eastAsia="zh-CN" w:bidi="ar-SA"/>
              </w:rPr>
              <w:t>。</w:t>
            </w:r>
          </w:p>
          <w:p w14:paraId="6430EA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eastAsia"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cs="Times New Roman"/>
                <w:color w:val="auto"/>
                <w:sz w:val="24"/>
                <w:szCs w:val="22"/>
                <w:highlight w:val="none"/>
              </w:rPr>
              <w:t>《浙江省水功能区水环境功能区划分方案（2015）》</w:t>
            </w:r>
            <w:r>
              <w:rPr>
                <w:rFonts w:hint="default" w:ascii="Times New Roman" w:hAnsi="Times New Roman" w:eastAsia="宋体" w:cs="Times New Roman"/>
                <w:b w:val="0"/>
                <w:bCs/>
                <w:color w:val="auto"/>
                <w:kern w:val="2"/>
                <w:sz w:val="24"/>
                <w:szCs w:val="24"/>
                <w:highlight w:val="none"/>
                <w:lang w:val="en-US" w:eastAsia="zh-CN" w:bidi="ar-SA"/>
              </w:rPr>
              <w:t>，项目所在区域为</w:t>
            </w:r>
            <w:r>
              <w:rPr>
                <w:rFonts w:hint="eastAsia" w:ascii="宋体" w:hAnsi="宋体" w:eastAsia="宋体" w:cs="宋体"/>
                <w:b w:val="0"/>
                <w:bCs/>
                <w:color w:val="auto"/>
                <w:kern w:val="2"/>
                <w:sz w:val="24"/>
                <w:szCs w:val="24"/>
                <w:highlight w:val="none"/>
                <w:lang w:val="en-US" w:eastAsia="zh-CN" w:bidi="ar-SA"/>
              </w:rPr>
              <w:t>Ⅲ</w:t>
            </w:r>
            <w:r>
              <w:rPr>
                <w:rFonts w:hint="default" w:ascii="Times New Roman" w:hAnsi="Times New Roman" w:eastAsia="宋体" w:cs="Times New Roman"/>
                <w:b w:val="0"/>
                <w:bCs/>
                <w:color w:val="auto"/>
                <w:kern w:val="2"/>
                <w:sz w:val="24"/>
                <w:szCs w:val="24"/>
                <w:highlight w:val="none"/>
                <w:lang w:val="en-US" w:eastAsia="zh-CN" w:bidi="ar-SA"/>
              </w:rPr>
              <w:t>类水质区，本项目</w:t>
            </w:r>
            <w:r>
              <w:rPr>
                <w:rFonts w:hint="eastAsia" w:ascii="Times New Roman" w:hAnsi="Times New Roman" w:eastAsia="宋体" w:cs="Times New Roman"/>
                <w:b w:val="0"/>
                <w:bCs/>
                <w:color w:val="auto"/>
                <w:kern w:val="2"/>
                <w:sz w:val="24"/>
                <w:szCs w:val="24"/>
                <w:highlight w:val="none"/>
                <w:lang w:val="en-US" w:eastAsia="zh-CN" w:bidi="ar-SA"/>
              </w:rPr>
              <w:t>生活污水经预处理后，纳管至</w:t>
            </w:r>
            <w:r>
              <w:rPr>
                <w:rFonts w:hint="eastAsia" w:ascii="Times New Roman" w:hAnsi="Times New Roman"/>
                <w:color w:val="auto"/>
                <w:sz w:val="24"/>
                <w:lang w:val="en-US" w:eastAsia="zh-CN"/>
              </w:rPr>
              <w:t>德清县恒丰污水处理有限公司及湖州碧水源环境科技有限公司</w:t>
            </w:r>
            <w:r>
              <w:rPr>
                <w:rFonts w:hint="default" w:ascii="Times New Roman" w:hAnsi="Times New Roman" w:eastAsia="宋体" w:cs="Times New Roman"/>
                <w:b w:val="0"/>
                <w:bCs/>
                <w:color w:val="auto"/>
                <w:kern w:val="2"/>
                <w:sz w:val="24"/>
                <w:szCs w:val="24"/>
                <w:highlight w:val="none"/>
                <w:lang w:val="en-US" w:eastAsia="zh-CN" w:bidi="ar-SA"/>
              </w:rPr>
              <w:t>处理后排放，不直接排入周边地表水体，项目建成后对周边地表水环境质量基本无影响</w:t>
            </w:r>
            <w:r>
              <w:rPr>
                <w:rFonts w:hint="eastAsia" w:ascii="Times New Roman" w:hAnsi="Times New Roman" w:eastAsia="宋体" w:cs="Times New Roman"/>
                <w:b w:val="0"/>
                <w:bCs/>
                <w:color w:val="auto"/>
                <w:kern w:val="2"/>
                <w:sz w:val="24"/>
                <w:szCs w:val="24"/>
                <w:highlight w:val="none"/>
                <w:lang w:val="en-US" w:eastAsia="zh-CN" w:bidi="ar-SA"/>
              </w:rPr>
              <w:t>。</w:t>
            </w:r>
          </w:p>
          <w:p w14:paraId="66C98D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本项目所在区域</w:t>
            </w:r>
            <w:r>
              <w:rPr>
                <w:rFonts w:hint="eastAsia" w:ascii="Times New Roman" w:hAnsi="Times New Roman" w:eastAsia="宋体" w:cs="Times New Roman"/>
                <w:b w:val="0"/>
                <w:bCs/>
                <w:color w:val="auto"/>
                <w:kern w:val="2"/>
                <w:sz w:val="24"/>
                <w:szCs w:val="24"/>
                <w:highlight w:val="none"/>
                <w:lang w:val="en-US" w:eastAsia="zh-CN" w:bidi="ar-SA"/>
              </w:rPr>
              <w:t>为3类声环境功能区</w:t>
            </w:r>
            <w:r>
              <w:rPr>
                <w:rFonts w:hint="default" w:ascii="Times New Roman" w:hAnsi="Times New Roman" w:eastAsia="宋体" w:cs="Times New Roman"/>
                <w:b w:val="0"/>
                <w:bCs/>
                <w:color w:val="auto"/>
                <w:kern w:val="2"/>
                <w:sz w:val="24"/>
                <w:szCs w:val="24"/>
                <w:highlight w:val="none"/>
                <w:lang w:val="en-US" w:eastAsia="zh-CN" w:bidi="ar-SA"/>
              </w:rPr>
              <w:t>，本项目建成后噪声</w:t>
            </w:r>
            <w:r>
              <w:rPr>
                <w:rFonts w:hint="eastAsia" w:ascii="Times New Roman" w:hAnsi="Times New Roman" w:eastAsia="宋体" w:cs="Times New Roman"/>
                <w:b w:val="0"/>
                <w:bCs/>
                <w:color w:val="auto"/>
                <w:kern w:val="2"/>
                <w:sz w:val="24"/>
                <w:szCs w:val="24"/>
                <w:highlight w:val="none"/>
                <w:lang w:val="en-US" w:eastAsia="zh-CN" w:bidi="ar-SA"/>
              </w:rPr>
              <w:t>贡献值</w:t>
            </w:r>
            <w:r>
              <w:rPr>
                <w:rFonts w:hint="default" w:ascii="Times New Roman" w:hAnsi="Times New Roman" w:eastAsia="宋体" w:cs="Times New Roman"/>
                <w:b w:val="0"/>
                <w:bCs/>
                <w:color w:val="auto"/>
                <w:kern w:val="2"/>
                <w:sz w:val="24"/>
                <w:szCs w:val="24"/>
                <w:highlight w:val="none"/>
                <w:lang w:val="en-US" w:eastAsia="zh-CN" w:bidi="ar-SA"/>
              </w:rPr>
              <w:t>小，</w:t>
            </w:r>
            <w:r>
              <w:rPr>
                <w:rFonts w:hint="eastAsia" w:ascii="Times New Roman" w:hAnsi="Times New Roman" w:eastAsia="宋体" w:cs="Times New Roman"/>
                <w:b w:val="0"/>
                <w:bCs/>
                <w:color w:val="auto"/>
                <w:kern w:val="2"/>
                <w:sz w:val="24"/>
                <w:szCs w:val="24"/>
                <w:highlight w:val="none"/>
                <w:lang w:val="en-US" w:eastAsia="zh-CN" w:bidi="ar-SA"/>
              </w:rPr>
              <w:t>厂界各侧能满足</w:t>
            </w:r>
            <w:r>
              <w:rPr>
                <w:rFonts w:hint="default" w:ascii="Times New Roman" w:hAnsi="Times New Roman" w:eastAsia="宋体" w:cs="Times New Roman"/>
                <w:b w:val="0"/>
                <w:bCs/>
                <w:color w:val="auto"/>
                <w:kern w:val="2"/>
                <w:sz w:val="24"/>
                <w:szCs w:val="24"/>
                <w:highlight w:val="none"/>
                <w:lang w:val="en-US" w:eastAsia="zh-CN" w:bidi="ar-SA"/>
              </w:rPr>
              <w:t>《声环境质量标准》</w:t>
            </w:r>
            <w:r>
              <w:rPr>
                <w:rFonts w:hint="default" w:ascii="Times New Roman" w:hAnsi="Times New Roman" w:eastAsia="宋体" w:cs="Times New Roman"/>
                <w:color w:val="auto"/>
                <w:sz w:val="24"/>
                <w:szCs w:val="24"/>
                <w:highlight w:val="none"/>
                <w:lang w:val="en-US" w:eastAsia="zh-CN"/>
              </w:rPr>
              <w:t>（GB3096-2008）</w:t>
            </w:r>
            <w:r>
              <w:rPr>
                <w:rFonts w:hint="eastAsia" w:ascii="Times New Roman" w:hAnsi="Times New Roman" w:eastAsia="宋体" w:cs="Times New Roman"/>
                <w:color w:val="auto"/>
                <w:sz w:val="24"/>
                <w:szCs w:val="24"/>
                <w:highlight w:val="none"/>
                <w:lang w:val="en-US" w:eastAsia="zh-CN"/>
              </w:rPr>
              <w:t>中的</w:t>
            </w:r>
            <w:r>
              <w:rPr>
                <w:rFonts w:hint="eastAsia" w:ascii="Times New Roman" w:hAnsi="Times New Roman" w:eastAsia="宋体" w:cs="Times New Roman"/>
                <w:b w:val="0"/>
                <w:bCs/>
                <w:color w:val="auto"/>
                <w:kern w:val="2"/>
                <w:sz w:val="24"/>
                <w:szCs w:val="24"/>
                <w:highlight w:val="none"/>
                <w:lang w:val="en-US" w:eastAsia="zh-CN" w:bidi="ar-SA"/>
              </w:rPr>
              <w:t>3</w:t>
            </w:r>
            <w:r>
              <w:rPr>
                <w:rFonts w:hint="default" w:ascii="Times New Roman" w:hAnsi="Times New Roman" w:eastAsia="宋体" w:cs="Times New Roman"/>
                <w:b w:val="0"/>
                <w:bCs/>
                <w:color w:val="auto"/>
                <w:kern w:val="2"/>
                <w:sz w:val="24"/>
                <w:szCs w:val="24"/>
                <w:highlight w:val="none"/>
                <w:lang w:val="en-US" w:eastAsia="zh-CN" w:bidi="ar-SA"/>
              </w:rPr>
              <w:t>类标准要求，本项目建设运营不会改变所在区域的声环境功能，因此项目建设声环境质量符合要求。</w:t>
            </w:r>
          </w:p>
          <w:p w14:paraId="3713051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本项目车间地面做好地面硬化、防渗、防腐处理后，各项污染物均可得到有效治理，正常工况下不存在地下水、土壤污染途径，</w:t>
            </w:r>
            <w:r>
              <w:rPr>
                <w:rFonts w:hint="eastAsia" w:ascii="Times New Roman" w:hAnsi="Times New Roman" w:eastAsia="宋体" w:cs="Times New Roman"/>
                <w:color w:val="auto"/>
                <w:sz w:val="24"/>
                <w:szCs w:val="24"/>
                <w:highlight w:val="none"/>
                <w:lang w:val="en-US" w:eastAsia="zh-CN"/>
              </w:rPr>
              <w:t>对</w:t>
            </w:r>
            <w:r>
              <w:rPr>
                <w:rFonts w:hint="default" w:ascii="Times New Roman" w:hAnsi="Times New Roman" w:eastAsia="宋体" w:cs="Times New Roman"/>
                <w:color w:val="auto"/>
                <w:sz w:val="24"/>
                <w:szCs w:val="24"/>
                <w:highlight w:val="none"/>
                <w:lang w:val="en-US" w:eastAsia="zh-CN"/>
              </w:rPr>
              <w:t>土壤、地下水环境质量现状</w:t>
            </w:r>
            <w:r>
              <w:rPr>
                <w:rFonts w:hint="eastAsia" w:ascii="Times New Roman" w:hAnsi="Times New Roman" w:cs="Times New Roman"/>
                <w:color w:val="auto"/>
                <w:sz w:val="24"/>
                <w:szCs w:val="24"/>
                <w:highlight w:val="none"/>
                <w:lang w:val="en-US" w:eastAsia="zh-CN"/>
              </w:rPr>
              <w:t>无影响。</w:t>
            </w:r>
          </w:p>
          <w:p w14:paraId="67A284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综上，本项目建设符合环境质量底线要求。</w:t>
            </w:r>
          </w:p>
          <w:p w14:paraId="3F519FB1">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1</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2.1.3资源利用上线</w:t>
            </w:r>
            <w:r>
              <w:rPr>
                <w:rFonts w:hint="eastAsia" w:ascii="Times New Roman" w:hAnsi="Times New Roman" w:eastAsia="宋体" w:cs="Times New Roman"/>
                <w:b/>
                <w:bCs/>
                <w:color w:val="auto"/>
                <w:sz w:val="24"/>
                <w:szCs w:val="24"/>
                <w:highlight w:val="none"/>
                <w:lang w:val="en-US" w:eastAsia="zh-CN"/>
              </w:rPr>
              <w:t>符合性分析</w:t>
            </w:r>
          </w:p>
          <w:p w14:paraId="40A9BF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val="0"/>
                <w:bCs/>
                <w:color w:val="FF0000"/>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本项目位于</w:t>
            </w:r>
            <w:r>
              <w:rPr>
                <w:rFonts w:hint="eastAsia" w:ascii="Times New Roman" w:hAnsi="Times New Roman" w:eastAsia="宋体" w:cs="Times New Roman"/>
                <w:color w:val="auto"/>
                <w:kern w:val="0"/>
                <w:sz w:val="24"/>
                <w:szCs w:val="24"/>
                <w:highlight w:val="none"/>
                <w:lang w:val="en-US" w:eastAsia="zh-CN"/>
              </w:rPr>
              <w:t>德清县阜溪街道新丰北路599号</w:t>
            </w:r>
            <w:r>
              <w:rPr>
                <w:rFonts w:hint="eastAsia" w:ascii="Times New Roman" w:hAnsi="Times New Roman" w:eastAsia="宋体" w:cs="Times New Roman"/>
                <w:b w:val="0"/>
                <w:bCs/>
                <w:color w:val="auto"/>
                <w:kern w:val="2"/>
                <w:sz w:val="24"/>
                <w:szCs w:val="24"/>
                <w:highlight w:val="none"/>
                <w:lang w:val="en-US" w:eastAsia="zh-CN" w:bidi="ar-SA"/>
              </w:rPr>
              <w:t>，利用自有国有土地新建厂房组织生产，不占用农田、耕地等土地资源；主要能源需求类型为电、水，用能不大，不触及资源利用上线。</w:t>
            </w:r>
          </w:p>
          <w:p w14:paraId="61CB81C7">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1</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2.1.4</w:t>
            </w:r>
            <w:r>
              <w:rPr>
                <w:rFonts w:hint="default" w:ascii="Times New Roman" w:hAnsi="Times New Roman" w:eastAsia="宋体" w:cs="Times New Roman"/>
                <w:b/>
                <w:bCs w:val="0"/>
                <w:color w:val="auto"/>
                <w:kern w:val="2"/>
                <w:sz w:val="24"/>
                <w:szCs w:val="24"/>
                <w:highlight w:val="none"/>
                <w:lang w:val="en-US" w:eastAsia="zh-CN" w:bidi="ar-SA"/>
              </w:rPr>
              <w:t>生态环境</w:t>
            </w:r>
            <w:r>
              <w:rPr>
                <w:rFonts w:hint="eastAsia" w:ascii="Times New Roman" w:hAnsi="Times New Roman" w:eastAsia="宋体" w:cs="Times New Roman"/>
                <w:b/>
                <w:bCs w:val="0"/>
                <w:color w:val="auto"/>
                <w:kern w:val="2"/>
                <w:sz w:val="24"/>
                <w:szCs w:val="24"/>
                <w:highlight w:val="none"/>
                <w:lang w:val="en-US" w:eastAsia="zh-CN" w:bidi="ar-SA"/>
              </w:rPr>
              <w:t>准入清单符合性分析</w:t>
            </w:r>
          </w:p>
          <w:p w14:paraId="460DDE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eastAsia" w:ascii="Times New Roman" w:hAnsi="Times New Roman" w:eastAsia="宋体" w:cs="Times New Roman"/>
                <w:b w:val="0"/>
                <w:bCs/>
                <w:color w:val="auto"/>
                <w:kern w:val="2"/>
                <w:sz w:val="24"/>
                <w:szCs w:val="24"/>
                <w:highlight w:val="none"/>
                <w:lang w:val="en-US" w:eastAsia="zh-CN" w:bidi="ar-SA"/>
              </w:rPr>
              <w:t>德清</w:t>
            </w:r>
            <w:r>
              <w:rPr>
                <w:rFonts w:hint="eastAsia" w:ascii="宋体" w:hAnsi="宋体" w:eastAsia="宋体" w:cs="宋体"/>
                <w:b w:val="0"/>
                <w:bCs/>
                <w:color w:val="auto"/>
                <w:kern w:val="2"/>
                <w:sz w:val="24"/>
                <w:szCs w:val="24"/>
                <w:highlight w:val="none"/>
                <w:lang w:val="en-US" w:eastAsia="zh-CN" w:bidi="ar-SA"/>
              </w:rPr>
              <w:t>县生态环境分区管控动态更新方案</w:t>
            </w:r>
            <w:r>
              <w:rPr>
                <w:rFonts w:hint="default" w:ascii="Times New Roman" w:hAnsi="Times New Roman" w:eastAsia="宋体" w:cs="Times New Roman"/>
                <w:b w:val="0"/>
                <w:bCs/>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rPr>
              <w:t>（德环</w:t>
            </w:r>
            <w:r>
              <w:rPr>
                <w:rFonts w:hint="default" w:ascii="Times New Roman" w:hAnsi="Times New Roman" w:eastAsia="宋体" w:cs="Times New Roman"/>
                <w:bCs/>
                <w:color w:val="auto"/>
                <w:sz w:val="24"/>
                <w:szCs w:val="24"/>
                <w:highlight w:val="none"/>
              </w:rPr>
              <w:t>〔202</w:t>
            </w:r>
            <w:r>
              <w:rPr>
                <w:rFonts w:hint="eastAsia" w:ascii="Times New Roman" w:hAnsi="Times New Roman" w:eastAsia="宋体"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号）</w:t>
            </w:r>
            <w:r>
              <w:rPr>
                <w:rFonts w:hint="default" w:ascii="Times New Roman" w:hAnsi="Times New Roman" w:eastAsia="宋体" w:cs="Times New Roman"/>
                <w:b w:val="0"/>
                <w:bCs/>
                <w:color w:val="auto"/>
                <w:kern w:val="2"/>
                <w:sz w:val="24"/>
                <w:szCs w:val="24"/>
                <w:highlight w:val="none"/>
                <w:lang w:val="en-US" w:eastAsia="zh-CN" w:bidi="ar-SA"/>
              </w:rPr>
              <w:t>，</w:t>
            </w:r>
            <w:r>
              <w:rPr>
                <w:rFonts w:hint="default" w:ascii="Times New Roman" w:hAnsi="Times New Roman" w:cs="Times New Roman"/>
                <w:color w:val="auto"/>
                <w:sz w:val="24"/>
                <w:szCs w:val="24"/>
                <w:highlight w:val="none"/>
              </w:rPr>
              <w:t>本项目位于湖州市德清县高新技术开发区产业集聚重点管控单元（ZH33052120006）内，对照生态环境分区管控方案，其符合性分析见表</w:t>
            </w:r>
            <w:r>
              <w:rPr>
                <w:rFonts w:hint="default"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6</w:t>
            </w:r>
            <w:r>
              <w:rPr>
                <w:rFonts w:hint="default" w:ascii="Times New Roman" w:hAnsi="Times New Roman" w:eastAsia="宋体" w:cs="Times New Roman"/>
                <w:b w:val="0"/>
                <w:bCs/>
                <w:color w:val="auto"/>
                <w:kern w:val="2"/>
                <w:sz w:val="24"/>
                <w:szCs w:val="24"/>
                <w:highlight w:val="none"/>
                <w:lang w:val="en-US" w:eastAsia="zh-CN" w:bidi="ar-SA"/>
              </w:rPr>
              <w:t>。</w:t>
            </w:r>
          </w:p>
          <w:p w14:paraId="2E6F5632">
            <w:pPr>
              <w:spacing w:line="500" w:lineRule="exact"/>
              <w:ind w:firstLine="422" w:firstLineChars="20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6</w:t>
            </w:r>
            <w:r>
              <w:rPr>
                <w:rFonts w:hint="default" w:ascii="Times New Roman" w:hAnsi="Times New Roman" w:cs="Times New Roman"/>
                <w:b/>
                <w:bCs/>
                <w:color w:val="auto"/>
                <w:sz w:val="21"/>
                <w:szCs w:val="21"/>
                <w:highlight w:val="none"/>
              </w:rPr>
              <w:t xml:space="preserve">  生态环境分区符合性分析</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328"/>
              <w:gridCol w:w="2940"/>
              <w:gridCol w:w="686"/>
            </w:tblGrid>
            <w:tr w14:paraId="6D3C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8" w:type="dxa"/>
                  <w:tcBorders>
                    <w:tl2br w:val="nil"/>
                    <w:tr2bl w:val="nil"/>
                  </w:tcBorders>
                  <w:noWrap w:val="0"/>
                  <w:vAlign w:val="center"/>
                </w:tcPr>
                <w:p w14:paraId="411119E0">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3764" w:type="dxa"/>
                  <w:tcBorders>
                    <w:tl2br w:val="nil"/>
                    <w:tr2bl w:val="nil"/>
                  </w:tcBorders>
                  <w:noWrap w:val="0"/>
                  <w:vAlign w:val="center"/>
                </w:tcPr>
                <w:p w14:paraId="0897D984">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要求</w:t>
                  </w:r>
                </w:p>
              </w:tc>
              <w:tc>
                <w:tcPr>
                  <w:tcW w:w="2557" w:type="dxa"/>
                  <w:tcBorders>
                    <w:tl2br w:val="nil"/>
                    <w:tr2bl w:val="nil"/>
                  </w:tcBorders>
                  <w:noWrap w:val="0"/>
                  <w:vAlign w:val="center"/>
                </w:tcPr>
                <w:p w14:paraId="3673FD8D">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项目情况</w:t>
                  </w:r>
                </w:p>
              </w:tc>
              <w:tc>
                <w:tcPr>
                  <w:tcW w:w="596" w:type="dxa"/>
                  <w:tcBorders>
                    <w:tl2br w:val="nil"/>
                    <w:tr2bl w:val="nil"/>
                  </w:tcBorders>
                  <w:noWrap w:val="0"/>
                  <w:vAlign w:val="center"/>
                </w:tcPr>
                <w:p w14:paraId="1B39EA75">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结论</w:t>
                  </w:r>
                </w:p>
              </w:tc>
            </w:tr>
            <w:tr w14:paraId="7CDB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dxa"/>
                  <w:tcBorders>
                    <w:tl2br w:val="nil"/>
                    <w:tr2bl w:val="nil"/>
                  </w:tcBorders>
                  <w:noWrap w:val="0"/>
                  <w:vAlign w:val="center"/>
                </w:tcPr>
                <w:p w14:paraId="745815CF">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3764" w:type="dxa"/>
                  <w:tcBorders>
                    <w:tl2br w:val="nil"/>
                    <w:tr2bl w:val="nil"/>
                  </w:tcBorders>
                  <w:noWrap w:val="0"/>
                  <w:vAlign w:val="center"/>
                </w:tcPr>
                <w:p w14:paraId="41C01CA5">
                  <w:pPr>
                    <w:jc w:val="both"/>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eastAsia="zh-CN"/>
                    </w:rPr>
                    <w:t>除德清经济开发区新材料产业园（莫干山高新区分园）和县域内三类企业搬迁外（搬迁不新增主要污染物排放总量），禁止新建三类工业项目，鼓励对三类工业项目进行淘汰和提升改造。加强“两高”项目源头防控。综合条件较好的重点行业率先开展节能降碳技术改造。合理规划布局居住、医疗卫生、文化教育等功能区块，与工业区块、工业企业之间设置防护绿地、生活绿地等隔离带。土壤污染重点监管单位新（改、扩）建项目用地应当符合国家或地方有关建设用地土壤风险管控标准。重点行业按照规范要求开展建设项目碳排放评价。</w:t>
                  </w:r>
                </w:p>
              </w:tc>
              <w:tc>
                <w:tcPr>
                  <w:tcW w:w="2557" w:type="dxa"/>
                  <w:tcBorders>
                    <w:tl2br w:val="nil"/>
                    <w:tr2bl w:val="nil"/>
                  </w:tcBorders>
                  <w:noWrap w:val="0"/>
                  <w:vAlign w:val="center"/>
                </w:tcPr>
                <w:p w14:paraId="75BA0F34">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项目行业类别为</w:t>
                  </w:r>
                  <w:r>
                    <w:rPr>
                      <w:rFonts w:hint="default" w:ascii="Times New Roman" w:hAnsi="Times New Roman" w:cs="Times New Roman"/>
                      <w:color w:val="auto"/>
                      <w:sz w:val="21"/>
                      <w:szCs w:val="21"/>
                      <w:highlight w:val="none"/>
                      <w:lang w:val="en-US" w:eastAsia="zh-CN"/>
                    </w:rPr>
                    <w:t>C4011工业自动控制系统装置制造</w:t>
                  </w:r>
                  <w:r>
                    <w:rPr>
                      <w:rFonts w:hint="default" w:ascii="Times New Roman" w:hAnsi="Times New Roman" w:cs="Times New Roman"/>
                      <w:color w:val="auto"/>
                      <w:sz w:val="21"/>
                      <w:szCs w:val="21"/>
                      <w:highlight w:val="none"/>
                    </w:rPr>
                    <w:t>，属于二类工业项目，不属于“两高”项目，且</w:t>
                  </w:r>
                  <w:r>
                    <w:rPr>
                      <w:rFonts w:hint="eastAsia" w:ascii="Times New Roman" w:hAnsi="Times New Roman" w:cs="Times New Roman"/>
                      <w:color w:val="auto"/>
                      <w:sz w:val="21"/>
                      <w:szCs w:val="21"/>
                      <w:highlight w:val="none"/>
                      <w:lang w:val="en-US" w:eastAsia="zh-CN"/>
                    </w:rPr>
                    <w:t>企业</w:t>
                  </w:r>
                  <w:r>
                    <w:rPr>
                      <w:rFonts w:hint="default" w:ascii="Times New Roman" w:hAnsi="Times New Roman" w:cs="Times New Roman"/>
                      <w:color w:val="auto"/>
                      <w:sz w:val="21"/>
                      <w:szCs w:val="21"/>
                      <w:highlight w:val="none"/>
                    </w:rPr>
                    <w:t>不属于土壤污染重点监管单位。</w:t>
                  </w:r>
                </w:p>
              </w:tc>
              <w:tc>
                <w:tcPr>
                  <w:tcW w:w="596" w:type="dxa"/>
                  <w:tcBorders>
                    <w:tl2br w:val="nil"/>
                    <w:tr2bl w:val="nil"/>
                  </w:tcBorders>
                  <w:noWrap w:val="0"/>
                  <w:vAlign w:val="center"/>
                </w:tcPr>
                <w:p w14:paraId="273B881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r w14:paraId="14CD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dxa"/>
                  <w:tcBorders>
                    <w:tl2br w:val="nil"/>
                    <w:tr2bl w:val="nil"/>
                  </w:tcBorders>
                  <w:noWrap w:val="0"/>
                  <w:vAlign w:val="center"/>
                </w:tcPr>
                <w:p w14:paraId="3C378C7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3764" w:type="dxa"/>
                  <w:tcBorders>
                    <w:tl2br w:val="nil"/>
                    <w:tr2bl w:val="nil"/>
                  </w:tcBorders>
                  <w:noWrap w:val="0"/>
                  <w:vAlign w:val="center"/>
                </w:tcPr>
                <w:p w14:paraId="22079FCE">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实施污染物总量控制制度，严格执行地区削减目标。新建二类工业项目污染物排放水平需达到同行业国内先进水平。推动污染物协同处置，推广末端固碳技术应用。推进工业集聚区“零直排区” 建设，所有企业实现雨污分流，现有工业集聚区内工业企业废水必须经预处</w:t>
                  </w:r>
                </w:p>
                <w:p w14:paraId="5497362D">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理达到集中处理要求，方可进入污水集中处理设施。</w:t>
                  </w:r>
                </w:p>
              </w:tc>
              <w:tc>
                <w:tcPr>
                  <w:tcW w:w="2557" w:type="dxa"/>
                  <w:tcBorders>
                    <w:tl2br w:val="nil"/>
                    <w:tr2bl w:val="nil"/>
                  </w:tcBorders>
                  <w:noWrap w:val="0"/>
                  <w:vAlign w:val="center"/>
                </w:tcPr>
                <w:p w14:paraId="4804E500">
                  <w:pPr>
                    <w:jc w:val="both"/>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企业</w:t>
                  </w:r>
                  <w:r>
                    <w:rPr>
                      <w:rFonts w:hint="default" w:ascii="Times New Roman" w:hAnsi="Times New Roman" w:cs="Times New Roman"/>
                      <w:color w:val="auto"/>
                      <w:sz w:val="21"/>
                      <w:szCs w:val="21"/>
                      <w:highlight w:val="none"/>
                    </w:rPr>
                    <w:t>将严格遵守污染物总量控制制度，污染物排放水平达到同行业国内先进水平后再进行排放。并实行雨污分流，生活污水经</w:t>
                  </w:r>
                  <w:r>
                    <w:rPr>
                      <w:rFonts w:hint="eastAsia" w:ascii="Times New Roman" w:hAnsi="Times New Roman" w:cs="Times New Roman"/>
                      <w:color w:val="auto"/>
                      <w:sz w:val="21"/>
                      <w:szCs w:val="21"/>
                      <w:highlight w:val="none"/>
                      <w:lang w:val="en-US" w:eastAsia="zh-CN"/>
                    </w:rPr>
                    <w:t>隔油池、</w:t>
                  </w:r>
                  <w:r>
                    <w:rPr>
                      <w:rFonts w:hint="default" w:ascii="Times New Roman" w:hAnsi="Times New Roman" w:cs="Times New Roman"/>
                      <w:color w:val="auto"/>
                      <w:sz w:val="21"/>
                      <w:szCs w:val="21"/>
                      <w:highlight w:val="none"/>
                    </w:rPr>
                    <w:t>化粪池预处理后纳管至德清县恒丰污水处理有限公司及湖州碧水源环境科技有限公司集中处理</w:t>
                  </w:r>
                </w:p>
              </w:tc>
              <w:tc>
                <w:tcPr>
                  <w:tcW w:w="596" w:type="dxa"/>
                  <w:tcBorders>
                    <w:tl2br w:val="nil"/>
                    <w:tr2bl w:val="nil"/>
                  </w:tcBorders>
                  <w:noWrap w:val="0"/>
                  <w:vAlign w:val="center"/>
                </w:tcPr>
                <w:p w14:paraId="6F50B87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r w14:paraId="017C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dxa"/>
                  <w:tcBorders>
                    <w:tl2br w:val="nil"/>
                    <w:tr2bl w:val="nil"/>
                  </w:tcBorders>
                  <w:noWrap w:val="0"/>
                  <w:vAlign w:val="center"/>
                </w:tcPr>
                <w:p w14:paraId="114592CD">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3764" w:type="dxa"/>
                  <w:tcBorders>
                    <w:tl2br w:val="nil"/>
                    <w:tr2bl w:val="nil"/>
                  </w:tcBorders>
                  <w:noWrap w:val="0"/>
                  <w:vAlign w:val="center"/>
                </w:tcPr>
                <w:p w14:paraId="12B6AC17">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严格控制石油加工、化学原料和化学制品制造、医药制造、化学纤维制造、有色金属冶炼、纺织印染等项目环境风险。重点管控新污染物环境风险。定期评估沿江河湖库工业企业、工业集聚区环境和健康风险，落实防控措施。强化工业集聚区应急预案和风险防控体系建设，防范重点企业环境风险。</w:t>
                  </w:r>
                </w:p>
              </w:tc>
              <w:tc>
                <w:tcPr>
                  <w:tcW w:w="2557" w:type="dxa"/>
                  <w:tcBorders>
                    <w:tl2br w:val="nil"/>
                    <w:tr2bl w:val="nil"/>
                  </w:tcBorders>
                  <w:noWrap w:val="0"/>
                  <w:vAlign w:val="center"/>
                </w:tcPr>
                <w:p w14:paraId="545CDAD7">
                  <w:pPr>
                    <w:jc w:val="both"/>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本项目行业类别为C4011工业自动控制系统装置制造，项目实施后将严格控制环境风险。</w:t>
                  </w:r>
                </w:p>
              </w:tc>
              <w:tc>
                <w:tcPr>
                  <w:tcW w:w="596" w:type="dxa"/>
                  <w:tcBorders>
                    <w:tl2br w:val="nil"/>
                    <w:tr2bl w:val="nil"/>
                  </w:tcBorders>
                  <w:noWrap w:val="0"/>
                  <w:vAlign w:val="center"/>
                </w:tcPr>
                <w:p w14:paraId="4B7C6792">
                  <w:pPr>
                    <w:jc w:val="center"/>
                    <w:rPr>
                      <w:rFonts w:hint="default" w:ascii="Times New Roman" w:hAnsi="Times New Roman" w:cs="Times New Roman"/>
                      <w:color w:val="FF0000"/>
                      <w:sz w:val="21"/>
                      <w:szCs w:val="21"/>
                      <w:highlight w:val="none"/>
                    </w:rPr>
                  </w:pPr>
                  <w:r>
                    <w:rPr>
                      <w:rFonts w:hint="default" w:ascii="Times New Roman" w:hAnsi="Times New Roman" w:cs="Times New Roman"/>
                      <w:color w:val="auto"/>
                      <w:sz w:val="21"/>
                      <w:szCs w:val="21"/>
                      <w:highlight w:val="none"/>
                    </w:rPr>
                    <w:t>符合</w:t>
                  </w:r>
                </w:p>
              </w:tc>
            </w:tr>
            <w:tr w14:paraId="36D6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dxa"/>
                  <w:tcBorders>
                    <w:tl2br w:val="nil"/>
                    <w:tr2bl w:val="nil"/>
                  </w:tcBorders>
                  <w:noWrap w:val="0"/>
                  <w:vAlign w:val="center"/>
                </w:tcPr>
                <w:p w14:paraId="0646FF8C">
                  <w:pPr>
                    <w:jc w:val="center"/>
                    <w:rPr>
                      <w:rFonts w:hint="default" w:ascii="Times New Roman" w:hAnsi="Times New Roman" w:cs="Times New Roman"/>
                      <w:color w:val="FF0000"/>
                      <w:sz w:val="21"/>
                      <w:szCs w:val="21"/>
                      <w:highlight w:val="none"/>
                    </w:rPr>
                  </w:pPr>
                  <w:r>
                    <w:rPr>
                      <w:rFonts w:hint="default" w:ascii="Times New Roman" w:hAnsi="Times New Roman" w:cs="Times New Roman"/>
                      <w:color w:val="auto"/>
                      <w:sz w:val="21"/>
                      <w:szCs w:val="21"/>
                      <w:highlight w:val="none"/>
                    </w:rPr>
                    <w:t>4</w:t>
                  </w:r>
                </w:p>
              </w:tc>
              <w:tc>
                <w:tcPr>
                  <w:tcW w:w="3764" w:type="dxa"/>
                  <w:tcBorders>
                    <w:tl2br w:val="nil"/>
                    <w:tr2bl w:val="nil"/>
                  </w:tcBorders>
                  <w:noWrap w:val="0"/>
                  <w:vAlign w:val="center"/>
                </w:tcPr>
                <w:p w14:paraId="4A0A2460">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推进工业集聚区生态化改造，强化企业清洁生产改造，推进节水型企业、节水标杆园区建设，落实煤炭消费减量替代要求，提高资源能源利用效率。</w:t>
                  </w:r>
                </w:p>
              </w:tc>
              <w:tc>
                <w:tcPr>
                  <w:tcW w:w="2557" w:type="dxa"/>
                  <w:tcBorders>
                    <w:tl2br w:val="nil"/>
                    <w:tr2bl w:val="nil"/>
                  </w:tcBorders>
                  <w:noWrap w:val="0"/>
                  <w:vAlign w:val="center"/>
                </w:tcPr>
                <w:p w14:paraId="708ED201">
                  <w:pPr>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本扩建</w:t>
                  </w:r>
                  <w:r>
                    <w:rPr>
                      <w:rFonts w:hint="default" w:ascii="Times New Roman" w:hAnsi="Times New Roman" w:cs="Times New Roman"/>
                      <w:color w:val="auto"/>
                      <w:sz w:val="21"/>
                      <w:szCs w:val="21"/>
                      <w:highlight w:val="none"/>
                    </w:rPr>
                    <w:t>项目将推进清洁生产制度，主要能源品种为电</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能耗较小</w:t>
                  </w:r>
                </w:p>
              </w:tc>
              <w:tc>
                <w:tcPr>
                  <w:tcW w:w="596" w:type="dxa"/>
                  <w:tcBorders>
                    <w:tl2br w:val="nil"/>
                    <w:tr2bl w:val="nil"/>
                  </w:tcBorders>
                  <w:noWrap w:val="0"/>
                  <w:vAlign w:val="center"/>
                </w:tcPr>
                <w:p w14:paraId="2EC6046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bl>
          <w:p w14:paraId="0A5BC681">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Style w:val="27"/>
                <w:rFonts w:hint="default" w:ascii="Times New Roman" w:hAnsi="Times New Roman" w:eastAsia="宋体" w:cs="Times New Roman"/>
                <w:b w:val="0"/>
                <w:color w:val="auto"/>
                <w:sz w:val="24"/>
                <w:szCs w:val="24"/>
                <w:highlight w:val="none"/>
                <w:lang w:eastAsia="zh-CN"/>
              </w:rPr>
            </w:pPr>
            <w:r>
              <w:rPr>
                <w:rStyle w:val="27"/>
                <w:rFonts w:hint="default" w:ascii="Times New Roman" w:hAnsi="Times New Roman" w:eastAsia="宋体" w:cs="Times New Roman"/>
                <w:b w:val="0"/>
                <w:color w:val="auto"/>
                <w:sz w:val="24"/>
                <w:szCs w:val="24"/>
                <w:highlight w:val="none"/>
              </w:rPr>
              <w:t>综上所述，本项目符合</w:t>
            </w:r>
            <w:r>
              <w:rPr>
                <w:rFonts w:hint="default" w:ascii="Times New Roman" w:hAnsi="Times New Roman" w:eastAsia="宋体" w:cs="Times New Roman"/>
                <w:color w:val="auto"/>
                <w:sz w:val="24"/>
                <w:szCs w:val="24"/>
                <w:highlight w:val="none"/>
              </w:rPr>
              <w:t>生态环境分区</w:t>
            </w:r>
            <w:r>
              <w:rPr>
                <w:rStyle w:val="27"/>
                <w:rFonts w:hint="default" w:ascii="Times New Roman" w:hAnsi="Times New Roman" w:eastAsia="宋体" w:cs="Times New Roman"/>
                <w:b w:val="0"/>
                <w:color w:val="auto"/>
                <w:sz w:val="24"/>
                <w:szCs w:val="24"/>
                <w:highlight w:val="none"/>
              </w:rPr>
              <w:t>要求</w:t>
            </w:r>
            <w:r>
              <w:rPr>
                <w:rStyle w:val="27"/>
                <w:rFonts w:hint="default" w:ascii="Times New Roman" w:hAnsi="Times New Roman" w:eastAsia="宋体" w:cs="Times New Roman"/>
                <w:b w:val="0"/>
                <w:color w:val="auto"/>
                <w:sz w:val="24"/>
                <w:szCs w:val="24"/>
                <w:highlight w:val="none"/>
                <w:lang w:eastAsia="zh-CN"/>
              </w:rPr>
              <w:t>。</w:t>
            </w:r>
          </w:p>
          <w:p w14:paraId="2D83227A">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b/>
                <w:color w:val="auto"/>
                <w:sz w:val="24"/>
                <w:szCs w:val="22"/>
                <w:highlight w:val="none"/>
                <w:lang w:eastAsia="zh-CN"/>
              </w:rPr>
            </w:pPr>
            <w:r>
              <w:rPr>
                <w:rFonts w:hint="eastAsia" w:ascii="Times New Roman" w:hAnsi="Times New Roman" w:cs="Times New Roman"/>
                <w:b/>
                <w:bCs/>
                <w:color w:val="auto"/>
                <w:sz w:val="24"/>
                <w:szCs w:val="24"/>
                <w:highlight w:val="none"/>
                <w:lang w:val="en-US" w:eastAsia="zh-CN"/>
              </w:rPr>
              <w:t>1.2.2</w:t>
            </w: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太湖流域水环境综合治理总体方案</w:t>
            </w:r>
            <w:r>
              <w:rPr>
                <w:rFonts w:ascii="Times New Roman" w:hAnsi="Times New Roman" w:cs="Times New Roman"/>
                <w:b/>
                <w:color w:val="auto"/>
                <w:sz w:val="24"/>
              </w:rPr>
              <w:t>》</w:t>
            </w:r>
          </w:p>
          <w:p w14:paraId="061C096B">
            <w:pPr>
              <w:pStyle w:val="74"/>
              <w:keepNext w:val="0"/>
              <w:keepLines w:val="0"/>
              <w:widowControl/>
              <w:suppressLineNumbers w:val="0"/>
              <w:spacing w:before="0" w:beforeAutospacing="0" w:after="0" w:afterAutospacing="0" w:line="500" w:lineRule="exact"/>
              <w:ind w:left="0" w:right="0" w:firstLine="480"/>
              <w:jc w:val="both"/>
              <w:rPr>
                <w:rFonts w:hint="eastAsia" w:ascii="Times New Roman" w:hAnsi="Times New Roman" w:eastAsia="宋体" w:cs="Times New Roman"/>
                <w:color w:val="auto"/>
                <w:kern w:val="2"/>
                <w:szCs w:val="24"/>
              </w:rPr>
            </w:pPr>
            <w:r>
              <w:rPr>
                <w:rFonts w:hint="eastAsia" w:ascii="Times New Roman" w:hAnsi="Times New Roman" w:eastAsia="宋体" w:cs="Times New Roman"/>
                <w:color w:val="auto"/>
                <w:kern w:val="2"/>
                <w:szCs w:val="24"/>
              </w:rPr>
              <w:t>2022年6月23日，国家发展改革委联合自然资源部、生态环境部、住房城乡建 设部、水利部、农业农村部印发《太湖流域水环境综合治理总体方案》( 发改地区 (2022) 959号)。对照该总体方案要求，项目符合性分析见表1-</w:t>
            </w:r>
            <w:r>
              <w:rPr>
                <w:rFonts w:hint="eastAsia" w:ascii="Times New Roman" w:hAnsi="Times New Roman" w:eastAsia="宋体" w:cs="Times New Roman"/>
                <w:color w:val="auto"/>
                <w:kern w:val="2"/>
                <w:szCs w:val="24"/>
                <w:lang w:val="en-US" w:eastAsia="zh-CN"/>
              </w:rPr>
              <w:t>4</w:t>
            </w:r>
            <w:r>
              <w:rPr>
                <w:rFonts w:hint="eastAsia" w:ascii="Times New Roman" w:hAnsi="Times New Roman" w:eastAsia="宋体" w:cs="Times New Roman"/>
                <w:color w:val="auto"/>
                <w:kern w:val="2"/>
                <w:szCs w:val="24"/>
              </w:rPr>
              <w:t>。由表可知，项目符合总体方案要求。</w:t>
            </w:r>
          </w:p>
          <w:p w14:paraId="5EC4A32B">
            <w:pPr>
              <w:pStyle w:val="7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color w:val="auto"/>
              </w:rPr>
            </w:pPr>
            <w:r>
              <w:rPr>
                <w:rFonts w:hint="eastAsia"/>
                <w:color w:val="auto"/>
              </w:rPr>
              <w:t>表1-</w:t>
            </w:r>
            <w:r>
              <w:rPr>
                <w:rFonts w:hint="eastAsia"/>
                <w:color w:val="auto"/>
                <w:lang w:val="en-US" w:eastAsia="zh-CN"/>
              </w:rPr>
              <w:t xml:space="preserve">7  </w:t>
            </w:r>
            <w:r>
              <w:rPr>
                <w:rFonts w:hint="eastAsia"/>
                <w:color w:val="auto"/>
              </w:rPr>
              <w:t>《太湖流域水环境综合治理总体方案》符合性分析</w:t>
            </w:r>
          </w:p>
          <w:tbl>
            <w:tblPr>
              <w:tblStyle w:val="24"/>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099"/>
              <w:gridCol w:w="1884"/>
              <w:gridCol w:w="703"/>
            </w:tblGrid>
            <w:tr w14:paraId="3073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Align w:val="center"/>
                </w:tcPr>
                <w:p w14:paraId="2A6116D6">
                  <w:pPr>
                    <w:pStyle w:val="76"/>
                    <w:widowControl/>
                    <w:spacing w:line="240" w:lineRule="auto"/>
                    <w:rPr>
                      <w:rFonts w:ascii="Times New Roman" w:hAnsi="Times New Roman" w:eastAsia="宋体"/>
                      <w:bCs/>
                      <w:color w:val="auto"/>
                    </w:rPr>
                  </w:pPr>
                  <w:r>
                    <w:rPr>
                      <w:rFonts w:hint="eastAsia" w:ascii="Times New Roman" w:hAnsi="Times New Roman" w:eastAsia="宋体"/>
                      <w:bCs/>
                      <w:color w:val="auto"/>
                    </w:rPr>
                    <w:t>内容</w:t>
                  </w:r>
                </w:p>
              </w:tc>
              <w:tc>
                <w:tcPr>
                  <w:tcW w:w="5099" w:type="dxa"/>
                  <w:vAlign w:val="center"/>
                </w:tcPr>
                <w:p w14:paraId="7022D5C2">
                  <w:pPr>
                    <w:pStyle w:val="76"/>
                    <w:widowControl/>
                    <w:spacing w:line="240" w:lineRule="auto"/>
                    <w:rPr>
                      <w:rFonts w:ascii="Times New Roman" w:hAnsi="Times New Roman" w:eastAsia="宋体"/>
                      <w:bCs/>
                      <w:color w:val="auto"/>
                    </w:rPr>
                  </w:pPr>
                  <w:r>
                    <w:rPr>
                      <w:rFonts w:hint="eastAsia" w:ascii="Times New Roman" w:hAnsi="Times New Roman" w:eastAsia="宋体"/>
                      <w:bCs/>
                      <w:color w:val="auto"/>
                    </w:rPr>
                    <w:t>要求</w:t>
                  </w:r>
                </w:p>
              </w:tc>
              <w:tc>
                <w:tcPr>
                  <w:tcW w:w="1884" w:type="dxa"/>
                  <w:vAlign w:val="center"/>
                </w:tcPr>
                <w:p w14:paraId="0687D25D">
                  <w:pPr>
                    <w:pStyle w:val="76"/>
                    <w:widowControl/>
                    <w:spacing w:line="240" w:lineRule="auto"/>
                    <w:rPr>
                      <w:rFonts w:ascii="Times New Roman" w:hAnsi="Times New Roman" w:eastAsia="宋体"/>
                      <w:bCs/>
                      <w:color w:val="auto"/>
                    </w:rPr>
                  </w:pPr>
                  <w:r>
                    <w:rPr>
                      <w:rFonts w:hint="eastAsia" w:ascii="Times New Roman" w:hAnsi="Times New Roman" w:eastAsia="宋体"/>
                      <w:bCs/>
                      <w:color w:val="auto"/>
                    </w:rPr>
                    <w:t>项目情况</w:t>
                  </w:r>
                </w:p>
              </w:tc>
              <w:tc>
                <w:tcPr>
                  <w:tcW w:w="703" w:type="dxa"/>
                  <w:vAlign w:val="center"/>
                </w:tcPr>
                <w:p w14:paraId="6C14A493">
                  <w:pPr>
                    <w:pStyle w:val="76"/>
                    <w:widowControl/>
                    <w:spacing w:line="240" w:lineRule="auto"/>
                    <w:rPr>
                      <w:rFonts w:ascii="Times New Roman" w:hAnsi="Times New Roman" w:eastAsia="宋体"/>
                      <w:bCs/>
                      <w:color w:val="auto"/>
                    </w:rPr>
                  </w:pPr>
                  <w:r>
                    <w:rPr>
                      <w:rFonts w:hint="eastAsia" w:ascii="Times New Roman" w:hAnsi="Times New Roman" w:eastAsia="宋体"/>
                      <w:bCs/>
                      <w:color w:val="auto"/>
                    </w:rPr>
                    <w:t>是否符合</w:t>
                  </w:r>
                </w:p>
              </w:tc>
            </w:tr>
            <w:tr w14:paraId="4899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Align w:val="center"/>
                </w:tcPr>
                <w:p w14:paraId="512F27E3">
                  <w:pPr>
                    <w:pStyle w:val="76"/>
                    <w:widowControl/>
                    <w:spacing w:line="240" w:lineRule="auto"/>
                    <w:rPr>
                      <w:rFonts w:ascii="Times New Roman" w:hAnsi="Times New Roman" w:eastAsia="宋体"/>
                      <w:b w:val="0"/>
                      <w:color w:val="auto"/>
                    </w:rPr>
                  </w:pPr>
                  <w:r>
                    <w:rPr>
                      <w:rFonts w:hint="eastAsia" w:ascii="Times New Roman" w:hAnsi="Times New Roman" w:eastAsia="宋体"/>
                      <w:b w:val="0"/>
                      <w:color w:val="auto"/>
                      <w:sz w:val="20"/>
                      <w:lang w:bidi="ar"/>
                    </w:rPr>
                    <w:t>深化工业污染治理</w:t>
                  </w:r>
                </w:p>
              </w:tc>
              <w:tc>
                <w:tcPr>
                  <w:tcW w:w="5099" w:type="dxa"/>
                  <w:vAlign w:val="center"/>
                </w:tcPr>
                <w:p w14:paraId="5853948E">
                  <w:pPr>
                    <w:pStyle w:val="76"/>
                    <w:widowControl/>
                    <w:spacing w:line="240" w:lineRule="auto"/>
                    <w:jc w:val="both"/>
                    <w:rPr>
                      <w:rFonts w:ascii="Times New Roman" w:hAnsi="Times New Roman" w:eastAsia="宋体"/>
                      <w:b w:val="0"/>
                      <w:color w:val="auto"/>
                    </w:rPr>
                  </w:pPr>
                  <w:r>
                    <w:rPr>
                      <w:rFonts w:ascii="Times New Roman" w:hAnsi="Times New Roman" w:eastAsia="宋体"/>
                      <w:b w:val="0"/>
                      <w:color w:val="auto"/>
                    </w:rPr>
                    <w:t>督促企业依法持证排污、按证排污，严格落实总磷许可排放浓度和许可排放量要求。持续强化涉水行业污染整治，基于水生态环境质量改善需要，大力推进印染、化工、造纸、钢铁、电镀、食品</w:t>
                  </w:r>
                  <w:r>
                    <w:rPr>
                      <w:rFonts w:hint="eastAsia" w:ascii="Times New Roman" w:hAnsi="Times New Roman" w:eastAsia="宋体"/>
                      <w:b w:val="0"/>
                      <w:color w:val="auto"/>
                    </w:rPr>
                    <w:t>（</w:t>
                  </w:r>
                  <w:r>
                    <w:rPr>
                      <w:rFonts w:ascii="Times New Roman" w:hAnsi="Times New Roman" w:eastAsia="宋体"/>
                      <w:b w:val="0"/>
                      <w:color w:val="auto"/>
                    </w:rPr>
                    <w:t>啤酒、味精</w:t>
                  </w:r>
                  <w:r>
                    <w:rPr>
                      <w:rFonts w:hint="eastAsia" w:ascii="Times New Roman" w:hAnsi="Times New Roman" w:eastAsia="宋体"/>
                      <w:b w:val="0"/>
                      <w:color w:val="auto"/>
                    </w:rPr>
                    <w:t>）</w:t>
                  </w:r>
                  <w:r>
                    <w:rPr>
                      <w:rFonts w:ascii="Times New Roman" w:hAnsi="Times New Roman" w:eastAsia="宋体"/>
                      <w:b w:val="0"/>
                      <w:color w:val="auto"/>
                    </w:rPr>
                    <w:t>等重点行业企业废水深度处理。实施工业园区限值限量管理，全面推进工业园区污水管网排查整治和污水收集处理设施建设，加快实施管网混错接改造、管网更新、破损修复改造等，依法推动园区生产废水应纳尽纳。推进化工园区雨污分流改造和初期雨水收集处理，鼓励有条件的园区实施化工企业废水分类收集、分质处理、一企</w:t>
                  </w:r>
                  <w:r>
                    <w:rPr>
                      <w:rFonts w:hint="eastAsia" w:ascii="Times New Roman" w:hAnsi="Times New Roman" w:eastAsia="宋体"/>
                      <w:b w:val="0"/>
                      <w:color w:val="auto"/>
                    </w:rPr>
                    <w:t>一管</w:t>
                  </w:r>
                  <w:r>
                    <w:rPr>
                      <w:rFonts w:ascii="Times New Roman" w:hAnsi="Times New Roman" w:eastAsia="宋体"/>
                      <w:b w:val="0"/>
                      <w:color w:val="auto"/>
                    </w:rPr>
                    <w:t>、明管输送、实时监测</w:t>
                  </w:r>
                </w:p>
              </w:tc>
              <w:tc>
                <w:tcPr>
                  <w:tcW w:w="1884" w:type="dxa"/>
                  <w:vAlign w:val="center"/>
                </w:tcPr>
                <w:p w14:paraId="4EC98042">
                  <w:pPr>
                    <w:pStyle w:val="76"/>
                    <w:widowControl/>
                    <w:spacing w:line="240" w:lineRule="auto"/>
                    <w:jc w:val="both"/>
                    <w:rPr>
                      <w:rFonts w:hint="default" w:ascii="Times New Roman" w:hAnsi="Times New Roman" w:eastAsia="宋体"/>
                      <w:b w:val="0"/>
                      <w:color w:val="auto"/>
                      <w:lang w:val="en-US" w:eastAsia="zh-CN"/>
                    </w:rPr>
                  </w:pPr>
                  <w:r>
                    <w:rPr>
                      <w:rFonts w:hint="eastAsia" w:ascii="Times New Roman" w:hAnsi="Times New Roman" w:eastAsia="宋体"/>
                      <w:b w:val="0"/>
                      <w:color w:val="auto"/>
                    </w:rPr>
                    <w:t>企业</w:t>
                  </w:r>
                  <w:r>
                    <w:rPr>
                      <w:rFonts w:hint="eastAsia" w:ascii="Times New Roman" w:hAnsi="Times New Roman" w:eastAsia="宋体"/>
                      <w:b w:val="0"/>
                      <w:color w:val="auto"/>
                      <w:lang w:val="en-US" w:eastAsia="zh-CN"/>
                    </w:rPr>
                    <w:t>严格按照排污管理要求及时办理排污证</w:t>
                  </w:r>
                  <w:r>
                    <w:rPr>
                      <w:rFonts w:hint="eastAsia" w:ascii="Times New Roman" w:hAnsi="Times New Roman" w:eastAsia="宋体"/>
                      <w:b w:val="0"/>
                      <w:color w:val="auto"/>
                    </w:rPr>
                    <w:t>，</w:t>
                  </w:r>
                  <w:r>
                    <w:rPr>
                      <w:rFonts w:hint="eastAsia" w:ascii="Times New Roman" w:hAnsi="Times New Roman" w:eastAsia="宋体"/>
                      <w:b w:val="0"/>
                      <w:color w:val="auto"/>
                      <w:lang w:val="en-US" w:eastAsia="zh-CN"/>
                    </w:rPr>
                    <w:t>本项目行业属于C4011工业自动控制系统装置制造，企业厂区内设置实行雨污分流，生活污水经隔油池、化粪池预处理后纳管至德清县恒丰污水处理有限公司及湖州碧水源环境科技有限公司集中处理</w:t>
                  </w:r>
                </w:p>
              </w:tc>
              <w:tc>
                <w:tcPr>
                  <w:tcW w:w="703" w:type="dxa"/>
                  <w:vAlign w:val="center"/>
                </w:tcPr>
                <w:p w14:paraId="2365E7B1">
                  <w:pPr>
                    <w:pStyle w:val="76"/>
                    <w:widowControl/>
                    <w:spacing w:line="240" w:lineRule="auto"/>
                    <w:rPr>
                      <w:rFonts w:ascii="Times New Roman" w:hAnsi="Times New Roman" w:eastAsia="宋体"/>
                      <w:b w:val="0"/>
                      <w:color w:val="auto"/>
                    </w:rPr>
                  </w:pPr>
                  <w:r>
                    <w:rPr>
                      <w:rFonts w:hint="eastAsia" w:ascii="Times New Roman" w:hAnsi="Times New Roman" w:eastAsia="宋体"/>
                      <w:b w:val="0"/>
                      <w:color w:val="auto"/>
                    </w:rPr>
                    <w:t>符合</w:t>
                  </w:r>
                </w:p>
              </w:tc>
            </w:tr>
            <w:tr w14:paraId="7240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Align w:val="center"/>
                </w:tcPr>
                <w:p w14:paraId="12BEDA42">
                  <w:pPr>
                    <w:pStyle w:val="76"/>
                    <w:widowControl/>
                    <w:spacing w:line="240" w:lineRule="auto"/>
                    <w:rPr>
                      <w:rFonts w:ascii="Times New Roman" w:hAnsi="Times New Roman" w:eastAsia="宋体"/>
                      <w:b w:val="0"/>
                      <w:color w:val="auto"/>
                    </w:rPr>
                  </w:pPr>
                  <w:r>
                    <w:rPr>
                      <w:rFonts w:hint="eastAsia" w:ascii="Times New Roman" w:hAnsi="Times New Roman" w:eastAsia="宋体"/>
                      <w:b w:val="0"/>
                      <w:color w:val="auto"/>
                      <w:sz w:val="20"/>
                      <w:lang w:bidi="ar"/>
                    </w:rPr>
                    <w:t>引导产业合理布局</w:t>
                  </w:r>
                </w:p>
              </w:tc>
              <w:tc>
                <w:tcPr>
                  <w:tcW w:w="5099" w:type="dxa"/>
                  <w:vAlign w:val="center"/>
                </w:tcPr>
                <w:p w14:paraId="4E4A7BC6">
                  <w:pPr>
                    <w:pStyle w:val="76"/>
                    <w:widowControl/>
                    <w:spacing w:line="240" w:lineRule="auto"/>
                    <w:jc w:val="both"/>
                    <w:rPr>
                      <w:rFonts w:ascii="Times New Roman" w:hAnsi="Times New Roman" w:eastAsia="宋体"/>
                      <w:b w:val="0"/>
                      <w:color w:val="auto"/>
                    </w:rPr>
                  </w:pPr>
                  <w:r>
                    <w:rPr>
                      <w:rFonts w:ascii="Times New Roman" w:hAnsi="Times New Roman" w:eastAsia="宋体"/>
                      <w:b w:val="0"/>
                      <w:color w:val="auto"/>
                    </w:rPr>
                    <w:t>推进企业内部工业用水循环利用、园区内企业间用水系统集成优化，推动工业废水资源化利用。积极推进清洁生产，引导工业园区、开发区尤其是耗水量大的企业新建中水回用设施和环保循环设施，推行尾水循环再生利用。开展造纸、印染等高耗水行业工业废水循环利用示范，率先在纺织印染、化工材料等工业园区探索建设“行水零直排区”，实施环境信息依法披露、生态环境损害赔偿、环境污染责任保险等制度</w:t>
                  </w:r>
                </w:p>
              </w:tc>
              <w:tc>
                <w:tcPr>
                  <w:tcW w:w="1884" w:type="dxa"/>
                  <w:vAlign w:val="center"/>
                </w:tcPr>
                <w:p w14:paraId="02515ECE">
                  <w:pPr>
                    <w:pStyle w:val="76"/>
                    <w:widowControl/>
                    <w:spacing w:line="240" w:lineRule="auto"/>
                    <w:jc w:val="both"/>
                    <w:rPr>
                      <w:rFonts w:hint="default" w:ascii="Times New Roman" w:hAnsi="Times New Roman" w:eastAsia="宋体"/>
                      <w:b w:val="0"/>
                      <w:color w:val="FF0000"/>
                      <w:lang w:val="en-US" w:eastAsia="zh-CN"/>
                    </w:rPr>
                  </w:pPr>
                  <w:r>
                    <w:rPr>
                      <w:rFonts w:hint="eastAsia" w:ascii="Times New Roman" w:hAnsi="Times New Roman" w:eastAsia="宋体"/>
                      <w:b w:val="0"/>
                      <w:color w:val="auto"/>
                      <w:lang w:val="en-US" w:eastAsia="zh-CN"/>
                    </w:rPr>
                    <w:t>本项目行业类别为业自动控制系统装置制造，项目生产上仅需补充冷却水，其余仅员工生活用水，总体用水量较少</w:t>
                  </w:r>
                </w:p>
              </w:tc>
              <w:tc>
                <w:tcPr>
                  <w:tcW w:w="703" w:type="dxa"/>
                  <w:vAlign w:val="center"/>
                </w:tcPr>
                <w:p w14:paraId="37F281D2">
                  <w:pPr>
                    <w:pStyle w:val="76"/>
                    <w:widowControl/>
                    <w:spacing w:line="240" w:lineRule="auto"/>
                    <w:rPr>
                      <w:rFonts w:ascii="Times New Roman" w:hAnsi="Times New Roman" w:eastAsia="宋体"/>
                      <w:b w:val="0"/>
                      <w:color w:val="FF0000"/>
                    </w:rPr>
                  </w:pPr>
                  <w:r>
                    <w:rPr>
                      <w:rFonts w:hint="eastAsia" w:ascii="Times New Roman" w:hAnsi="Times New Roman" w:eastAsia="宋体"/>
                      <w:b w:val="0"/>
                      <w:color w:val="auto"/>
                    </w:rPr>
                    <w:t>符合</w:t>
                  </w:r>
                </w:p>
              </w:tc>
            </w:tr>
            <w:tr w14:paraId="1844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Align w:val="center"/>
                </w:tcPr>
                <w:p w14:paraId="21579708">
                  <w:pPr>
                    <w:pStyle w:val="76"/>
                    <w:widowControl/>
                    <w:spacing w:line="240" w:lineRule="auto"/>
                    <w:rPr>
                      <w:rFonts w:hint="default" w:ascii="Times New Roman" w:hAnsi="Times New Roman" w:eastAsia="宋体"/>
                      <w:b w:val="0"/>
                      <w:color w:val="auto"/>
                      <w:sz w:val="20"/>
                      <w:lang w:val="en-US" w:eastAsia="zh-CN" w:bidi="ar"/>
                    </w:rPr>
                  </w:pPr>
                  <w:r>
                    <w:rPr>
                      <w:rFonts w:hint="eastAsia" w:ascii="Times New Roman" w:hAnsi="Times New Roman" w:eastAsia="宋体"/>
                      <w:b w:val="0"/>
                      <w:color w:val="auto"/>
                      <w:sz w:val="20"/>
                      <w:lang w:val="en-US" w:eastAsia="zh-CN" w:bidi="ar"/>
                    </w:rPr>
                    <w:t>推动流域高质量发展</w:t>
                  </w:r>
                </w:p>
              </w:tc>
              <w:tc>
                <w:tcPr>
                  <w:tcW w:w="5099" w:type="dxa"/>
                  <w:vAlign w:val="center"/>
                </w:tcPr>
                <w:p w14:paraId="24E4717E">
                  <w:pPr>
                    <w:pStyle w:val="76"/>
                    <w:widowControl/>
                    <w:spacing w:line="240" w:lineRule="auto"/>
                    <w:jc w:val="both"/>
                    <w:rPr>
                      <w:rFonts w:ascii="Times New Roman" w:hAnsi="Times New Roman" w:eastAsia="宋体"/>
                      <w:b w:val="0"/>
                      <w:color w:val="auto"/>
                    </w:rPr>
                  </w:pPr>
                  <w:r>
                    <w:rPr>
                      <w:rFonts w:hint="eastAsia" w:ascii="Times New Roman" w:hAnsi="Times New Roman" w:eastAsia="宋体"/>
                      <w:b w:val="0"/>
                      <w:color w:val="auto"/>
                    </w:rPr>
                    <w:t>严禁落地国家和本地产业结构调整目录明确的限制类、淘汰类工艺、装备、产品与项目，依法推动污染企业退出。继续推进城市建成区内造纸、印染、化工等污染较重企业有序搬迁改造或依法关闭，推动环太湖生态环境敏感区内不符合产业发展政策、存在重大安全隐患且不具备整治条件的企业依法关闭或搬迁至合规工业园。推进太湖流域等重要饮用水水源地300米范围内重点排污企业逐步退出。除战略性新兴产业项目外，太湖流域原则上不再审批其他生产性新增氮磷污染物的工业类建设项目</w:t>
                  </w:r>
                </w:p>
              </w:tc>
              <w:tc>
                <w:tcPr>
                  <w:tcW w:w="1884" w:type="dxa"/>
                  <w:vAlign w:val="center"/>
                </w:tcPr>
                <w:p w14:paraId="55BD05E4">
                  <w:pPr>
                    <w:pStyle w:val="76"/>
                    <w:widowControl/>
                    <w:spacing w:line="240" w:lineRule="auto"/>
                    <w:jc w:val="both"/>
                    <w:rPr>
                      <w:rFonts w:hint="default" w:ascii="Times New Roman" w:hAnsi="Times New Roman" w:eastAsia="宋体"/>
                      <w:b w:val="0"/>
                      <w:color w:val="auto"/>
                      <w:lang w:val="en-US" w:eastAsia="zh-CN"/>
                    </w:rPr>
                  </w:pPr>
                  <w:r>
                    <w:rPr>
                      <w:rFonts w:hint="eastAsia" w:ascii="Times New Roman" w:hAnsi="Times New Roman" w:eastAsia="宋体"/>
                      <w:b w:val="0"/>
                      <w:color w:val="auto"/>
                      <w:lang w:val="en-US" w:eastAsia="zh-CN"/>
                    </w:rPr>
                    <w:t>本项目行业类别为工业自动控制系统装置制造。不涉及限制、淘汰类工艺、设备等，本项目仅排放生活污水。</w:t>
                  </w:r>
                </w:p>
              </w:tc>
              <w:tc>
                <w:tcPr>
                  <w:tcW w:w="703" w:type="dxa"/>
                  <w:vAlign w:val="center"/>
                </w:tcPr>
                <w:p w14:paraId="7A9D8A14">
                  <w:pPr>
                    <w:pStyle w:val="76"/>
                    <w:widowControl/>
                    <w:spacing w:line="240" w:lineRule="auto"/>
                    <w:rPr>
                      <w:rFonts w:hint="eastAsia" w:ascii="Times New Roman" w:hAnsi="Times New Roman" w:eastAsia="宋体"/>
                      <w:b w:val="0"/>
                      <w:color w:val="auto"/>
                      <w:lang w:val="en-US" w:eastAsia="zh-CN"/>
                    </w:rPr>
                  </w:pPr>
                  <w:r>
                    <w:rPr>
                      <w:rFonts w:hint="eastAsia" w:ascii="Times New Roman" w:hAnsi="Times New Roman" w:eastAsia="宋体"/>
                      <w:b w:val="0"/>
                      <w:color w:val="auto"/>
                      <w:lang w:val="en-US" w:eastAsia="zh-CN"/>
                    </w:rPr>
                    <w:t>符合</w:t>
                  </w:r>
                </w:p>
              </w:tc>
            </w:tr>
          </w:tbl>
          <w:p w14:paraId="0D13D9ED">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cs="Times New Roman"/>
                <w:b/>
                <w:bCs/>
                <w:color w:val="FF0000"/>
                <w:sz w:val="24"/>
                <w:szCs w:val="24"/>
                <w:highlight w:val="none"/>
                <w:lang w:val="en-US" w:eastAsia="zh-CN"/>
              </w:rPr>
            </w:pPr>
            <w:r>
              <w:rPr>
                <w:rStyle w:val="27"/>
                <w:rFonts w:hint="default" w:ascii="Times New Roman" w:hAnsi="Times New Roman" w:eastAsia="宋体" w:cs="Times New Roman"/>
                <w:b w:val="0"/>
                <w:color w:val="auto"/>
                <w:sz w:val="24"/>
                <w:szCs w:val="24"/>
                <w:highlight w:val="none"/>
              </w:rPr>
              <w:t>综上所述，本项目符合《太湖流域水环境综合治理总体方案》</w:t>
            </w:r>
            <w:r>
              <w:rPr>
                <w:rStyle w:val="27"/>
                <w:rFonts w:hint="eastAsia" w:ascii="Times New Roman" w:hAnsi="Times New Roman" w:eastAsia="宋体" w:cs="Times New Roman"/>
                <w:b w:val="0"/>
                <w:color w:val="auto"/>
                <w:sz w:val="24"/>
                <w:szCs w:val="24"/>
                <w:highlight w:val="none"/>
                <w:lang w:val="en-US" w:eastAsia="zh-CN"/>
              </w:rPr>
              <w:t>要求。</w:t>
            </w:r>
          </w:p>
          <w:p w14:paraId="6CEE0EB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1.2.3</w:t>
            </w:r>
            <w:r>
              <w:rPr>
                <w:rFonts w:hint="default" w:ascii="Times New Roman" w:hAnsi="Times New Roman" w:eastAsia="宋体" w:cs="Times New Roman"/>
                <w:b/>
                <w:bCs/>
                <w:color w:val="auto"/>
                <w:sz w:val="24"/>
                <w:szCs w:val="24"/>
                <w:highlight w:val="none"/>
                <w:lang w:val="en-US" w:eastAsia="zh-CN"/>
              </w:rPr>
              <w:t>《太湖流域管理条例》</w:t>
            </w:r>
          </w:p>
          <w:p w14:paraId="4F8D6901">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根据《太湖流域管理条例》，其相关管理要求如下：</w:t>
            </w:r>
          </w:p>
          <w:p w14:paraId="1DE5AD23">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第二十八条 排污单位排放水污染物，不得超过经核定的水污染物排放总量，并应当按照规定设置便于检查、采样的规范化排污口，悬挂标志牌；不得私设暗管或者采取其他规避监管的方式排放水污染物。</w:t>
            </w:r>
          </w:p>
          <w:p w14:paraId="49DAAB64">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禁止在太湖流域设置不符合国家产业政策和水环境综合治理要求的造纸、制革、酒精、淀粉、冶金、酿造、印染、电镀等排放水污染物的生产项目，现有的生产项目不能实现达标排放的，应当依法关闭。</w:t>
            </w:r>
          </w:p>
          <w:p w14:paraId="02E20E37">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在太湖流域新设企业应当符合国家规定的清洁生产要求，现有的企业尚未达到清洁生产要求的，应当按照清洁生产规划要求进行技术改造，两省一市人民政府应当加强监督检查。</w:t>
            </w:r>
          </w:p>
          <w:p w14:paraId="1E9C8A13">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第二十九条 新孟河、望虞河以外的其他主要入太湖河道，自河口1万米上溯至5万米河道岸线内及其岸线两侧各1000米范围内，禁止下列行为：</w:t>
            </w:r>
          </w:p>
          <w:p w14:paraId="63EFD2C2">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（一）新建、扩建化工、医药生产项目；</w:t>
            </w:r>
          </w:p>
          <w:p w14:paraId="5A84AFF3">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（二）新建、扩建污水集中处理设施排污口以外的排污口；</w:t>
            </w:r>
          </w:p>
          <w:p w14:paraId="3AF2642C">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（三）扩大水产养殖规模。</w:t>
            </w:r>
          </w:p>
          <w:p w14:paraId="39102D7E">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第三十四条 太湖流域县级以上地方人民政府应当合理规划建设公共污水管网和污水集中处理设施，实现雨水、污水分流。自本条例施行之日起5年内，太湖流域县级以上地方人民政府所在城镇和重点建制镇的生活污水应当全部纳入公共污水管网并经污水集中处理设施处理。</w:t>
            </w:r>
          </w:p>
          <w:p w14:paraId="3348AFAF">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太湖流域县级人民政府应当为本行政区域内的农村居民点配备污水、垃圾收集设施，并对收集的污水、垃圾进行集中处理。</w:t>
            </w:r>
          </w:p>
          <w:p w14:paraId="2903B11D">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第三十五条 太湖流域新建污水集中处理设施，应当符合脱氮除磷深度处理要求；现有的污水集中处理设施不符合脱氮除磷深度处理要求的，当地市、县人民政府应当自本条例施行之日起1年内组织进行技术改造。</w:t>
            </w:r>
          </w:p>
          <w:p w14:paraId="6EF3BA3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太湖流域市、县人民政府应当统筹规划建设污泥处理设施，并指导污水集中处理单位对处理污水产生的污泥等废弃物进行无害化处理，避免二次污染。</w:t>
            </w:r>
          </w:p>
          <w:p w14:paraId="7D88A92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国家鼓励污水集中处理单位配套建设再生水利用设施。</w:t>
            </w:r>
          </w:p>
          <w:p w14:paraId="5EBC8C0D">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符合性分析：</w:t>
            </w:r>
          </w:p>
          <w:p w14:paraId="181FDEA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cs="Times New Roman"/>
                <w:color w:val="auto"/>
                <w:sz w:val="24"/>
                <w:szCs w:val="24"/>
                <w:highlight w:val="none"/>
              </w:rPr>
              <w:t>本项目行业类别属于</w:t>
            </w:r>
            <w:r>
              <w:rPr>
                <w:rFonts w:hint="default" w:ascii="Times New Roman" w:hAnsi="Times New Roman" w:cs="Times New Roman"/>
                <w:color w:val="auto"/>
                <w:sz w:val="24"/>
                <w:szCs w:val="24"/>
                <w:highlight w:val="none"/>
                <w:lang w:val="en-US" w:eastAsia="zh-CN"/>
              </w:rPr>
              <w:t>工业自动控制系统装置制造</w:t>
            </w:r>
            <w:r>
              <w:rPr>
                <w:rFonts w:hint="default" w:ascii="Times New Roman" w:hAnsi="Times New Roman" w:cs="Times New Roman"/>
                <w:color w:val="auto"/>
                <w:sz w:val="24"/>
                <w:szCs w:val="24"/>
                <w:highlight w:val="none"/>
              </w:rPr>
              <w:t>，项目位于</w:t>
            </w:r>
            <w:r>
              <w:rPr>
                <w:rFonts w:hint="eastAsia" w:ascii="Times New Roman" w:hAnsi="Times New Roman" w:eastAsia="宋体" w:cs="Times New Roman"/>
                <w:color w:val="auto"/>
                <w:kern w:val="0"/>
                <w:sz w:val="24"/>
                <w:szCs w:val="24"/>
                <w:highlight w:val="none"/>
                <w:lang w:val="en-US" w:eastAsia="zh-CN"/>
              </w:rPr>
              <w:t>德清县阜溪街道新丰北路599号</w:t>
            </w:r>
            <w:r>
              <w:rPr>
                <w:rFonts w:hint="default" w:ascii="Times New Roman" w:hAnsi="Times New Roman" w:cs="Times New Roman"/>
                <w:color w:val="auto"/>
                <w:sz w:val="24"/>
                <w:szCs w:val="24"/>
                <w:highlight w:val="none"/>
              </w:rPr>
              <w:t>，属于工业区。</w:t>
            </w:r>
            <w:r>
              <w:rPr>
                <w:rFonts w:hint="eastAsia" w:ascii="Times New Roman" w:hAnsi="Times New Roman" w:cs="Times New Roman"/>
                <w:color w:val="auto"/>
                <w:sz w:val="24"/>
                <w:szCs w:val="24"/>
                <w:highlight w:val="none"/>
                <w:lang w:val="en-US" w:eastAsia="zh-CN"/>
              </w:rPr>
              <w:t>项目生活污水经隔油池、化粪池预处理后纳管至德清县恒丰污水处理有限公司及湖州碧水源环境科技有限公司集中处理。</w:t>
            </w:r>
            <w:r>
              <w:rPr>
                <w:rFonts w:hint="default" w:ascii="Times New Roman" w:hAnsi="Times New Roman" w:cs="Times New Roman"/>
                <w:color w:val="auto"/>
                <w:sz w:val="24"/>
                <w:szCs w:val="24"/>
                <w:highlight w:val="none"/>
              </w:rPr>
              <w:t>全厂不设置入河、湖、漾排污口。</w:t>
            </w:r>
            <w:r>
              <w:rPr>
                <w:rFonts w:hint="eastAsia" w:ascii="Times New Roman" w:hAnsi="Times New Roman" w:cs="Times New Roman"/>
                <w:color w:val="auto"/>
                <w:sz w:val="24"/>
                <w:szCs w:val="24"/>
                <w:highlight w:val="none"/>
                <w:lang w:val="en-US" w:eastAsia="zh-CN"/>
              </w:rPr>
              <w:t>企业厂区内设置</w:t>
            </w:r>
            <w:r>
              <w:rPr>
                <w:rFonts w:hint="default" w:ascii="Times New Roman" w:hAnsi="Times New Roman" w:cs="Times New Roman"/>
                <w:color w:val="auto"/>
                <w:sz w:val="24"/>
                <w:szCs w:val="24"/>
                <w:highlight w:val="none"/>
              </w:rPr>
              <w:t>实行雨、污分流，所在区域污水集中处理设施（</w:t>
            </w:r>
            <w:r>
              <w:rPr>
                <w:rFonts w:hint="eastAsia" w:ascii="Times New Roman" w:hAnsi="Times New Roman" w:cs="Times New Roman"/>
                <w:color w:val="auto"/>
                <w:sz w:val="24"/>
                <w:szCs w:val="24"/>
                <w:highlight w:val="none"/>
                <w:lang w:val="en-US" w:eastAsia="zh-CN"/>
              </w:rPr>
              <w:t>德清县恒丰污水处理有限公司及湖州碧水源环境科技有限公司</w:t>
            </w:r>
            <w:r>
              <w:rPr>
                <w:rFonts w:hint="default" w:ascii="Times New Roman" w:hAnsi="Times New Roman" w:cs="Times New Roman"/>
                <w:color w:val="auto"/>
                <w:sz w:val="24"/>
                <w:szCs w:val="24"/>
                <w:highlight w:val="none"/>
              </w:rPr>
              <w:t>）已建成，尾水能够做到稳定达标排放，污泥也能够做到无害化处理。因此，本项目的建设符合《太湖流域管理条例》相应要求</w:t>
            </w:r>
            <w:r>
              <w:rPr>
                <w:rFonts w:hint="default" w:ascii="Times New Roman" w:hAnsi="Times New Roman" w:eastAsia="宋体" w:cs="Times New Roman"/>
                <w:b w:val="0"/>
                <w:bCs/>
                <w:color w:val="auto"/>
                <w:kern w:val="2"/>
                <w:sz w:val="24"/>
                <w:szCs w:val="24"/>
                <w:highlight w:val="none"/>
                <w:lang w:val="en-US" w:eastAsia="zh-CN" w:bidi="ar-SA"/>
              </w:rPr>
              <w:t>。</w:t>
            </w:r>
          </w:p>
          <w:p w14:paraId="61C749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1.2.4《关于落实&lt;水污染防治行动计划&gt;实施区域差别化环境准入的指导意见》</w:t>
            </w:r>
          </w:p>
          <w:p w14:paraId="084A1E3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环境保护部、国家发展和改革委员会、住房和城乡建设部和水利部于2016年12月28日共同印发了《关于落实水污染防治行动计划实施区域差别化环境准入的指导意见》，其中的相关条款如下所述：</w:t>
            </w:r>
          </w:p>
          <w:p w14:paraId="2A01811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优化开发区。对确有必要的符合区域功能定位的建设项目，在污染治理水平、环境标准等方面执行最严格的准入条件，清洁生产达到国际先进水平。保护河口和海岸湿地，加强城市重点水源地保护。</w:t>
            </w:r>
          </w:p>
          <w:p w14:paraId="4C019F69">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长江三角洲地区。落实《长江经济带取水口排污口和应急水源布局规划》，沿江地区进一步严格石化、化工、印染、造纸等项目环境准入，对干流两岸一定范围内新建相关重污染项目不予环境准入，推进石化化工企业向尚有一定环境容量的沿海地区集中、绿色发展。对太湖流域新建原料化工、燃料、颜料及排放氮磷污染物的工业项目，不予环境准入；实施江、湖一体的氮、磷污染控制，防范和治理江、湖富营养化。严格沿江港口码头项目环境准入，强化环境风险防范措施。</w:t>
            </w:r>
          </w:p>
          <w:p w14:paraId="48346B7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center"/>
              <w:outlineLvl w:val="9"/>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符合性分析：</w:t>
            </w:r>
          </w:p>
          <w:p w14:paraId="4A9C7366">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outlineLvl w:val="9"/>
              <w:rPr>
                <w:rFonts w:hint="default" w:ascii="Times New Roman" w:hAnsi="Times New Roman" w:eastAsia="宋体" w:cs="Times New Roman"/>
                <w:b w:val="0"/>
                <w:bCs/>
                <w:color w:val="FF0000"/>
                <w:kern w:val="2"/>
                <w:sz w:val="24"/>
                <w:szCs w:val="24"/>
                <w:highlight w:val="none"/>
                <w:lang w:val="en-US" w:eastAsia="zh-CN" w:bidi="ar-SA"/>
              </w:rPr>
            </w:pPr>
            <w:r>
              <w:rPr>
                <w:rFonts w:hint="default" w:ascii="Times New Roman" w:hAnsi="Times New Roman" w:cs="Times New Roman"/>
                <w:color w:val="auto"/>
                <w:sz w:val="24"/>
                <w:szCs w:val="24"/>
                <w:highlight w:val="none"/>
              </w:rPr>
              <w:t>本项目</w:t>
            </w:r>
            <w:r>
              <w:rPr>
                <w:rFonts w:hint="eastAsia" w:ascii="Times New Roman" w:hAnsi="Times New Roman" w:cs="Times New Roman"/>
                <w:color w:val="auto"/>
                <w:sz w:val="24"/>
                <w:szCs w:val="24"/>
                <w:highlight w:val="none"/>
                <w:lang w:val="en-US" w:eastAsia="zh-CN"/>
              </w:rPr>
              <w:t>所在地属于长江三角洲地区、太湖流域，不属于新建原料化工、燃料、颜料及排放氮磷污染物的工业项目。</w:t>
            </w:r>
            <w:r>
              <w:rPr>
                <w:rFonts w:hint="default" w:ascii="Times New Roman" w:hAnsi="Times New Roman" w:cs="Times New Roman"/>
                <w:color w:val="auto"/>
                <w:sz w:val="24"/>
                <w:szCs w:val="24"/>
                <w:highlight w:val="none"/>
              </w:rPr>
              <w:t>因此，本项目的建设符合《关于落实水污染防治行动计划实施区域差别化环境准入的指导意见》中的相应要求。</w:t>
            </w:r>
          </w:p>
          <w:p w14:paraId="3CE0F9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1.2.5《&lt;长江经济带发展负面清单指南（试行，2022年版）&gt;浙江省实施细则》</w:t>
            </w:r>
          </w:p>
          <w:p w14:paraId="3EFD4E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val="0"/>
                <w:bCs/>
                <w:color w:val="auto"/>
                <w:kern w:val="2"/>
                <w:sz w:val="24"/>
                <w:szCs w:val="24"/>
                <w:highlight w:val="none"/>
                <w:lang w:val="en-US" w:eastAsia="zh-CN" w:bidi="ar-SA"/>
              </w:rPr>
              <w:t>本项目对照该</w:t>
            </w:r>
            <w:r>
              <w:rPr>
                <w:rFonts w:hint="eastAsia" w:ascii="Times New Roman" w:hAnsi="Times New Roman" w:eastAsia="宋体" w:cs="Times New Roman"/>
                <w:b w:val="0"/>
                <w:bCs/>
                <w:color w:val="auto"/>
                <w:kern w:val="2"/>
                <w:sz w:val="24"/>
                <w:szCs w:val="24"/>
                <w:highlight w:val="none"/>
                <w:lang w:val="en-US" w:eastAsia="zh-CN" w:bidi="ar-SA"/>
              </w:rPr>
              <w:t>指南</w:t>
            </w:r>
            <w:r>
              <w:rPr>
                <w:rFonts w:hint="default" w:ascii="Times New Roman" w:hAnsi="Times New Roman" w:eastAsia="宋体" w:cs="Times New Roman"/>
                <w:b w:val="0"/>
                <w:bCs/>
                <w:color w:val="auto"/>
                <w:kern w:val="2"/>
                <w:sz w:val="24"/>
                <w:szCs w:val="24"/>
                <w:highlight w:val="none"/>
                <w:lang w:val="en-US" w:eastAsia="zh-CN" w:bidi="ar-SA"/>
              </w:rPr>
              <w:t>进行符合性分析，具体见表</w:t>
            </w:r>
            <w:r>
              <w:rPr>
                <w:rFonts w:hint="eastAsia" w:ascii="Times New Roman" w:hAnsi="Times New Roman" w:eastAsia="宋体" w:cs="Times New Roman"/>
                <w:b w:val="0"/>
                <w:bCs/>
                <w:color w:val="auto"/>
                <w:kern w:val="2"/>
                <w:sz w:val="24"/>
                <w:szCs w:val="24"/>
                <w:highlight w:val="none"/>
                <w:lang w:val="en-US" w:eastAsia="zh-CN" w:bidi="ar-SA"/>
              </w:rPr>
              <w:t>1</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ascii="Times New Roman" w:hAnsi="Times New Roman" w:eastAsia="宋体" w:cs="Times New Roman"/>
                <w:b w:val="0"/>
                <w:bCs/>
                <w:color w:val="auto"/>
                <w:kern w:val="2"/>
                <w:sz w:val="24"/>
                <w:szCs w:val="24"/>
                <w:highlight w:val="none"/>
                <w:lang w:val="en-US" w:eastAsia="zh-CN" w:bidi="ar-SA"/>
              </w:rPr>
              <w:t>8</w:t>
            </w:r>
            <w:r>
              <w:rPr>
                <w:rFonts w:hint="default" w:ascii="Times New Roman" w:hAnsi="Times New Roman" w:eastAsia="宋体" w:cs="Times New Roman"/>
                <w:b w:val="0"/>
                <w:bCs/>
                <w:color w:val="auto"/>
                <w:kern w:val="2"/>
                <w:sz w:val="24"/>
                <w:szCs w:val="24"/>
                <w:highlight w:val="none"/>
                <w:lang w:val="en-US" w:eastAsia="zh-CN" w:bidi="ar-SA"/>
              </w:rPr>
              <w:t>。</w:t>
            </w:r>
          </w:p>
          <w:p w14:paraId="53831256">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val="en-US" w:eastAsia="zh-CN"/>
              </w:rPr>
              <w:t xml:space="preserve">  《&lt;长江经济带发展负面清单指南（试行，2022年版）&gt;浙江省实施细则》</w:t>
            </w:r>
          </w:p>
          <w:p w14:paraId="4D041A35">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（节选）符合性分析表</w:t>
            </w:r>
          </w:p>
          <w:tbl>
            <w:tblPr>
              <w:tblStyle w:val="23"/>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0"/>
              <w:gridCol w:w="5454"/>
              <w:gridCol w:w="1931"/>
              <w:gridCol w:w="639"/>
            </w:tblGrid>
            <w:tr w14:paraId="48AF4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ign w:val="center"/>
                </w:tcPr>
                <w:p w14:paraId="735C5EC9">
                  <w:pPr>
                    <w:widowControl/>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kern w:val="0"/>
                      <w:sz w:val="21"/>
                      <w:szCs w:val="21"/>
                    </w:rPr>
                    <w:t>序号</w:t>
                  </w:r>
                </w:p>
              </w:tc>
              <w:tc>
                <w:tcPr>
                  <w:tcW w:w="5454" w:type="dxa"/>
                  <w:tcBorders>
                    <w:top w:val="single" w:color="auto" w:sz="4" w:space="0"/>
                    <w:left w:val="single" w:color="auto" w:sz="4" w:space="0"/>
                    <w:bottom w:val="single" w:color="auto" w:sz="4" w:space="0"/>
                    <w:right w:val="single" w:color="auto" w:sz="4" w:space="0"/>
                  </w:tcBorders>
                  <w:noWrap/>
                  <w:vAlign w:val="center"/>
                </w:tcPr>
                <w:p w14:paraId="05A38D44">
                  <w:pPr>
                    <w:widowControl/>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kern w:val="0"/>
                      <w:sz w:val="21"/>
                      <w:szCs w:val="21"/>
                    </w:rPr>
                    <w:t>指南</w:t>
                  </w:r>
                  <w:r>
                    <w:rPr>
                      <w:rFonts w:ascii="Times New Roman" w:hAnsi="Times New Roman" w:eastAsia="宋体" w:cs="Times New Roman"/>
                      <w:b/>
                      <w:bCs/>
                      <w:color w:val="auto"/>
                      <w:kern w:val="0"/>
                      <w:sz w:val="21"/>
                      <w:szCs w:val="21"/>
                    </w:rPr>
                    <w:t>具体要求</w:t>
                  </w:r>
                </w:p>
              </w:tc>
              <w:tc>
                <w:tcPr>
                  <w:tcW w:w="1931" w:type="dxa"/>
                  <w:tcBorders>
                    <w:top w:val="single" w:color="auto" w:sz="4" w:space="0"/>
                    <w:left w:val="single" w:color="auto" w:sz="4" w:space="0"/>
                    <w:bottom w:val="single" w:color="auto" w:sz="4" w:space="0"/>
                    <w:right w:val="single" w:color="auto" w:sz="4" w:space="0"/>
                  </w:tcBorders>
                  <w:noWrap/>
                  <w:vAlign w:val="center"/>
                </w:tcPr>
                <w:p w14:paraId="60131EB8">
                  <w:pPr>
                    <w:jc w:val="center"/>
                    <w:rPr>
                      <w:rFonts w:ascii="Times New Roman" w:hAnsi="Times New Roman" w:eastAsia="宋体" w:cs="Times New Roman"/>
                      <w:b/>
                      <w:bCs/>
                      <w:color w:val="auto"/>
                      <w:sz w:val="21"/>
                      <w:szCs w:val="21"/>
                    </w:rPr>
                  </w:pPr>
                  <w:r>
                    <w:rPr>
                      <w:rStyle w:val="27"/>
                      <w:rFonts w:ascii="Times New Roman" w:hAnsi="Times New Roman" w:eastAsia="宋体" w:cs="Times New Roman"/>
                      <w:color w:val="auto"/>
                      <w:sz w:val="21"/>
                      <w:szCs w:val="21"/>
                    </w:rPr>
                    <w:t>项目情况</w:t>
                  </w:r>
                </w:p>
              </w:tc>
              <w:tc>
                <w:tcPr>
                  <w:tcW w:w="639" w:type="dxa"/>
                  <w:tcBorders>
                    <w:top w:val="single" w:color="auto" w:sz="4" w:space="0"/>
                    <w:left w:val="single" w:color="auto" w:sz="4" w:space="0"/>
                    <w:bottom w:val="single" w:color="auto" w:sz="4" w:space="0"/>
                    <w:right w:val="single" w:color="auto" w:sz="4" w:space="0"/>
                  </w:tcBorders>
                  <w:noWrap/>
                  <w:vAlign w:val="center"/>
                </w:tcPr>
                <w:p w14:paraId="25283524">
                  <w:pPr>
                    <w:jc w:val="center"/>
                    <w:rPr>
                      <w:rStyle w:val="27"/>
                      <w:rFonts w:ascii="Times New Roman" w:hAnsi="Times New Roman" w:eastAsia="宋体" w:cs="Times New Roman"/>
                      <w:color w:val="auto"/>
                      <w:sz w:val="21"/>
                      <w:szCs w:val="21"/>
                    </w:rPr>
                  </w:pPr>
                  <w:r>
                    <w:rPr>
                      <w:rStyle w:val="27"/>
                      <w:rFonts w:ascii="Times New Roman" w:hAnsi="Times New Roman" w:eastAsia="宋体" w:cs="Times New Roman"/>
                      <w:color w:val="auto"/>
                      <w:sz w:val="21"/>
                      <w:szCs w:val="21"/>
                    </w:rPr>
                    <w:t>是否</w:t>
                  </w:r>
                </w:p>
                <w:p w14:paraId="3A66E3F3">
                  <w:pPr>
                    <w:jc w:val="center"/>
                    <w:rPr>
                      <w:rFonts w:ascii="Times New Roman" w:hAnsi="Times New Roman" w:eastAsia="宋体" w:cs="Times New Roman"/>
                      <w:b/>
                      <w:bCs/>
                      <w:color w:val="auto"/>
                      <w:sz w:val="21"/>
                      <w:szCs w:val="21"/>
                    </w:rPr>
                  </w:pPr>
                  <w:r>
                    <w:rPr>
                      <w:rStyle w:val="27"/>
                      <w:rFonts w:ascii="Times New Roman" w:hAnsi="Times New Roman" w:eastAsia="宋体" w:cs="Times New Roman"/>
                      <w:color w:val="auto"/>
                      <w:sz w:val="21"/>
                      <w:szCs w:val="21"/>
                    </w:rPr>
                    <w:t>符合</w:t>
                  </w:r>
                </w:p>
              </w:tc>
            </w:tr>
            <w:tr w14:paraId="649D8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ign w:val="center"/>
                </w:tcPr>
                <w:p w14:paraId="7588B38F">
                  <w:pPr>
                    <w:widowControl/>
                    <w:jc w:val="center"/>
                    <w:rPr>
                      <w:rFonts w:hint="eastAsia" w:ascii="Times New Roman" w:hAnsi="Times New Roman" w:eastAsia="宋体" w:cs="Times New Roman"/>
                      <w:color w:val="auto"/>
                      <w:sz w:val="21"/>
                      <w:szCs w:val="21"/>
                      <w:lang w:eastAsia="zh-CN"/>
                    </w:rPr>
                  </w:pPr>
                  <w:r>
                    <w:rPr>
                      <w:rStyle w:val="43"/>
                      <w:rFonts w:hint="eastAsia" w:ascii="Times New Roman" w:hAnsi="Times New Roman" w:eastAsia="宋体" w:cs="Times New Roman"/>
                      <w:color w:val="auto"/>
                      <w:sz w:val="21"/>
                      <w:szCs w:val="21"/>
                      <w:lang w:val="en-US" w:eastAsia="zh-CN"/>
                    </w:rPr>
                    <w:t>1</w:t>
                  </w:r>
                </w:p>
              </w:tc>
              <w:tc>
                <w:tcPr>
                  <w:tcW w:w="5454" w:type="dxa"/>
                  <w:tcBorders>
                    <w:top w:val="single" w:color="auto" w:sz="4" w:space="0"/>
                    <w:left w:val="single" w:color="auto" w:sz="4" w:space="0"/>
                    <w:bottom w:val="single" w:color="auto" w:sz="4" w:space="0"/>
                    <w:right w:val="single" w:color="auto" w:sz="4" w:space="0"/>
                  </w:tcBorders>
                  <w:noWrap/>
                  <w:vAlign w:val="center"/>
                </w:tcPr>
                <w:p w14:paraId="4AFCE7AC">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自然保护地的岸线和河段范围内投资建设不符合《浙江省自然保护地建设项目准入负面清单（试行）》的项目。禁止在自然保护地的岸线和河段范围内采石、采砂、采土、砍伐及其他严重改变地形地貌、破坏自然生态、影响自然景观的开发利用行为。禁止在I级林地、一级国家级公益林内建设项目。自然保护地由省林业局会同相关管理机构界定</w:t>
                  </w:r>
                </w:p>
              </w:tc>
              <w:tc>
                <w:tcPr>
                  <w:tcW w:w="1931" w:type="dxa"/>
                  <w:tcBorders>
                    <w:top w:val="single" w:color="auto" w:sz="4" w:space="0"/>
                    <w:left w:val="single" w:color="auto" w:sz="4" w:space="0"/>
                    <w:bottom w:val="single" w:color="auto" w:sz="4" w:space="0"/>
                    <w:right w:val="single" w:color="auto" w:sz="4" w:space="0"/>
                  </w:tcBorders>
                  <w:noWrap/>
                  <w:vAlign w:val="center"/>
                </w:tcPr>
                <w:p w14:paraId="20695A1A">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本项目位于</w:t>
                  </w:r>
                  <w:r>
                    <w:rPr>
                      <w:rFonts w:hint="eastAsia" w:ascii="Times New Roman" w:hAnsi="Times New Roman" w:cs="Times New Roman"/>
                      <w:color w:val="auto"/>
                      <w:kern w:val="0"/>
                      <w:sz w:val="21"/>
                      <w:szCs w:val="21"/>
                      <w:lang w:val="en-US" w:eastAsia="zh-CN"/>
                    </w:rPr>
                    <w:t>德清县阜溪街道新丰北路599号</w:t>
                  </w:r>
                  <w:r>
                    <w:rPr>
                      <w:rFonts w:ascii="Times New Roman" w:hAnsi="Times New Roman" w:cs="Times New Roman"/>
                      <w:color w:val="auto"/>
                      <w:kern w:val="0"/>
                      <w:sz w:val="21"/>
                      <w:szCs w:val="21"/>
                    </w:rPr>
                    <w:t>，</w:t>
                  </w:r>
                  <w:r>
                    <w:rPr>
                      <w:rFonts w:hint="eastAsia" w:ascii="Times New Roman" w:hAnsi="Times New Roman" w:cs="Times New Roman"/>
                      <w:color w:val="auto"/>
                      <w:kern w:val="0"/>
                      <w:sz w:val="21"/>
                      <w:szCs w:val="21"/>
                      <w:lang w:val="en-US" w:eastAsia="zh-CN"/>
                    </w:rPr>
                    <w:t>属于工业区内，</w:t>
                  </w:r>
                  <w:r>
                    <w:rPr>
                      <w:rFonts w:ascii="Times New Roman" w:hAnsi="Times New Roman" w:cs="Times New Roman"/>
                      <w:color w:val="auto"/>
                      <w:kern w:val="0"/>
                      <w:sz w:val="21"/>
                      <w:szCs w:val="21"/>
                    </w:rPr>
                    <w:t>不在</w:t>
                  </w:r>
                  <w:r>
                    <w:rPr>
                      <w:rFonts w:hint="eastAsia" w:ascii="Times New Roman" w:hAnsi="Times New Roman" w:cs="Times New Roman"/>
                      <w:color w:val="auto"/>
                      <w:kern w:val="0"/>
                      <w:sz w:val="21"/>
                      <w:szCs w:val="21"/>
                    </w:rPr>
                    <w:t>自然保护地的岸线和河段范围内</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也不在</w:t>
                  </w:r>
                  <w:r>
                    <w:rPr>
                      <w:rFonts w:hint="eastAsia" w:ascii="Times New Roman" w:hAnsi="Times New Roman" w:eastAsia="宋体" w:cs="Times New Roman"/>
                      <w:color w:val="auto"/>
                      <w:sz w:val="21"/>
                      <w:szCs w:val="21"/>
                    </w:rPr>
                    <w:t>I级林地、一级国家级公益林内</w:t>
                  </w:r>
                </w:p>
              </w:tc>
              <w:tc>
                <w:tcPr>
                  <w:tcW w:w="639" w:type="dxa"/>
                  <w:tcBorders>
                    <w:top w:val="single" w:color="auto" w:sz="4" w:space="0"/>
                    <w:left w:val="single" w:color="auto" w:sz="4" w:space="0"/>
                    <w:bottom w:val="single" w:color="auto" w:sz="4" w:space="0"/>
                    <w:right w:val="single" w:color="auto" w:sz="4" w:space="0"/>
                  </w:tcBorders>
                  <w:noWrap/>
                  <w:vAlign w:val="center"/>
                </w:tcPr>
                <w:p w14:paraId="74DE3BA2">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3E39E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1BCD45F7">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2</w:t>
                  </w:r>
                </w:p>
              </w:tc>
              <w:tc>
                <w:tcPr>
                  <w:tcW w:w="5454" w:type="dxa"/>
                  <w:noWrap/>
                  <w:vAlign w:val="center"/>
                </w:tcPr>
                <w:p w14:paraId="4EE615DB">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禁止在饮用水水源一级保护区、二级保护区、准保护区的岸线和河段范围内投资建设不符合《浙江省饮用水源保护 条例》的项目。饮用水水源一级保护区、二级保护区、准保护区由省生态环境厅会同相关管理机构界定</w:t>
                  </w:r>
                </w:p>
              </w:tc>
              <w:tc>
                <w:tcPr>
                  <w:tcW w:w="1931" w:type="dxa"/>
                  <w:noWrap/>
                  <w:vAlign w:val="center"/>
                </w:tcPr>
                <w:p w14:paraId="250E578E">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本项目不在</w:t>
                  </w:r>
                  <w:r>
                    <w:rPr>
                      <w:rFonts w:hint="eastAsia" w:ascii="Times New Roman" w:hAnsi="Times New Roman" w:cs="Times New Roman"/>
                      <w:color w:val="auto"/>
                      <w:kern w:val="0"/>
                      <w:sz w:val="21"/>
                      <w:szCs w:val="21"/>
                      <w:lang w:val="en-US" w:eastAsia="zh-CN"/>
                    </w:rPr>
                    <w:t>饮用水水源的岸线和河段范围内</w:t>
                  </w:r>
                </w:p>
              </w:tc>
              <w:tc>
                <w:tcPr>
                  <w:tcW w:w="639" w:type="dxa"/>
                  <w:noWrap/>
                  <w:vAlign w:val="center"/>
                </w:tcPr>
                <w:p w14:paraId="126FD59F">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7CD22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6E0A8B86">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3</w:t>
                  </w:r>
                </w:p>
              </w:tc>
              <w:tc>
                <w:tcPr>
                  <w:tcW w:w="5454" w:type="dxa"/>
                  <w:noWrap/>
                  <w:vAlign w:val="center"/>
                </w:tcPr>
                <w:p w14:paraId="00BE24E1">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禁止在水产种质资源保护区的岸线和河段范围内新建围湖造田、围海造地或围填海等投资建设项目。水产种质资源保护区由省农业农村厅会同相关管理机构界定</w:t>
                  </w:r>
                </w:p>
              </w:tc>
              <w:tc>
                <w:tcPr>
                  <w:tcW w:w="1931" w:type="dxa"/>
                  <w:noWrap/>
                  <w:vAlign w:val="center"/>
                </w:tcPr>
                <w:p w14:paraId="2ECA7008">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本项目不在</w:t>
                  </w:r>
                  <w:r>
                    <w:rPr>
                      <w:rFonts w:hint="eastAsia" w:ascii="Times New Roman" w:hAnsi="Times New Roman" w:cs="Times New Roman"/>
                      <w:color w:val="auto"/>
                      <w:kern w:val="0"/>
                      <w:sz w:val="21"/>
                      <w:szCs w:val="21"/>
                      <w:lang w:val="en-US" w:eastAsia="zh-CN"/>
                    </w:rPr>
                    <w:t>条例中所列区域内</w:t>
                  </w:r>
                </w:p>
              </w:tc>
              <w:tc>
                <w:tcPr>
                  <w:tcW w:w="639" w:type="dxa"/>
                  <w:noWrap/>
                  <w:vAlign w:val="center"/>
                </w:tcPr>
                <w:p w14:paraId="55C7978E">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15F1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69D0811A">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4</w:t>
                  </w:r>
                </w:p>
              </w:tc>
              <w:tc>
                <w:tcPr>
                  <w:tcW w:w="5454" w:type="dxa"/>
                  <w:noWrap/>
                  <w:vAlign w:val="center"/>
                </w:tcPr>
                <w:p w14:paraId="28279282">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在国家湿地公园的岸线和河段范围内：（一）禁止挖沙、采矿；（二）禁止任何不符合主体功能定位的投资建设项目；（三）禁止开（围）垦、填埋或者排干湿地；（四）禁止截断湿地水源；（五）禁止倾倒有毒有害物质、废弃物、垃圾；（六）禁止破坏野生动物栖息地和迁徙通道、鱼类洄游通道，禁止滥采滥捕野生动植物；（七）禁止引入外来物种；（八）禁止擅自放牧、捕捞、取土、取水、排污、放生；（九）禁止其他破坏湿地及其生态功能的活动。 国家湿地公园由省林业局会同相关管理机构界定</w:t>
                  </w:r>
                </w:p>
              </w:tc>
              <w:tc>
                <w:tcPr>
                  <w:tcW w:w="1931" w:type="dxa"/>
                  <w:noWrap/>
                  <w:vAlign w:val="center"/>
                </w:tcPr>
                <w:p w14:paraId="348ED001">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w:t>
                  </w:r>
                  <w:r>
                    <w:rPr>
                      <w:rFonts w:hint="eastAsia" w:ascii="Times New Roman" w:hAnsi="Times New Roman" w:eastAsia="宋体" w:cs="Times New Roman"/>
                      <w:color w:val="auto"/>
                      <w:sz w:val="21"/>
                      <w:szCs w:val="21"/>
                    </w:rPr>
                    <w:t>在国家湿地公园的岸线和河段范围内</w:t>
                  </w:r>
                </w:p>
              </w:tc>
              <w:tc>
                <w:tcPr>
                  <w:tcW w:w="639" w:type="dxa"/>
                  <w:noWrap/>
                  <w:vAlign w:val="center"/>
                </w:tcPr>
                <w:p w14:paraId="6C966EA8">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1AE31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55B5BC7F">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5</w:t>
                  </w:r>
                </w:p>
              </w:tc>
              <w:tc>
                <w:tcPr>
                  <w:tcW w:w="5454" w:type="dxa"/>
                  <w:noWrap/>
                  <w:vAlign w:val="center"/>
                </w:tcPr>
                <w:p w14:paraId="2E4BC345">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禁止违法利用、占用长江流域河湖岸线</w:t>
                  </w:r>
                </w:p>
              </w:tc>
              <w:tc>
                <w:tcPr>
                  <w:tcW w:w="1931" w:type="dxa"/>
                  <w:noWrap/>
                  <w:vAlign w:val="center"/>
                </w:tcPr>
                <w:p w14:paraId="115061D5">
                  <w:pPr>
                    <w:widowControl/>
                    <w:jc w:val="left"/>
                    <w:rPr>
                      <w:rFonts w:hint="default" w:ascii="Times New Roman" w:hAnsi="Times New Roman" w:cs="Times New Roman" w:eastAsiaTheme="minorEastAsia"/>
                      <w:color w:val="auto"/>
                      <w:sz w:val="21"/>
                      <w:szCs w:val="21"/>
                      <w:lang w:val="en-US" w:eastAsia="zh-CN"/>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不在长江流域河湖岸线内</w:t>
                  </w:r>
                </w:p>
              </w:tc>
              <w:tc>
                <w:tcPr>
                  <w:tcW w:w="639" w:type="dxa"/>
                  <w:noWrap/>
                  <w:vAlign w:val="center"/>
                </w:tcPr>
                <w:p w14:paraId="151ABC2E">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符合</w:t>
                  </w:r>
                </w:p>
              </w:tc>
            </w:tr>
            <w:tr w14:paraId="1EDA8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4D1BCC59">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6</w:t>
                  </w:r>
                </w:p>
              </w:tc>
              <w:tc>
                <w:tcPr>
                  <w:tcW w:w="5454" w:type="dxa"/>
                  <w:noWrap/>
                  <w:vAlign w:val="center"/>
                </w:tcPr>
                <w:p w14:paraId="2C763641">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禁止在《长江岸线保护和开发利用总体规划》划定的岸线保护区和保留区内投资建设除事关公共安全及公众利益的防洪护岸、河道治理、供水、生态环境保护、国家重要基础设施以外的项目</w:t>
                  </w:r>
                </w:p>
              </w:tc>
              <w:tc>
                <w:tcPr>
                  <w:tcW w:w="1931" w:type="dxa"/>
                  <w:noWrap/>
                  <w:vAlign w:val="center"/>
                </w:tcPr>
                <w:p w14:paraId="1ED903D9">
                  <w:pPr>
                    <w:widowControl/>
                    <w:rPr>
                      <w:rFonts w:ascii="Times New Roman" w:hAnsi="Times New Roman" w:cs="Times New Roman"/>
                      <w:color w:val="auto"/>
                      <w:sz w:val="21"/>
                      <w:szCs w:val="21"/>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不在长江岸线保留区内</w:t>
                  </w:r>
                </w:p>
              </w:tc>
              <w:tc>
                <w:tcPr>
                  <w:tcW w:w="639" w:type="dxa"/>
                  <w:noWrap/>
                  <w:vAlign w:val="center"/>
                </w:tcPr>
                <w:p w14:paraId="3A9DDA78">
                  <w:pPr>
                    <w:widowControl/>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符合</w:t>
                  </w:r>
                </w:p>
              </w:tc>
            </w:tr>
            <w:tr w14:paraId="178DC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12D6B74A">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7</w:t>
                  </w:r>
                </w:p>
              </w:tc>
              <w:tc>
                <w:tcPr>
                  <w:tcW w:w="5454" w:type="dxa"/>
                  <w:noWrap/>
                  <w:vAlign w:val="center"/>
                </w:tcPr>
                <w:p w14:paraId="4DD9518D">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禁止在《全国重要江河湖泊水功能区划》划定的河段及湖泊保护区、保留区内投资建设不利于水资源及自然生态 保护的项目</w:t>
                  </w:r>
                </w:p>
              </w:tc>
              <w:tc>
                <w:tcPr>
                  <w:tcW w:w="1931" w:type="dxa"/>
                  <w:noWrap/>
                  <w:vAlign w:val="center"/>
                </w:tcPr>
                <w:p w14:paraId="66070078">
                  <w:pPr>
                    <w:widowControl/>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不在重要江河湖泊保护区和保留区内</w:t>
                  </w:r>
                </w:p>
              </w:tc>
              <w:tc>
                <w:tcPr>
                  <w:tcW w:w="639" w:type="dxa"/>
                  <w:noWrap/>
                  <w:vAlign w:val="center"/>
                </w:tcPr>
                <w:p w14:paraId="1F917FC2">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13110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3EA30F15">
                  <w:pPr>
                    <w:widowControl/>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8</w:t>
                  </w:r>
                </w:p>
              </w:tc>
              <w:tc>
                <w:tcPr>
                  <w:tcW w:w="5454" w:type="dxa"/>
                  <w:noWrap/>
                  <w:vAlign w:val="center"/>
                </w:tcPr>
                <w:p w14:paraId="715E94A8">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禁止未经许可在长江支流及湖泊新设、改设或扩大排污口</w:t>
                  </w:r>
                </w:p>
              </w:tc>
              <w:tc>
                <w:tcPr>
                  <w:tcW w:w="1931" w:type="dxa"/>
                  <w:noWrap/>
                  <w:vAlign w:val="center"/>
                </w:tcPr>
                <w:p w14:paraId="193C7181">
                  <w:pPr>
                    <w:widowControl/>
                    <w:jc w:val="left"/>
                    <w:rPr>
                      <w:rFonts w:ascii="Times New Roman" w:hAnsi="Times New Roman" w:eastAsia="宋体" w:cs="Times New Roman"/>
                      <w:color w:val="auto"/>
                      <w:sz w:val="21"/>
                      <w:szCs w:val="21"/>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生活污水</w:t>
                  </w:r>
                  <w:r>
                    <w:rPr>
                      <w:rFonts w:hint="default" w:ascii="Times New Roman" w:hAnsi="Times New Roman" w:cs="Times New Roman"/>
                      <w:color w:val="auto"/>
                      <w:sz w:val="21"/>
                      <w:szCs w:val="21"/>
                      <w:highlight w:val="none"/>
                    </w:rPr>
                    <w:t>经</w:t>
                  </w:r>
                  <w:r>
                    <w:rPr>
                      <w:rFonts w:hint="eastAsia" w:ascii="Times New Roman" w:hAnsi="Times New Roman" w:cs="Times New Roman"/>
                      <w:color w:val="auto"/>
                      <w:sz w:val="21"/>
                      <w:szCs w:val="21"/>
                      <w:highlight w:val="none"/>
                      <w:lang w:val="en-US" w:eastAsia="zh-CN"/>
                    </w:rPr>
                    <w:t>隔油池、</w:t>
                  </w:r>
                  <w:r>
                    <w:rPr>
                      <w:rFonts w:hint="default" w:ascii="Times New Roman" w:hAnsi="Times New Roman" w:cs="Times New Roman"/>
                      <w:color w:val="auto"/>
                      <w:sz w:val="21"/>
                      <w:szCs w:val="21"/>
                      <w:highlight w:val="none"/>
                    </w:rPr>
                    <w:t>化粪池预处理后纳管至德清县恒丰污水处理有限公司及湖州碧水源环境科技有限公司集中处理</w:t>
                  </w:r>
                  <w:r>
                    <w:rPr>
                      <w:rFonts w:hint="eastAsia" w:ascii="Times New Roman" w:hAnsi="Times New Roman" w:cs="Times New Roman"/>
                      <w:color w:val="auto"/>
                      <w:kern w:val="0"/>
                      <w:sz w:val="21"/>
                      <w:szCs w:val="21"/>
                      <w:lang w:val="en-US" w:eastAsia="zh-CN"/>
                    </w:rPr>
                    <w:t>，不新增排污口</w:t>
                  </w:r>
                </w:p>
              </w:tc>
              <w:tc>
                <w:tcPr>
                  <w:tcW w:w="639" w:type="dxa"/>
                  <w:noWrap/>
                  <w:vAlign w:val="center"/>
                </w:tcPr>
                <w:p w14:paraId="46E8B560">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1A3B1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3FCBEAEA">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5454" w:type="dxa"/>
                  <w:noWrap/>
                  <w:vAlign w:val="center"/>
                </w:tcPr>
                <w:p w14:paraId="30FFFF86">
                  <w:pPr>
                    <w:widowControl/>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禁止在长江支流、太湖等重要岸线一公里范围内新建、扩建化工园区和化工项目</w:t>
                  </w:r>
                </w:p>
              </w:tc>
              <w:tc>
                <w:tcPr>
                  <w:tcW w:w="1931" w:type="dxa"/>
                  <w:noWrap/>
                  <w:vAlign w:val="center"/>
                </w:tcPr>
                <w:p w14:paraId="2242230F">
                  <w:pPr>
                    <w:widowControl/>
                    <w:rPr>
                      <w:rFonts w:hint="default" w:ascii="Times New Roman" w:hAnsi="Times New Roman" w:cs="Times New Roman" w:eastAsiaTheme="minorEastAsia"/>
                      <w:color w:val="auto"/>
                      <w:sz w:val="21"/>
                      <w:szCs w:val="21"/>
                      <w:lang w:val="en-US" w:eastAsia="zh-CN"/>
                    </w:rPr>
                  </w:pPr>
                  <w:r>
                    <w:rPr>
                      <w:rFonts w:ascii="Times New Roman" w:hAnsi="Times New Roman" w:cs="Times New Roman"/>
                      <w:color w:val="auto"/>
                      <w:kern w:val="0"/>
                      <w:sz w:val="21"/>
                      <w:szCs w:val="21"/>
                    </w:rPr>
                    <w:t>本项目</w:t>
                  </w:r>
                  <w:r>
                    <w:rPr>
                      <w:rFonts w:hint="eastAsia" w:ascii="Times New Roman" w:hAnsi="Times New Roman" w:cs="Times New Roman"/>
                      <w:color w:val="auto"/>
                      <w:sz w:val="21"/>
                      <w:szCs w:val="21"/>
                    </w:rPr>
                    <w:t>不</w:t>
                  </w:r>
                  <w:r>
                    <w:rPr>
                      <w:rFonts w:hint="eastAsia" w:ascii="Times New Roman" w:hAnsi="Times New Roman" w:cs="Times New Roman"/>
                      <w:color w:val="auto"/>
                      <w:sz w:val="21"/>
                      <w:szCs w:val="21"/>
                      <w:lang w:val="en-US" w:eastAsia="zh-CN"/>
                    </w:rPr>
                    <w:t>属于化工项目</w:t>
                  </w:r>
                </w:p>
              </w:tc>
              <w:tc>
                <w:tcPr>
                  <w:tcW w:w="639" w:type="dxa"/>
                  <w:noWrap/>
                  <w:vAlign w:val="center"/>
                </w:tcPr>
                <w:p w14:paraId="08E7AAD2">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14:paraId="115FC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636B5C48">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5454" w:type="dxa"/>
                  <w:noWrap/>
                  <w:vAlign w:val="center"/>
                </w:tcPr>
                <w:p w14:paraId="0A13153E">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禁止在长江重要支流岸线一公里范围内新建、改建、扩建尾矿库、冶炼渣库和磷石膏库，以提升安全、生态环境保护水平为目的的改扩建除外</w:t>
                  </w:r>
                </w:p>
              </w:tc>
              <w:tc>
                <w:tcPr>
                  <w:tcW w:w="1931" w:type="dxa"/>
                  <w:noWrap/>
                  <w:vAlign w:val="center"/>
                </w:tcPr>
                <w:p w14:paraId="7B54EEF4">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不属于条例中的项目</w:t>
                  </w:r>
                </w:p>
              </w:tc>
              <w:tc>
                <w:tcPr>
                  <w:tcW w:w="639" w:type="dxa"/>
                  <w:noWrap/>
                  <w:vAlign w:val="center"/>
                </w:tcPr>
                <w:p w14:paraId="137A80F7">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538E8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26C40797">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5454" w:type="dxa"/>
                  <w:noWrap/>
                  <w:vAlign w:val="center"/>
                </w:tcPr>
                <w:p w14:paraId="1B4DB6B2">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禁止在合规园区外新建、扩建钢铁、石化、化工、焦化、建材、有色、制浆造纸等高污染项目。高污染项目清单参 照生态环境部《环境保护综合目录》中的高污染产品目录执行</w:t>
                  </w:r>
                </w:p>
              </w:tc>
              <w:tc>
                <w:tcPr>
                  <w:tcW w:w="1931" w:type="dxa"/>
                  <w:noWrap/>
                  <w:vAlign w:val="center"/>
                </w:tcPr>
                <w:p w14:paraId="25BB5AD6">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不属于条例中的高污染项目</w:t>
                  </w:r>
                </w:p>
              </w:tc>
              <w:tc>
                <w:tcPr>
                  <w:tcW w:w="639" w:type="dxa"/>
                  <w:noWrap/>
                  <w:vAlign w:val="center"/>
                </w:tcPr>
                <w:p w14:paraId="709B0925">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51EE9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370D68AB">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454" w:type="dxa"/>
                  <w:noWrap/>
                  <w:vAlign w:val="center"/>
                </w:tcPr>
                <w:p w14:paraId="59FFBCA0">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禁止新建、扩建不符合国家石化、现代煤化工等产业布局规划的项目</w:t>
                  </w:r>
                </w:p>
              </w:tc>
              <w:tc>
                <w:tcPr>
                  <w:tcW w:w="1931" w:type="dxa"/>
                  <w:noWrap/>
                  <w:vAlign w:val="center"/>
                </w:tcPr>
                <w:p w14:paraId="3079F054">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不属于石化、现代煤化工项目</w:t>
                  </w:r>
                </w:p>
              </w:tc>
              <w:tc>
                <w:tcPr>
                  <w:tcW w:w="639" w:type="dxa"/>
                  <w:noWrap/>
                  <w:vAlign w:val="center"/>
                </w:tcPr>
                <w:p w14:paraId="07117831">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1D6CC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3AC23465">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5454" w:type="dxa"/>
                  <w:noWrap/>
                  <w:vAlign w:val="center"/>
                </w:tcPr>
                <w:p w14:paraId="6DB33863">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新建、扩建法律法规和相关政策明令禁止的落后产能项目，对列入《产业结构调整指导目录》淘汰类中的落后生产工艺装备、落后产品投资项目，列入《外商投资准入特别管理措施（负面清单）》的外商投资项目，一律不得核准、备案。 禁止向落后产能项目和严重过剩产能行业项目供应土地</w:t>
                  </w:r>
                </w:p>
              </w:tc>
              <w:tc>
                <w:tcPr>
                  <w:tcW w:w="1931" w:type="dxa"/>
                  <w:noWrap/>
                  <w:vAlign w:val="center"/>
                </w:tcPr>
                <w:p w14:paraId="78DD7B31">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不属于落后产能行业</w:t>
                  </w:r>
                </w:p>
              </w:tc>
              <w:tc>
                <w:tcPr>
                  <w:tcW w:w="639" w:type="dxa"/>
                  <w:noWrap/>
                  <w:vAlign w:val="center"/>
                </w:tcPr>
                <w:p w14:paraId="52A854BC">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2FDC6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33ADACA9">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5454" w:type="dxa"/>
                  <w:noWrap/>
                  <w:vAlign w:val="center"/>
                </w:tcPr>
                <w:p w14:paraId="1D92A78F">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禁止新建、扩建不符合国家产能置换要求的严重过剩产能行业的项目。部门、机构禁止办理相关的土地（海域）供应、能评、环评审批和新增授信支持等业务</w:t>
                  </w:r>
                </w:p>
              </w:tc>
              <w:tc>
                <w:tcPr>
                  <w:tcW w:w="1931" w:type="dxa"/>
                  <w:noWrap/>
                  <w:vAlign w:val="center"/>
                </w:tcPr>
                <w:p w14:paraId="62075B94">
                  <w:pPr>
                    <w:widowControl/>
                    <w:rPr>
                      <w:rFonts w:ascii="Times New Roman" w:hAnsi="Times New Roman" w:cs="Times New Roman"/>
                      <w:color w:val="auto"/>
                      <w:kern w:val="0"/>
                      <w:sz w:val="21"/>
                      <w:szCs w:val="21"/>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不属于严重过剩产能的行业</w:t>
                  </w:r>
                </w:p>
              </w:tc>
              <w:tc>
                <w:tcPr>
                  <w:tcW w:w="639" w:type="dxa"/>
                  <w:noWrap/>
                  <w:vAlign w:val="center"/>
                </w:tcPr>
                <w:p w14:paraId="33FC2EB7">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389B7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0" w:type="dxa"/>
                  <w:noWrap/>
                  <w:vAlign w:val="center"/>
                </w:tcPr>
                <w:p w14:paraId="0D3AC722">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5454" w:type="dxa"/>
                  <w:noWrap/>
                  <w:vAlign w:val="center"/>
                </w:tcPr>
                <w:p w14:paraId="70A05C95">
                  <w:pPr>
                    <w:widowControl/>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禁止新建、扩建不符合要求的高耗能高排放项目</w:t>
                  </w:r>
                </w:p>
              </w:tc>
              <w:tc>
                <w:tcPr>
                  <w:tcW w:w="1931" w:type="dxa"/>
                  <w:noWrap/>
                  <w:vAlign w:val="center"/>
                </w:tcPr>
                <w:p w14:paraId="72536DC8">
                  <w:pPr>
                    <w:widowControl/>
                    <w:rPr>
                      <w:rFonts w:hint="default" w:ascii="Times New Roman" w:hAnsi="Times New Roman" w:cs="Times New Roman" w:eastAsiaTheme="minorEastAsia"/>
                      <w:color w:val="auto"/>
                      <w:kern w:val="0"/>
                      <w:sz w:val="21"/>
                      <w:szCs w:val="21"/>
                      <w:lang w:val="en-US" w:eastAsia="zh-CN"/>
                    </w:rPr>
                  </w:pPr>
                  <w:r>
                    <w:rPr>
                      <w:rFonts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不属于高能耗项目</w:t>
                  </w:r>
                </w:p>
              </w:tc>
              <w:tc>
                <w:tcPr>
                  <w:tcW w:w="639" w:type="dxa"/>
                  <w:noWrap/>
                  <w:vAlign w:val="center"/>
                </w:tcPr>
                <w:p w14:paraId="032FA524">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bl>
          <w:p w14:paraId="64E5E06E">
            <w:pPr>
              <w:spacing w:line="500" w:lineRule="exact"/>
              <w:ind w:firstLine="480" w:firstLineChars="200"/>
              <w:textAlignment w:val="center"/>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综上所述，本项目的建设符合《&lt;长江经济带发展负面清单指南（试行</w:t>
            </w:r>
            <w:r>
              <w:rPr>
                <w:rFonts w:hint="eastAsia" w:ascii="Times New Roman" w:hAnsi="Times New Roman" w:eastAsia="宋体" w:cs="Times New Roman"/>
                <w:bCs/>
                <w:color w:val="auto"/>
                <w:sz w:val="24"/>
                <w:szCs w:val="24"/>
              </w:rPr>
              <w:t>，2022年版</w:t>
            </w:r>
            <w:r>
              <w:rPr>
                <w:rFonts w:ascii="Times New Roman" w:hAnsi="Times New Roman" w:eastAsia="宋体" w:cs="Times New Roman"/>
                <w:bCs/>
                <w:color w:val="auto"/>
                <w:sz w:val="24"/>
                <w:szCs w:val="24"/>
              </w:rPr>
              <w:t>）&gt;浙江省实施细则》中的相关要求。</w:t>
            </w:r>
          </w:p>
          <w:p w14:paraId="1490B5AA">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rPr>
            </w:pPr>
            <w:r>
              <w:rPr>
                <w:rFonts w:hint="eastAsia" w:ascii="Times New Roman" w:hAnsi="Times New Roman"/>
                <w:b/>
                <w:bCs/>
                <w:color w:val="auto"/>
                <w:sz w:val="24"/>
                <w:szCs w:val="24"/>
                <w:highlight w:val="none"/>
              </w:rPr>
              <w:t>1.</w:t>
            </w:r>
            <w:r>
              <w:rPr>
                <w:rFonts w:hint="eastAsia" w:ascii="Times New Roman" w:hAnsi="Times New Roman"/>
                <w:b/>
                <w:bCs/>
                <w:color w:val="auto"/>
                <w:sz w:val="24"/>
                <w:szCs w:val="24"/>
                <w:highlight w:val="none"/>
                <w:lang w:val="en-US" w:eastAsia="zh-CN"/>
              </w:rPr>
              <w:t>2.6《浙江省“十四五”挥发性有机物综合治理方案》符合性分析</w:t>
            </w:r>
          </w:p>
          <w:p w14:paraId="2A6D3045">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rPr>
                <w:rFonts w:hint="eastAsia" w:ascii="Times New Roman" w:hAnsi="Times New Roman"/>
                <w:b/>
                <w:bCs/>
                <w:color w:val="auto"/>
                <w:sz w:val="24"/>
                <w:szCs w:val="24"/>
                <w:highlight w:val="none"/>
                <w:lang w:val="en-US" w:eastAsia="zh-CN"/>
              </w:rPr>
            </w:pPr>
            <w:r>
              <w:rPr>
                <w:rFonts w:hint="eastAsia" w:ascii="Times New Roman" w:hAnsi="Times New Roman" w:eastAsia="宋体" w:cs="Times New Roman"/>
                <w:b w:val="0"/>
                <w:bCs/>
                <w:color w:val="auto"/>
                <w:kern w:val="2"/>
                <w:sz w:val="24"/>
                <w:szCs w:val="24"/>
                <w:highlight w:val="none"/>
                <w:lang w:val="en-US" w:eastAsia="zh-CN" w:bidi="ar-SA"/>
              </w:rPr>
              <w:t>本项目</w:t>
            </w:r>
            <w:r>
              <w:rPr>
                <w:rFonts w:hint="eastAsia" w:ascii="Times New Roman" w:hAnsi="Times New Roman" w:cs="Times New Roman"/>
                <w:b w:val="0"/>
                <w:bCs/>
                <w:color w:val="auto"/>
                <w:kern w:val="2"/>
                <w:sz w:val="24"/>
                <w:szCs w:val="24"/>
                <w:highlight w:val="none"/>
                <w:lang w:val="en-US" w:eastAsia="zh-CN" w:bidi="ar-SA"/>
              </w:rPr>
              <w:t>与《浙江省“十四五”挥发性有机物综合治理方案》符合性分析</w:t>
            </w:r>
            <w:r>
              <w:rPr>
                <w:rFonts w:hint="eastAsia" w:ascii="Times New Roman" w:hAnsi="Times New Roman" w:eastAsia="宋体" w:cs="Times New Roman"/>
                <w:b w:val="0"/>
                <w:bCs/>
                <w:color w:val="auto"/>
                <w:kern w:val="2"/>
                <w:sz w:val="24"/>
                <w:szCs w:val="24"/>
                <w:highlight w:val="none"/>
                <w:lang w:val="en-US" w:eastAsia="zh-CN" w:bidi="ar-SA"/>
              </w:rPr>
              <w:t>见表1-</w:t>
            </w:r>
            <w:r>
              <w:rPr>
                <w:rFonts w:hint="eastAsia" w:ascii="Times New Roman" w:hAnsi="Times New Roman" w:cs="Times New Roman"/>
                <w:b w:val="0"/>
                <w:bCs/>
                <w:color w:val="auto"/>
                <w:kern w:val="2"/>
                <w:sz w:val="24"/>
                <w:szCs w:val="24"/>
                <w:highlight w:val="none"/>
                <w:lang w:val="en-US" w:eastAsia="zh-CN" w:bidi="ar-SA"/>
              </w:rPr>
              <w:t>9</w:t>
            </w:r>
            <w:r>
              <w:rPr>
                <w:rFonts w:hint="eastAsia" w:ascii="Times New Roman" w:hAnsi="Times New Roman" w:eastAsia="宋体" w:cs="Times New Roman"/>
                <w:b w:val="0"/>
                <w:bCs/>
                <w:color w:val="auto"/>
                <w:kern w:val="2"/>
                <w:sz w:val="24"/>
                <w:szCs w:val="24"/>
                <w:highlight w:val="none"/>
                <w:lang w:val="en-US" w:eastAsia="zh-CN" w:bidi="ar-SA"/>
              </w:rPr>
              <w:t>。</w:t>
            </w:r>
          </w:p>
          <w:p w14:paraId="190E5017">
            <w:pPr>
              <w:adjustRightInd w:val="0"/>
              <w:snapToGrid w:val="0"/>
              <w:spacing w:line="460" w:lineRule="exact"/>
              <w:jc w:val="center"/>
              <w:rPr>
                <w:b/>
                <w:bCs/>
                <w:color w:val="auto"/>
                <w:szCs w:val="21"/>
                <w:highlight w:val="none"/>
              </w:rPr>
            </w:pPr>
            <w:r>
              <w:rPr>
                <w:rFonts w:ascii="Times New Roman" w:hAnsi="Times New Roman"/>
                <w:b/>
                <w:bCs/>
                <w:color w:val="auto"/>
                <w:szCs w:val="21"/>
                <w:highlight w:val="none"/>
              </w:rPr>
              <w:t>表1-</w:t>
            </w:r>
            <w:r>
              <w:rPr>
                <w:rFonts w:hint="eastAsia" w:ascii="Times New Roman" w:hAnsi="Times New Roman"/>
                <w:b/>
                <w:bCs/>
                <w:color w:val="auto"/>
                <w:szCs w:val="21"/>
                <w:highlight w:val="none"/>
                <w:lang w:val="en-US" w:eastAsia="zh-CN"/>
              </w:rPr>
              <w:t xml:space="preserve">9 </w:t>
            </w:r>
            <w:r>
              <w:rPr>
                <w:rFonts w:ascii="Times New Roman" w:hAnsi="Times New Roman"/>
                <w:b/>
                <w:bCs/>
                <w:color w:val="auto"/>
                <w:szCs w:val="21"/>
                <w:highlight w:val="none"/>
              </w:rPr>
              <w:t xml:space="preserve"> </w:t>
            </w:r>
            <w:r>
              <w:rPr>
                <w:rFonts w:hint="eastAsia" w:ascii="Times New Roman" w:hAnsi="Times New Roman"/>
                <w:b/>
                <w:bCs/>
                <w:color w:val="auto"/>
                <w:szCs w:val="21"/>
                <w:highlight w:val="none"/>
                <w:lang w:val="en-US" w:eastAsia="zh-CN"/>
              </w:rPr>
              <w:t>《浙江省“十四五”挥发性有机物综合治理方案》</w:t>
            </w:r>
            <w:r>
              <w:rPr>
                <w:rFonts w:hint="eastAsia" w:ascii="Times New Roman" w:hAnsi="Times New Roman"/>
                <w:b/>
                <w:bCs/>
                <w:color w:val="auto"/>
                <w:szCs w:val="21"/>
                <w:highlight w:val="none"/>
              </w:rPr>
              <w:t>符合性分析对照表</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772"/>
              <w:gridCol w:w="765"/>
            </w:tblGrid>
            <w:tr w14:paraId="1F48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3DE372F4">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内容</w:t>
                  </w:r>
                </w:p>
              </w:tc>
              <w:tc>
                <w:tcPr>
                  <w:tcW w:w="2772" w:type="dxa"/>
                  <w:vAlign w:val="center"/>
                </w:tcPr>
                <w:p w14:paraId="7B78EB26">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项目情况</w:t>
                  </w:r>
                </w:p>
              </w:tc>
              <w:tc>
                <w:tcPr>
                  <w:tcW w:w="765" w:type="dxa"/>
                  <w:vAlign w:val="center"/>
                </w:tcPr>
                <w:p w14:paraId="5DA1CF19">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是否符合</w:t>
                  </w:r>
                </w:p>
              </w:tc>
            </w:tr>
            <w:tr w14:paraId="2BAE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2DFE4E38">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优化产业结构。引导石化、化工、工业涂装、包装印刷、合成革、化纤、纺织印染等重点行业合理布局，限制高VOCs排放化工类建设项目，禁止建设生产和使用VOCs含量限值不符合国家标准的涂料、油墨、胶粘剂、清洗剂等项目。贯彻落实《产业结构调整指导目录》《国家鼓励的有毒有害原料(产品)替代品目录》，依法依规淘汰涉VOCs排放工艺和装备，加大引导退出限制类工艺和装备力度，从源头减少VOCs污染物产生。</w:t>
                  </w:r>
                </w:p>
              </w:tc>
              <w:tc>
                <w:tcPr>
                  <w:tcW w:w="2772" w:type="dxa"/>
                  <w:vAlign w:val="center"/>
                </w:tcPr>
                <w:p w14:paraId="4BC3F732">
                  <w:pP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本项目行业为C4011工业自动控制系统装置制造，项目不属于《产业结构调整指导目录（2024年本）》限制或禁止实施之列</w:t>
                  </w:r>
                </w:p>
              </w:tc>
              <w:tc>
                <w:tcPr>
                  <w:tcW w:w="765" w:type="dxa"/>
                  <w:vAlign w:val="center"/>
                </w:tcPr>
                <w:p w14:paraId="16B7C4E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p>
              </w:tc>
            </w:tr>
            <w:tr w14:paraId="7DC2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1349B3DF">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全面提升生产工艺绿色化水平。石化、化工等行业应采用原辅材料利用率高、废弃物产生量少的生产工艺，提升生产装备水平，采用密闭化、连续化、自动化、管道化等生产技术，鼓励工艺装置采取重力流布置，推广采用油品在线调和技术、密闭式循环水冷却系统等。工业涂装行业重点推进使用紧凑式涂装工艺，推广采用辊涂、静电喷涂、高压无气喷涂、空气辅助无气喷涂、热喷涂、超临界二氧化碳喷涂等技术，鼓励企业采用自动化、智能化喷涂设备替代人工喷涂，减少使用空气喷涂技术。包装印刷行业推广使用无溶剂复合、共挤出复合技术，鼓励采用水性凹印、醇水凹印、辐射固化凹印、柔版印刷、无水胶印等印刷工艺。鼓励生产工艺装备落后、在既有基础上整改困难的企业推倒重建，从车间布局、工艺装备等方面</w:t>
                  </w:r>
                </w:p>
                <w:p w14:paraId="70E2DE35">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全面提升治理水平。</w:t>
                  </w:r>
                </w:p>
              </w:tc>
              <w:tc>
                <w:tcPr>
                  <w:tcW w:w="2772" w:type="dxa"/>
                  <w:vAlign w:val="center"/>
                </w:tcPr>
                <w:p w14:paraId="199905D2">
                  <w:pPr>
                    <w:jc w:val="both"/>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本项目行业类别为C4011工业自动控制系统装置制造，不涉及治理方案所列行业。本项目不涉及生产工艺装备落后、在既有基础上整改困难的企业。</w:t>
                  </w:r>
                </w:p>
              </w:tc>
              <w:tc>
                <w:tcPr>
                  <w:tcW w:w="765" w:type="dxa"/>
                  <w:vAlign w:val="center"/>
                </w:tcPr>
                <w:p w14:paraId="4A52F3D7">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不涉及</w:t>
                  </w:r>
                </w:p>
              </w:tc>
            </w:tr>
            <w:tr w14:paraId="3163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0C433D13">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全面推行工业涂装企业使用低VOCs含量原辅材料。严格执行《大气污染防治法》第四十六条规定，选用粉末涂料、水性涂料、无溶剂涂料、辐射固化涂料等环境友好型涂料和符合要求的(高固体分)溶剂型涂料。工业涂装企业所使用的水性涂料、溶剂型涂料、无溶剂涂料、辐射固化涂料应符合《低挥发性有机化合物含量涂料产品技术要求》规定的VOCs含量限值要求，并建立台账，记录原辅材料的使用量、废弃量、去向以及VOCs含量。</w:t>
                  </w:r>
                </w:p>
              </w:tc>
              <w:tc>
                <w:tcPr>
                  <w:tcW w:w="2772" w:type="dxa"/>
                  <w:vAlign w:val="center"/>
                </w:tcPr>
                <w:p w14:paraId="06667D16">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w:t>
                  </w:r>
                </w:p>
              </w:tc>
              <w:tc>
                <w:tcPr>
                  <w:tcW w:w="765" w:type="dxa"/>
                  <w:vAlign w:val="center"/>
                </w:tcPr>
                <w:p w14:paraId="275041AF">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不涉及</w:t>
                  </w:r>
                </w:p>
              </w:tc>
            </w:tr>
            <w:tr w14:paraId="7661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12318B0A">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力推进低VOCs含量原辅材料的源头替代。全面排查使用溶剂型工业涂料、油墨、胶粘剂、清洗剂等原辅材料的企业，各地应结合本地产业特点和本方案指导目录，制定低VOCs含量原辅材料源头替代实施计划，明确分行业源头替代时间表，按照“可替尽替、应代尽代”的原则，实施一批替代溶剂型原辅材料的项目。加快低VOCs含量原辅材料研发、生产和应用，在更多技术成熟领域逐渐推广使用低VOCs含量原辅材料，到2025年，溶剂型工业涂料、油墨、胶粘剂等使用量下降比例达到国家要求。</w:t>
                  </w:r>
                </w:p>
              </w:tc>
              <w:tc>
                <w:tcPr>
                  <w:tcW w:w="2772" w:type="dxa"/>
                  <w:vAlign w:val="center"/>
                </w:tcPr>
                <w:p w14:paraId="175B8F09">
                  <w:pPr>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本项目清洗剂符合《清洗剂挥发性有机化合物含量限值》（GB38508-2020）表1中的清洗剂VOC含量及特定挥发有机物限值要求</w:t>
                  </w:r>
                </w:p>
              </w:tc>
              <w:tc>
                <w:tcPr>
                  <w:tcW w:w="765" w:type="dxa"/>
                  <w:vAlign w:val="center"/>
                </w:tcPr>
                <w:p w14:paraId="07C0C8A7">
                  <w:pPr>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35DA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42410FC5">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严格控制无组织排放。在保证安全前提下，加强含VOCs物料全方位、全链条、全环节密闭管理，做好VOCs物料储存、转移和输送、设备与管线组件泄漏、敞开液面逸散以及工艺过程等无组织排放环节的管理。生产应优先采用密闭设备、在密闭空间中操作或采用全密闭集气罩收集方式，原则上应保持微负压状态，并根据相关规范合理设置通风量;采用局部集气罩的，距集气罩开口面最远处的VOCs无组织排放位置控制风速应不低于0.3米/秒。对</w:t>
                  </w:r>
                  <w:r>
                    <w:rPr>
                      <w:rFonts w:hint="eastAsia" w:ascii="Times New Roman" w:hAnsi="Times New Roman" w:cs="Times New Roman"/>
                      <w:color w:val="auto"/>
                      <w:szCs w:val="21"/>
                      <w:highlight w:val="none"/>
                      <w:lang w:val="en-US" w:eastAsia="zh-CN"/>
                    </w:rPr>
                    <w:t>V</w:t>
                  </w:r>
                  <w:r>
                    <w:rPr>
                      <w:rFonts w:hint="default" w:ascii="Times New Roman" w:hAnsi="Times New Roman" w:cs="Times New Roman"/>
                      <w:color w:val="auto"/>
                      <w:szCs w:val="21"/>
                      <w:highlight w:val="none"/>
                    </w:rPr>
                    <w:t>OCs物料储罐和污水集输、储存、处理设施开展排查，督促企业按要求开展专项治理。</w:t>
                  </w:r>
                </w:p>
              </w:tc>
              <w:tc>
                <w:tcPr>
                  <w:tcW w:w="2772" w:type="dxa"/>
                  <w:vAlign w:val="center"/>
                </w:tcPr>
                <w:p w14:paraId="5B91623E">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本项目严格控制无组织排放。加强VOC</w:t>
                  </w:r>
                  <w:r>
                    <w:rPr>
                      <w:rFonts w:hint="eastAsia" w:ascii="Times New Roman" w:hAnsi="Times New Roman" w:cs="Times New Roman"/>
                      <w:color w:val="auto"/>
                      <w:szCs w:val="21"/>
                      <w:highlight w:val="none"/>
                      <w:vertAlign w:val="subscript"/>
                      <w:lang w:val="en-US" w:eastAsia="zh-CN"/>
                    </w:rPr>
                    <w:t>S</w:t>
                  </w:r>
                  <w:r>
                    <w:rPr>
                      <w:rFonts w:hint="eastAsia" w:ascii="Times New Roman" w:hAnsi="Times New Roman" w:cs="Times New Roman"/>
                      <w:color w:val="auto"/>
                      <w:szCs w:val="21"/>
                      <w:highlight w:val="none"/>
                      <w:lang w:val="en-US" w:eastAsia="zh-CN"/>
                    </w:rPr>
                    <w:t>物料全方位、全链条、全环节密闭管理，做好VOCs物料储存、转移和输送、设备与管线组件泄漏，以及工艺过程等无组织排放环节的管理。项目对产生VOC</w:t>
                  </w:r>
                  <w:r>
                    <w:rPr>
                      <w:rFonts w:hint="eastAsia" w:ascii="Times New Roman" w:hAnsi="Times New Roman" w:cs="Times New Roman"/>
                      <w:color w:val="auto"/>
                      <w:szCs w:val="21"/>
                      <w:highlight w:val="none"/>
                      <w:vertAlign w:val="subscript"/>
                      <w:lang w:val="en-US" w:eastAsia="zh-CN"/>
                    </w:rPr>
                    <w:t>S</w:t>
                  </w:r>
                  <w:r>
                    <w:rPr>
                      <w:rFonts w:hint="eastAsia" w:ascii="Times New Roman" w:hAnsi="Times New Roman" w:cs="Times New Roman"/>
                      <w:color w:val="auto"/>
                      <w:szCs w:val="21"/>
                      <w:highlight w:val="none"/>
                      <w:lang w:val="en-US" w:eastAsia="zh-CN"/>
                    </w:rPr>
                    <w:t>的环节进行废气收集与处理，并按规范进行工程设计</w:t>
                  </w:r>
                </w:p>
              </w:tc>
              <w:tc>
                <w:tcPr>
                  <w:tcW w:w="765" w:type="dxa"/>
                  <w:vAlign w:val="center"/>
                </w:tcPr>
                <w:p w14:paraId="04FC2D6D">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45DD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79829D5E">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建设适宜高效的治理设施。企业新建治理设施或对现有治理设施实施改造，应结合排放</w:t>
                  </w:r>
                  <w:r>
                    <w:rPr>
                      <w:rFonts w:hint="eastAsia" w:ascii="Times New Roman" w:hAnsi="Times New Roman" w:cs="Times New Roman"/>
                      <w:color w:val="auto"/>
                      <w:szCs w:val="21"/>
                      <w:highlight w:val="none"/>
                      <w:lang w:val="en-US" w:eastAsia="zh-CN"/>
                    </w:rPr>
                    <w:t>V</w:t>
                  </w:r>
                  <w:r>
                    <w:rPr>
                      <w:rFonts w:hint="default" w:ascii="Times New Roman" w:hAnsi="Times New Roman" w:cs="Times New Roman"/>
                      <w:color w:val="auto"/>
                      <w:szCs w:val="21"/>
                      <w:highlight w:val="none"/>
                    </w:rPr>
                    <w:t>OCs产生特征、生产工况等合理选择治理技术，对治理难度大、单一治理工艺难以稳定达标的，要采用多种技术的组合工艺。采用活性炭吸附技术的，吸附装置和活性炭应符合相关技术要求，并按要求足量添加、定期更换活性炭。组织开展使用光催化、光氧化、低温等离子、一次性活性炭或上述组合技术等VOCs治理设施排查，对达不到要求的，应当更换或升级改造，实现稳定达标排放。到2025年，完成5000家低效VOCs治理设施改造升级，石化行业的VOCs综合去除效率达到70%以上，化工、工业涂装、包装印刷、合成革等行业的VOCs综合去除效率达到60%以上。</w:t>
                  </w:r>
                </w:p>
              </w:tc>
              <w:tc>
                <w:tcPr>
                  <w:tcW w:w="2772" w:type="dxa"/>
                  <w:vAlign w:val="center"/>
                </w:tcPr>
                <w:p w14:paraId="7D325B73">
                  <w:pPr>
                    <w:jc w:val="both"/>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本项目针对有机废气采用“</w:t>
                  </w:r>
                  <w:r>
                    <w:rPr>
                      <w:rFonts w:hint="eastAsia" w:ascii="Times New Roman" w:hAnsi="Times New Roman" w:eastAsia="宋体" w:cs="Times New Roman"/>
                      <w:color w:val="auto"/>
                      <w:sz w:val="21"/>
                      <w:szCs w:val="21"/>
                      <w:lang w:val="en-US" w:eastAsia="zh-CN"/>
                    </w:rPr>
                    <w:t>活性炭吸附</w:t>
                  </w:r>
                  <w:r>
                    <w:rPr>
                      <w:rFonts w:hint="eastAsia" w:ascii="Times New Roman" w:hAnsi="Times New Roman" w:cs="Times New Roman"/>
                      <w:color w:val="auto"/>
                      <w:szCs w:val="21"/>
                      <w:highlight w:val="none"/>
                      <w:lang w:val="en-US" w:eastAsia="zh-CN"/>
                    </w:rPr>
                    <w:t>”该处理技术符合该行业技术规范中的要求，其处理效率能够满足要求</w:t>
                  </w:r>
                </w:p>
              </w:tc>
              <w:tc>
                <w:tcPr>
                  <w:tcW w:w="765" w:type="dxa"/>
                  <w:vAlign w:val="center"/>
                </w:tcPr>
                <w:p w14:paraId="5B178EA5">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79A7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8" w:type="dxa"/>
                  <w:vAlign w:val="center"/>
                </w:tcPr>
                <w:p w14:paraId="0B1016E8">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加强治理设施运行管理。按照治理设施较生产设备“先启后停”的原则提升治理设施投运率。根据处理工艺要求，在治理设施达到正常运行条件后方可启动生产设备，在生产设备停止、残留VOCs 收集处理完毕后，方可停运治理设施。VOCs治理设施发生故障或检修时，对应生产设备应停止运行，待检修完毕后投入使用;因安全等因素生产设备不能停止或不能及时停止运行的，应设置废气应急处理设施或采取其他替代措施。</w:t>
                  </w:r>
                </w:p>
              </w:tc>
              <w:tc>
                <w:tcPr>
                  <w:tcW w:w="2772" w:type="dxa"/>
                  <w:vAlign w:val="center"/>
                </w:tcPr>
                <w:p w14:paraId="0093A6B9">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本项目将加强治理设施运行管理，确保VOCs稳定达标排放</w:t>
                  </w:r>
                </w:p>
              </w:tc>
              <w:tc>
                <w:tcPr>
                  <w:tcW w:w="765" w:type="dxa"/>
                  <w:vAlign w:val="center"/>
                </w:tcPr>
                <w:p w14:paraId="03143A2D">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bl>
          <w:p w14:paraId="741E531C">
            <w:pPr>
              <w:pStyle w:val="7"/>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firstLine="480" w:firstLineChars="200"/>
              <w:textAlignment w:val="center"/>
              <w:rPr>
                <w:rFonts w:hint="eastAsia" w:ascii="Times New Roman" w:hAnsi="Times New Roman"/>
                <w:b w:val="0"/>
                <w:bCs w:val="0"/>
                <w:color w:val="auto"/>
                <w:sz w:val="24"/>
                <w:szCs w:val="24"/>
                <w:highlight w:val="none"/>
                <w:lang w:val="en-US" w:eastAsia="zh-CN"/>
              </w:rPr>
            </w:pPr>
            <w:r>
              <w:rPr>
                <w:rFonts w:hint="eastAsia" w:ascii="Times New Roman" w:hAnsi="Times New Roman"/>
                <w:b w:val="0"/>
                <w:bCs w:val="0"/>
                <w:color w:val="auto"/>
                <w:sz w:val="24"/>
                <w:szCs w:val="24"/>
                <w:highlight w:val="none"/>
                <w:lang w:val="en-US" w:eastAsia="zh-CN"/>
              </w:rPr>
              <w:t>综上分析，本项目符合《</w:t>
            </w:r>
            <w:r>
              <w:rPr>
                <w:rFonts w:hint="eastAsia" w:ascii="Times New Roman" w:hAnsi="Times New Roman" w:cs="Times New Roman"/>
                <w:b w:val="0"/>
                <w:bCs/>
                <w:color w:val="auto"/>
                <w:kern w:val="2"/>
                <w:sz w:val="24"/>
                <w:szCs w:val="24"/>
                <w:highlight w:val="none"/>
                <w:lang w:val="en-US" w:eastAsia="zh-CN" w:bidi="ar-SA"/>
              </w:rPr>
              <w:t>浙江省“十四五”挥发性有机物综合治理方案</w:t>
            </w:r>
            <w:r>
              <w:rPr>
                <w:rFonts w:hint="eastAsia" w:ascii="Times New Roman" w:hAnsi="Times New Roman"/>
                <w:b w:val="0"/>
                <w:bCs w:val="0"/>
                <w:color w:val="auto"/>
                <w:sz w:val="24"/>
                <w:szCs w:val="24"/>
                <w:highlight w:val="none"/>
                <w:lang w:val="en-US" w:eastAsia="zh-CN"/>
              </w:rPr>
              <w:t>》中的相关要求。</w:t>
            </w:r>
          </w:p>
          <w:p w14:paraId="6A010E79">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rPr>
            </w:pPr>
            <w:r>
              <w:rPr>
                <w:rFonts w:hint="eastAsia" w:ascii="Times New Roman" w:hAnsi="Times New Roman"/>
                <w:b/>
                <w:bCs/>
                <w:color w:val="auto"/>
                <w:sz w:val="24"/>
                <w:szCs w:val="24"/>
                <w:highlight w:val="none"/>
              </w:rPr>
              <w:t>1.</w:t>
            </w:r>
            <w:r>
              <w:rPr>
                <w:rFonts w:hint="eastAsia" w:ascii="Times New Roman" w:hAnsi="Times New Roman"/>
                <w:b/>
                <w:bCs/>
                <w:color w:val="auto"/>
                <w:sz w:val="24"/>
                <w:szCs w:val="24"/>
                <w:highlight w:val="none"/>
                <w:lang w:val="en-US" w:eastAsia="zh-CN"/>
              </w:rPr>
              <w:t>2.7《浙江省工业企业恶臭异味管控技术指南（试行）》符合性分析</w:t>
            </w:r>
          </w:p>
          <w:p w14:paraId="008FD5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val="0"/>
                <w:bCs/>
                <w:color w:val="auto"/>
                <w:kern w:val="2"/>
                <w:sz w:val="24"/>
                <w:szCs w:val="24"/>
                <w:highlight w:val="none"/>
                <w:lang w:val="en-US" w:eastAsia="zh-CN" w:bidi="ar-SA"/>
              </w:rPr>
              <w:t>根据《浙江省工业企业恶臭异味管控技术指南（试行）》，本项目符合性分析</w:t>
            </w:r>
            <w:r>
              <w:rPr>
                <w:rFonts w:hint="default" w:ascii="Times New Roman" w:hAnsi="Times New Roman" w:eastAsia="宋体" w:cs="Times New Roman"/>
                <w:b w:val="0"/>
                <w:bCs/>
                <w:color w:val="auto"/>
                <w:kern w:val="2"/>
                <w:sz w:val="24"/>
                <w:szCs w:val="24"/>
                <w:highlight w:val="none"/>
                <w:lang w:val="en-US" w:eastAsia="zh-CN" w:bidi="ar-SA"/>
              </w:rPr>
              <w:t>具体见表</w:t>
            </w:r>
            <w:r>
              <w:rPr>
                <w:rFonts w:hint="eastAsia" w:ascii="Times New Roman" w:hAnsi="Times New Roman" w:eastAsia="宋体" w:cs="Times New Roman"/>
                <w:b w:val="0"/>
                <w:bCs/>
                <w:color w:val="auto"/>
                <w:kern w:val="2"/>
                <w:sz w:val="24"/>
                <w:szCs w:val="24"/>
                <w:highlight w:val="none"/>
                <w:lang w:val="en-US" w:eastAsia="zh-CN" w:bidi="ar-SA"/>
              </w:rPr>
              <w:t>1</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ascii="Times New Roman" w:hAnsi="Times New Roman" w:eastAsia="宋体" w:cs="Times New Roman"/>
                <w:b w:val="0"/>
                <w:bCs/>
                <w:color w:val="auto"/>
                <w:kern w:val="2"/>
                <w:sz w:val="24"/>
                <w:szCs w:val="24"/>
                <w:highlight w:val="none"/>
                <w:lang w:val="en-US" w:eastAsia="zh-CN" w:bidi="ar-SA"/>
              </w:rPr>
              <w:t>10。</w:t>
            </w:r>
          </w:p>
          <w:p w14:paraId="47C28BF7">
            <w:pPr>
              <w:adjustRightInd w:val="0"/>
              <w:snapToGrid w:val="0"/>
              <w:spacing w:line="460" w:lineRule="exact"/>
              <w:jc w:val="center"/>
              <w:rPr>
                <w:b/>
                <w:bCs/>
                <w:color w:val="auto"/>
                <w:szCs w:val="21"/>
                <w:highlight w:val="none"/>
              </w:rPr>
            </w:pPr>
            <w:r>
              <w:rPr>
                <w:rFonts w:ascii="Times New Roman" w:hAnsi="Times New Roman"/>
                <w:b/>
                <w:bCs/>
                <w:color w:val="auto"/>
                <w:szCs w:val="21"/>
                <w:highlight w:val="none"/>
              </w:rPr>
              <w:t>表1-</w:t>
            </w:r>
            <w:r>
              <w:rPr>
                <w:rFonts w:hint="eastAsia" w:ascii="Times New Roman" w:hAnsi="Times New Roman"/>
                <w:b/>
                <w:bCs/>
                <w:color w:val="auto"/>
                <w:szCs w:val="21"/>
                <w:highlight w:val="none"/>
                <w:lang w:val="en-US" w:eastAsia="zh-CN"/>
              </w:rPr>
              <w:t xml:space="preserve">10 </w:t>
            </w:r>
            <w:r>
              <w:rPr>
                <w:rFonts w:ascii="Times New Roman" w:hAnsi="Times New Roman"/>
                <w:b/>
                <w:bCs/>
                <w:color w:val="auto"/>
                <w:szCs w:val="21"/>
                <w:highlight w:val="none"/>
              </w:rPr>
              <w:t xml:space="preserve"> </w:t>
            </w:r>
            <w:r>
              <w:rPr>
                <w:rFonts w:hint="eastAsia" w:ascii="Times New Roman" w:hAnsi="Times New Roman"/>
                <w:b/>
                <w:bCs/>
                <w:color w:val="auto"/>
                <w:szCs w:val="21"/>
                <w:highlight w:val="none"/>
                <w:lang w:val="en-US" w:eastAsia="zh-CN"/>
              </w:rPr>
              <w:t>《浙江省工业企业恶臭异味管控技术指南（试行）》</w:t>
            </w:r>
            <w:r>
              <w:rPr>
                <w:rFonts w:hint="eastAsia" w:ascii="Times New Roman" w:hAnsi="Times New Roman"/>
                <w:b/>
                <w:bCs/>
                <w:color w:val="auto"/>
                <w:szCs w:val="21"/>
                <w:highlight w:val="none"/>
              </w:rPr>
              <w:t>符合性分析</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4252"/>
              <w:gridCol w:w="2772"/>
              <w:gridCol w:w="765"/>
            </w:tblGrid>
            <w:tr w14:paraId="3974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5DD06C7F">
                  <w:pPr>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异味管控措施</w:t>
                  </w:r>
                </w:p>
              </w:tc>
              <w:tc>
                <w:tcPr>
                  <w:tcW w:w="4252" w:type="dxa"/>
                  <w:vAlign w:val="center"/>
                </w:tcPr>
                <w:p w14:paraId="69C804AF">
                  <w:pPr>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整治要求</w:t>
                  </w:r>
                </w:p>
              </w:tc>
              <w:tc>
                <w:tcPr>
                  <w:tcW w:w="2772" w:type="dxa"/>
                  <w:vAlign w:val="center"/>
                </w:tcPr>
                <w:p w14:paraId="324DCBB9">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项目情况</w:t>
                  </w:r>
                </w:p>
              </w:tc>
              <w:tc>
                <w:tcPr>
                  <w:tcW w:w="765" w:type="dxa"/>
                  <w:vAlign w:val="center"/>
                </w:tcPr>
                <w:p w14:paraId="3845CB7B">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是否符合</w:t>
                  </w:r>
                </w:p>
              </w:tc>
            </w:tr>
            <w:tr w14:paraId="484E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1207F794">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原辅料替代</w:t>
                  </w:r>
                </w:p>
              </w:tc>
              <w:tc>
                <w:tcPr>
                  <w:tcW w:w="4252" w:type="dxa"/>
                  <w:vAlign w:val="center"/>
                </w:tcPr>
                <w:p w14:paraId="3D881716">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企业依据自身情况、行业特征、现有技术，对涉异味的原辅材料开展源头替代，采用低挥发性、异味影响较低的物料，从源头上减少自身异味排放。</w:t>
                  </w:r>
                </w:p>
              </w:tc>
              <w:tc>
                <w:tcPr>
                  <w:tcW w:w="2772" w:type="dxa"/>
                  <w:vAlign w:val="center"/>
                </w:tcPr>
                <w:p w14:paraId="28A13C0B">
                  <w:pP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本项目</w:t>
                  </w:r>
                  <w:r>
                    <w:rPr>
                      <w:rFonts w:hint="eastAsia" w:ascii="Times New Roman" w:hAnsi="Times New Roman" w:cs="Times New Roman"/>
                      <w:color w:val="auto"/>
                      <w:szCs w:val="21"/>
                      <w:highlight w:val="none"/>
                      <w:lang w:val="en-US" w:eastAsia="zh-CN"/>
                    </w:rPr>
                    <w:t>不涉及溶剂涂料等，项目使用的助焊剂和清洗剂均为水性，产生的异味较少</w:t>
                  </w:r>
                </w:p>
              </w:tc>
              <w:tc>
                <w:tcPr>
                  <w:tcW w:w="765" w:type="dxa"/>
                  <w:vAlign w:val="center"/>
                </w:tcPr>
                <w:p w14:paraId="5C39249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p>
              </w:tc>
            </w:tr>
            <w:tr w14:paraId="4BC6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68AE2804">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过程控制</w:t>
                  </w:r>
                </w:p>
              </w:tc>
              <w:tc>
                <w:tcPr>
                  <w:tcW w:w="4252" w:type="dxa"/>
                  <w:vAlign w:val="center"/>
                </w:tcPr>
                <w:p w14:paraId="5DE29009">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优先对储存、运输、生产设施等异味产生单元进行密闭，封闭不必要的开口。由于生产工艺需求及安全因素无法密闭的，可采用局部集气措施，确保废气收集风量最小化、处理效果最优化。有条件的企业可通过废气循环化利用实现异味气体“减风增浓”。对异味影响较大的污水处理系统实施加盖或密闭措施，使用合理的废气管网设计，密闭区域实现微负压，确保异味气体不外泄。</w:t>
                  </w:r>
                </w:p>
              </w:tc>
              <w:tc>
                <w:tcPr>
                  <w:tcW w:w="2772" w:type="dxa"/>
                  <w:vAlign w:val="center"/>
                </w:tcPr>
                <w:p w14:paraId="312A8015">
                  <w:pPr>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lang w:val="en-US"/>
                    </w:rPr>
                    <w:t>企业对储存、运输、生产设 施等异味产生单元进行了 密闭，封闭不必要的开口</w:t>
                  </w:r>
                </w:p>
              </w:tc>
              <w:tc>
                <w:tcPr>
                  <w:tcW w:w="765" w:type="dxa"/>
                  <w:vAlign w:val="center"/>
                </w:tcPr>
                <w:p w14:paraId="6ACED93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p>
              </w:tc>
            </w:tr>
            <w:tr w14:paraId="4431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26079AC0">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末端高效治理</w:t>
                  </w:r>
                </w:p>
              </w:tc>
              <w:tc>
                <w:tcPr>
                  <w:tcW w:w="4252" w:type="dxa"/>
                  <w:vAlign w:val="center"/>
                </w:tcPr>
                <w:p w14:paraId="41BC5814">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实现异味气体“分质分类治理。氨、硫化氢、酸雾等无机废气采用吸收等工艺处理，水溶性有机废气采用氧化吸收、吸附等工艺处理，非水溶性有机废气采用冷凝、吸附、燃烧等工艺处理，实现废气末端治理水平进一步提升。</w:t>
                  </w:r>
                </w:p>
              </w:tc>
              <w:tc>
                <w:tcPr>
                  <w:tcW w:w="2772" w:type="dxa"/>
                  <w:vAlign w:val="center"/>
                </w:tcPr>
                <w:p w14:paraId="73B6095C">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w:t>
                  </w:r>
                </w:p>
              </w:tc>
              <w:tc>
                <w:tcPr>
                  <w:tcW w:w="765" w:type="dxa"/>
                  <w:vAlign w:val="center"/>
                </w:tcPr>
                <w:p w14:paraId="04E9F745">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不涉及</w:t>
                  </w:r>
                </w:p>
              </w:tc>
            </w:tr>
            <w:tr w14:paraId="0177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697E50FC">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治理设施运行管理</w:t>
                  </w:r>
                </w:p>
              </w:tc>
              <w:tc>
                <w:tcPr>
                  <w:tcW w:w="4252" w:type="dxa"/>
                  <w:vAlign w:val="center"/>
                </w:tcPr>
                <w:p w14:paraId="6BA43CA4">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对废气治理设施进行有效的运行管理，定期检查设施工作状态，吸收类治理设施需定期更换循环液并添加药剂，吸附类治理设施需定期更换或再生吸附剂，燃烧类治理设施需设定有效的氧化温度和停留时间，确保设施运行效果。重点企业运用在线监测系统、视频监控等智慧化手段管理废气治理设施。</w:t>
                  </w:r>
                </w:p>
              </w:tc>
              <w:tc>
                <w:tcPr>
                  <w:tcW w:w="2772" w:type="dxa"/>
                  <w:vAlign w:val="center"/>
                </w:tcPr>
                <w:p w14:paraId="39C0CFBE">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企业投产后将对废气治理 设施进行有效的运行管理，并定期检查设施工作状态。定期更换活性炭，确保设施运营效果</w:t>
                  </w:r>
                </w:p>
              </w:tc>
              <w:tc>
                <w:tcPr>
                  <w:tcW w:w="765" w:type="dxa"/>
                  <w:vAlign w:val="center"/>
                </w:tcPr>
                <w:p w14:paraId="6F5B01C4">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2FE4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0640C3A7">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排气筒设置</w:t>
                  </w:r>
                </w:p>
              </w:tc>
              <w:tc>
                <w:tcPr>
                  <w:tcW w:w="4252" w:type="dxa"/>
                  <w:vAlign w:val="center"/>
                </w:tcPr>
                <w:p w14:paraId="42948BBD">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企业合理设置异味气体排气筒的位置、高度等参数，降低异味对周边区域影响。</w:t>
                  </w:r>
                </w:p>
              </w:tc>
              <w:tc>
                <w:tcPr>
                  <w:tcW w:w="2772" w:type="dxa"/>
                  <w:vAlign w:val="center"/>
                </w:tcPr>
                <w:p w14:paraId="26C705FC">
                  <w:pPr>
                    <w:jc w:val="center"/>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企业</w:t>
                  </w:r>
                  <w:r>
                    <w:rPr>
                      <w:rFonts w:hint="eastAsia" w:ascii="Times New Roman" w:hAnsi="Times New Roman" w:cs="Times New Roman"/>
                      <w:color w:val="auto"/>
                      <w:szCs w:val="21"/>
                      <w:highlight w:val="none"/>
                      <w:lang w:val="en-US" w:eastAsia="zh-CN"/>
                    </w:rPr>
                    <w:t>将</w:t>
                  </w:r>
                  <w:r>
                    <w:rPr>
                      <w:rFonts w:hint="default" w:ascii="Times New Roman" w:hAnsi="Times New Roman" w:cs="Times New Roman"/>
                      <w:color w:val="auto"/>
                      <w:szCs w:val="21"/>
                      <w:highlight w:val="none"/>
                    </w:rPr>
                    <w:t>合理设置异味气体排气筒的位置、高度等参数，降低异味对周边区域影响</w:t>
                  </w:r>
                </w:p>
              </w:tc>
              <w:tc>
                <w:tcPr>
                  <w:tcW w:w="765" w:type="dxa"/>
                  <w:vAlign w:val="center"/>
                </w:tcPr>
                <w:p w14:paraId="65B76FBE">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r w14:paraId="561B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214D7104">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异味管理设施</w:t>
                  </w:r>
                </w:p>
              </w:tc>
              <w:tc>
                <w:tcPr>
                  <w:tcW w:w="4252" w:type="dxa"/>
                  <w:vAlign w:val="center"/>
                </w:tcPr>
                <w:p w14:paraId="74F34C87">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企业设置专业环保管理人员，并建立完善的环保管理制度，对产生异味的重点环节加强管理，按照HJ 944、HJ 861的要求建立台账。</w:t>
                  </w:r>
                </w:p>
              </w:tc>
              <w:tc>
                <w:tcPr>
                  <w:tcW w:w="2772" w:type="dxa"/>
                  <w:vAlign w:val="center"/>
                </w:tcPr>
                <w:p w14:paraId="15718AA9">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企业将设置专业环保管理人员，并建立完善的环保管理制度，对产生异味的重点环节加强管理，并建立台账</w:t>
                  </w:r>
                </w:p>
              </w:tc>
              <w:tc>
                <w:tcPr>
                  <w:tcW w:w="765" w:type="dxa"/>
                  <w:vAlign w:val="center"/>
                </w:tcPr>
                <w:p w14:paraId="3896107A">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符合</w:t>
                  </w:r>
                </w:p>
              </w:tc>
            </w:tr>
          </w:tbl>
          <w:p w14:paraId="025E1CE2">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rPr>
                <w:rFonts w:hint="eastAsia" w:ascii="Times New Roman" w:hAnsi="Times New Roman" w:cs="Times New Roman"/>
                <w:b/>
                <w:color w:val="auto"/>
                <w:sz w:val="24"/>
                <w:highlight w:val="none"/>
                <w:lang w:val="en-US" w:eastAsia="zh-CN"/>
              </w:rPr>
            </w:pPr>
            <w:r>
              <w:rPr>
                <w:rFonts w:hint="eastAsia" w:ascii="Times New Roman" w:hAnsi="Times New Roman"/>
                <w:b w:val="0"/>
                <w:bCs w:val="0"/>
                <w:color w:val="auto"/>
                <w:sz w:val="24"/>
                <w:szCs w:val="24"/>
                <w:highlight w:val="none"/>
                <w:lang w:val="en-US" w:eastAsia="zh-CN"/>
              </w:rPr>
              <w:t>综上分析，本项目符合《浙江省工业企业恶臭异味管控技术指南（试行）》相关要求。</w:t>
            </w:r>
          </w:p>
          <w:p w14:paraId="1C79E66E">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lang w:val="en-US" w:eastAsia="zh-CN"/>
              </w:rPr>
            </w:pPr>
            <w:r>
              <w:rPr>
                <w:rFonts w:hint="eastAsia" w:ascii="Times New Roman" w:hAnsi="Times New Roman" w:cs="Times New Roman"/>
                <w:b/>
                <w:color w:val="auto"/>
                <w:sz w:val="24"/>
                <w:highlight w:val="none"/>
                <w:lang w:val="en-US" w:eastAsia="zh-CN"/>
              </w:rPr>
              <w:t>1.2.8</w:t>
            </w:r>
            <w:r>
              <w:rPr>
                <w:rFonts w:hint="default" w:ascii="Times New Roman" w:hAnsi="Times New Roman" w:eastAsia="宋体" w:cs="Times New Roman"/>
                <w:b/>
                <w:color w:val="auto"/>
                <w:sz w:val="24"/>
                <w:highlight w:val="none"/>
              </w:rPr>
              <w:t>《浙江省臭氧污染防治攻坚三年行动方案》</w:t>
            </w:r>
            <w:r>
              <w:rPr>
                <w:rFonts w:hint="eastAsia" w:ascii="Times New Roman" w:hAnsi="Times New Roman" w:eastAsia="宋体" w:cs="Times New Roman"/>
                <w:b/>
                <w:color w:val="auto"/>
                <w:sz w:val="24"/>
                <w:highlight w:val="none"/>
                <w:lang w:val="en-US" w:eastAsia="zh-CN"/>
              </w:rPr>
              <w:t>符合性分析</w:t>
            </w:r>
          </w:p>
          <w:p w14:paraId="3588FE3C">
            <w:pPr>
              <w:pStyle w:val="7"/>
              <w:spacing w:line="500" w:lineRule="exact"/>
              <w:ind w:firstLine="480" w:firstLineChars="200"/>
              <w:rPr>
                <w:rFonts w:hint="default" w:ascii="Times New Roman" w:hAnsi="Times New Roman" w:cs="Times New Roman"/>
                <w:b/>
                <w:snapToGrid w:val="0"/>
                <w:color w:val="auto"/>
                <w:sz w:val="24"/>
                <w:szCs w:val="22"/>
              </w:rPr>
            </w:pPr>
            <w:r>
              <w:rPr>
                <w:rFonts w:hint="default" w:ascii="Times New Roman" w:hAnsi="Times New Roman" w:cs="Times New Roman"/>
                <w:color w:val="auto"/>
                <w:sz w:val="24"/>
                <w:szCs w:val="22"/>
              </w:rPr>
              <w:t>本环评对照该行动方案中的相关条款要求进行符合性分析，具体见表1-</w:t>
            </w:r>
            <w:r>
              <w:rPr>
                <w:rFonts w:hint="eastAsia" w:ascii="Times New Roman" w:hAnsi="Times New Roman" w:cs="Times New Roman"/>
                <w:color w:val="auto"/>
                <w:sz w:val="24"/>
                <w:szCs w:val="22"/>
                <w:lang w:val="en-US" w:eastAsia="zh-CN"/>
              </w:rPr>
              <w:t>11</w:t>
            </w:r>
            <w:r>
              <w:rPr>
                <w:rFonts w:hint="default" w:ascii="Times New Roman" w:hAnsi="Times New Roman" w:cs="Times New Roman"/>
                <w:color w:val="auto"/>
                <w:sz w:val="24"/>
                <w:szCs w:val="22"/>
              </w:rPr>
              <w:t>。</w:t>
            </w:r>
          </w:p>
          <w:p w14:paraId="4FBF49FF">
            <w:pPr>
              <w:spacing w:line="46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表1-</w:t>
            </w:r>
            <w:r>
              <w:rPr>
                <w:rFonts w:hint="eastAsia" w:ascii="Times New Roman" w:hAnsi="Times New Roman" w:cs="Times New Roman"/>
                <w:b/>
                <w:bCs/>
                <w:color w:val="auto"/>
                <w:szCs w:val="21"/>
                <w:lang w:val="en-US" w:eastAsia="zh-CN"/>
              </w:rPr>
              <w:t>11</w:t>
            </w:r>
            <w:r>
              <w:rPr>
                <w:rFonts w:hint="default" w:ascii="Times New Roman" w:hAnsi="Times New Roman" w:cs="Times New Roman" w:eastAsiaTheme="minorEastAsia"/>
                <w:b/>
                <w:bCs/>
                <w:color w:val="auto"/>
                <w:szCs w:val="21"/>
              </w:rPr>
              <w:t xml:space="preserve">  《浙江省臭氧污染防治攻坚三年行动方案》符合性分析表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70"/>
              <w:gridCol w:w="2750"/>
              <w:gridCol w:w="776"/>
            </w:tblGrid>
            <w:tr w14:paraId="6850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38424F08">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4270" w:type="dxa"/>
                  <w:vAlign w:val="center"/>
                </w:tcPr>
                <w:p w14:paraId="131F46CA">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相关条款要求</w:t>
                  </w:r>
                </w:p>
              </w:tc>
              <w:tc>
                <w:tcPr>
                  <w:tcW w:w="2750" w:type="dxa"/>
                  <w:vAlign w:val="center"/>
                </w:tcPr>
                <w:p w14:paraId="4B99C316">
                  <w:pPr>
                    <w:adjustRightInd w:val="0"/>
                    <w:snapToGrid w:val="0"/>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项目情况</w:t>
                  </w:r>
                </w:p>
              </w:tc>
              <w:tc>
                <w:tcPr>
                  <w:tcW w:w="776" w:type="dxa"/>
                  <w:vAlign w:val="center"/>
                </w:tcPr>
                <w:p w14:paraId="571ED63E">
                  <w:pPr>
                    <w:adjustRightInd w:val="0"/>
                    <w:snapToGrid w:val="0"/>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是否符合</w:t>
                  </w:r>
                </w:p>
              </w:tc>
            </w:tr>
            <w:tr w14:paraId="34EC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73C15D2B">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低效治理设施升级改造行动</w:t>
                  </w:r>
                </w:p>
              </w:tc>
              <w:tc>
                <w:tcPr>
                  <w:tcW w:w="4270" w:type="dxa"/>
                  <w:vAlign w:val="center"/>
                </w:tcPr>
                <w:p w14:paraId="2B3646A9">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各县（市、区）生态环境部门组织开展企业挥发性有机物（VOCs）治理设施排查，对涉及使用低温等离子、光氧化、光催化技术的废气治理设施，以及非水溶性VOCs废气采用单一喷淋吸收等治理技术的设施，逐一登记入册，2022年12月底前报所在设区市生态环境局备案。各地要着力解决中小微企业普遍采用低效设施治理VOCs废气的突出问题，对照《浙江省重点行业挥发性有机物污染防治技术指南》要求，加快推进升级改造。2023年8月底前，重点城市基本完成VOCs治理低效设施升级改造；2023年底前，全省完成升级改造。2024年6月底前，各地组织开展低温等离子、光氧化、光催化等低效设施升级改造情况“回头看”，各地建立VOCs治理低效设施（恶臭异味治理除外）动态清理机制，各市生态环境部门定期开展抽查，发现一例、整改一例。</w:t>
                  </w:r>
                </w:p>
              </w:tc>
              <w:tc>
                <w:tcPr>
                  <w:tcW w:w="2750" w:type="dxa"/>
                  <w:vAlign w:val="center"/>
                </w:tcPr>
                <w:p w14:paraId="747AB786">
                  <w:pPr>
                    <w:adjustRightInd w:val="0"/>
                    <w:snapToGrid w:val="0"/>
                    <w:rPr>
                      <w:rFonts w:hint="default" w:ascii="Times New Roman" w:hAnsi="Times New Roman" w:cs="Times New Roman"/>
                      <w:bCs/>
                      <w:color w:val="auto"/>
                      <w:szCs w:val="21"/>
                    </w:rPr>
                  </w:pPr>
                  <w:r>
                    <w:rPr>
                      <w:rFonts w:hint="eastAsia" w:ascii="Times New Roman" w:hAnsi="Times New Roman" w:cs="Times New Roman"/>
                      <w:color w:val="auto"/>
                      <w:szCs w:val="21"/>
                      <w:highlight w:val="none"/>
                      <w:lang w:val="en-US" w:eastAsia="zh-CN"/>
                    </w:rPr>
                    <w:t>本项目清洗剂符合《清洗剂挥发性有机化合物含量限值》（GB38508-2020）表1中的清洗剂VOC含量及特定挥发有机物限值要求，有机废气采用活性炭吸附处理</w:t>
                  </w:r>
                  <w:r>
                    <w:rPr>
                      <w:rFonts w:hint="default" w:ascii="Times New Roman" w:hAnsi="Times New Roman" w:cs="Times New Roman"/>
                      <w:bCs/>
                      <w:color w:val="auto"/>
                      <w:szCs w:val="21"/>
                    </w:rPr>
                    <w:t>，符合《浙江省“十四五”挥发性有机物综合治理方案》中所述的工业涂装的VOCs综合去除效率达到60%以上的要求</w:t>
                  </w:r>
                </w:p>
              </w:tc>
              <w:tc>
                <w:tcPr>
                  <w:tcW w:w="776" w:type="dxa"/>
                  <w:vAlign w:val="center"/>
                </w:tcPr>
                <w:p w14:paraId="71418AFC">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符合</w:t>
                  </w:r>
                </w:p>
              </w:tc>
            </w:tr>
            <w:tr w14:paraId="6B3E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324D3CCB">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重点行业VOCs源头替代行动</w:t>
                  </w:r>
                </w:p>
              </w:tc>
              <w:tc>
                <w:tcPr>
                  <w:tcW w:w="4270" w:type="dxa"/>
                  <w:vAlign w:val="center"/>
                </w:tcPr>
                <w:p w14:paraId="3F113185">
                  <w:pPr>
                    <w:adjustRightInd w:val="0"/>
                    <w:snapToGrid w:val="0"/>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各地结合产业特点和《低VOCs含量原辅材料源头替代指导目录》（浙环发〔2021〕10号文附件1），制定实施重点行业VOCs源头替代计划，确保本行政区域“到 2025年，溶剂型工业涂料、油墨使用比例分别降低20个百分点、10个百分点，溶剂型胶粘剂使用量降低20%”。其中，涉及使用溶剂型工业涂料的汽车整车、工程机械整机、汽车零部件、木质家具、钢结构、船舶制造，涉及使用溶剂型油墨的吸收性承印物凹版印刷，以及涉及使用溶剂型胶粘剂的软包装复合、纺织品复合、家具胶粘等10个重点行业，到2025年底，原则上实现溶剂型工业涂料、油墨和胶粘剂“应替尽替”。到2023年1月，各市上报辖区内含VOCs原辅材料使用情况和工业涂料、油墨、胶粘剂源头替代政企协商计划，无法替代的由各市严格把关并逐一说明。2024年三季度，各市对重点行业源头替代计划实施进度开展中期调度，对进度滞后的企业加大督促帮扶力度。</w:t>
                  </w:r>
                </w:p>
              </w:tc>
              <w:tc>
                <w:tcPr>
                  <w:tcW w:w="2750" w:type="dxa"/>
                  <w:vAlign w:val="center"/>
                </w:tcPr>
                <w:p w14:paraId="4ECADA3E">
                  <w:pPr>
                    <w:adjustRightInd w:val="0"/>
                    <w:snapToGrid w:val="0"/>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本项目不涉及工业涂料</w:t>
                  </w:r>
                </w:p>
              </w:tc>
              <w:tc>
                <w:tcPr>
                  <w:tcW w:w="776" w:type="dxa"/>
                  <w:vAlign w:val="center"/>
                </w:tcPr>
                <w:p w14:paraId="46450CD4">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不涉及</w:t>
                  </w:r>
                </w:p>
              </w:tc>
            </w:tr>
            <w:tr w14:paraId="2897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3BA84B0">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产业集群综合整治行动</w:t>
                  </w:r>
                </w:p>
              </w:tc>
              <w:tc>
                <w:tcPr>
                  <w:tcW w:w="4270" w:type="dxa"/>
                  <w:vAlign w:val="center"/>
                </w:tcPr>
                <w:p w14:paraId="2025854A">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重点排查使用溶剂型工业涂料、油墨、胶粘剂、涂层剂或其他有机溶剂的家具制造、门窗制造、五金制品制造、零部件制造、包装印刷、纺织后整理、制鞋等涉气产业集群。2023年3月底前，各地在排查评估的基础上，对存在长期投诉、无组织排放严重、普遍采用低效治理设施、管理水平差等突出问题的产业集群制定整治方案，明确整治标准和时限，在“十四五”期间实现标杆建设一批、改造提升一批、优化整合一批、淘汰退出一批。</w:t>
                  </w:r>
                </w:p>
              </w:tc>
              <w:tc>
                <w:tcPr>
                  <w:tcW w:w="2750" w:type="dxa"/>
                  <w:vAlign w:val="center"/>
                </w:tcPr>
                <w:p w14:paraId="08DC0173">
                  <w:pPr>
                    <w:adjustRightInd w:val="0"/>
                    <w:snapToGrid w:val="0"/>
                    <w:rPr>
                      <w:rFonts w:hint="default" w:ascii="Times New Roman" w:hAnsi="Times New Roman" w:cs="Times New Roman"/>
                      <w:bCs/>
                      <w:color w:val="auto"/>
                      <w:szCs w:val="21"/>
                    </w:rPr>
                  </w:pPr>
                  <w:r>
                    <w:rPr>
                      <w:rFonts w:hint="eastAsia" w:ascii="Times New Roman" w:hAnsi="Times New Roman" w:cs="Times New Roman"/>
                      <w:color w:val="auto"/>
                      <w:szCs w:val="21"/>
                      <w:highlight w:val="none"/>
                      <w:lang w:val="en-US" w:eastAsia="zh-CN"/>
                    </w:rPr>
                    <w:t>本项目清洗剂符合《清洗剂挥发性有机化合物含量限值》（GB38508-2020）表1中的清洗剂VOC含量及特定挥发有机物限值要求</w:t>
                  </w:r>
                </w:p>
              </w:tc>
              <w:tc>
                <w:tcPr>
                  <w:tcW w:w="776" w:type="dxa"/>
                  <w:vAlign w:val="center"/>
                </w:tcPr>
                <w:p w14:paraId="3157FB37">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符合</w:t>
                  </w:r>
                </w:p>
              </w:tc>
            </w:tr>
            <w:tr w14:paraId="0045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7DFD88F1">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企业污染防治提级行动</w:t>
                  </w:r>
                </w:p>
              </w:tc>
              <w:tc>
                <w:tcPr>
                  <w:tcW w:w="4270" w:type="dxa"/>
                  <w:vAlign w:val="center"/>
                </w:tcPr>
                <w:p w14:paraId="3C80B3CB">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以绩效评级为抓手，推动工业企业对标重点行业大气污染防治绩效B级及以上要求，开展工艺装备、有组织排放控制、无组织排放控制、污染治理技术、监测监控、大气环境管理、清洁运输方式等提级改造，整体提升全省工业企业的大气污染防治水平。各地应结合产业特点，培育创建一批A、B级或引领性企业。2023年8月底前，重点城市力争8%的企业达到B级及以上，60%的企业达到C级及以上；其他城市4%的企业达到B级及以上，50%的企业达到C级及以上。到 2024年，重点城市力争12%的企业达到B级及以上，75%的企业达到C级及以上；其他城市8%的企业达到 B级及以上，65%的企业达到C级及以上。到2025年，重点城市力争15%的企业达到B级及以上，90%的企业达到C级及以上；其他城市10%的企业达到B级及以上，80%的企业达到C级及以上。</w:t>
                  </w:r>
                </w:p>
              </w:tc>
              <w:tc>
                <w:tcPr>
                  <w:tcW w:w="2750" w:type="dxa"/>
                  <w:vAlign w:val="center"/>
                </w:tcPr>
                <w:p w14:paraId="717C73BC">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企业将按照当地相关政府部门要求，以绩效评级为抓手，推动工业企业对标重点行业大气污染防治绩效B级及以上要求，开展工艺装备、有组织排放控制、无组织排放控制、污染治理技术、监测监控、大气环境管理、清洁运输方式等提级改造，整体提升大气污染防治水平，并将确保达到当地大气污染防治绩效要求</w:t>
                  </w:r>
                </w:p>
              </w:tc>
              <w:tc>
                <w:tcPr>
                  <w:tcW w:w="776" w:type="dxa"/>
                  <w:vAlign w:val="center"/>
                </w:tcPr>
                <w:p w14:paraId="71599419">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符合</w:t>
                  </w:r>
                </w:p>
              </w:tc>
            </w:tr>
            <w:tr w14:paraId="7C04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030C0C8A">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污染源强化监管行动</w:t>
                  </w:r>
                </w:p>
              </w:tc>
              <w:tc>
                <w:tcPr>
                  <w:tcW w:w="4270" w:type="dxa"/>
                  <w:vAlign w:val="center"/>
                </w:tcPr>
                <w:p w14:paraId="56FC9280">
                  <w:pPr>
                    <w:adjustRightInd w:val="0"/>
                    <w:snapToGrid w:val="0"/>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涉VOCs和氮氧化物排放的重点排污单位依据排污许可等管理要求安装自动监测设备，并与生态环境主管部门联网；2023年8月底前，重点城市推动一批废气排放量大、VOCs排放浓度高的企业安装在线监测设备，到2025年，全省污染源VOCs在线监测网络取得明显提升。加强废气治理设施旁路监管，2023年3月底前，各地生态环境部门组织开展备案旁路管理“回头看”，依法查处违规设置非应急类旁路行为。推动将用电监控模块作为废气治理设施的必备组件，2023年8月底前，重点城市全面推动涉气排污单位安装用电监管模块，到2025年，基本建成覆盖全省的废气收集治理用电监管网络。</w:t>
                  </w:r>
                </w:p>
              </w:tc>
              <w:tc>
                <w:tcPr>
                  <w:tcW w:w="2750" w:type="dxa"/>
                  <w:vAlign w:val="center"/>
                </w:tcPr>
                <w:p w14:paraId="7ACD0A6F">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企业未</w:t>
                  </w:r>
                  <w:r>
                    <w:rPr>
                      <w:rFonts w:hint="default" w:ascii="Times New Roman" w:hAnsi="Times New Roman" w:cs="Times New Roman"/>
                      <w:color w:val="auto"/>
                      <w:szCs w:val="21"/>
                    </w:rPr>
                    <w:t>纳入重点排污单位，</w:t>
                  </w:r>
                  <w:r>
                    <w:rPr>
                      <w:rFonts w:hint="default" w:ascii="Times New Roman" w:hAnsi="Times New Roman" w:cs="Times New Roman"/>
                      <w:bCs/>
                      <w:color w:val="auto"/>
                      <w:szCs w:val="21"/>
                    </w:rPr>
                    <w:t>无需安装自动监测设备、在线监测设备，将根据当地政府部门要求安装用电监控模块，</w:t>
                  </w:r>
                  <w:r>
                    <w:rPr>
                      <w:rFonts w:hint="default" w:ascii="Times New Roman" w:hAnsi="Times New Roman" w:cs="Times New Roman"/>
                      <w:bCs/>
                      <w:color w:val="auto"/>
                      <w:szCs w:val="32"/>
                    </w:rPr>
                    <w:t>不设置含</w:t>
                  </w:r>
                  <w:r>
                    <w:rPr>
                      <w:rFonts w:hint="default" w:ascii="Times New Roman" w:hAnsi="Times New Roman" w:cs="Times New Roman"/>
                      <w:color w:val="auto"/>
                      <w:kern w:val="0"/>
                      <w:szCs w:val="32"/>
                    </w:rPr>
                    <w:t>VOCs排放的旁路</w:t>
                  </w:r>
                </w:p>
              </w:tc>
              <w:tc>
                <w:tcPr>
                  <w:tcW w:w="776" w:type="dxa"/>
                  <w:vAlign w:val="center"/>
                </w:tcPr>
                <w:p w14:paraId="7E131415">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符合</w:t>
                  </w:r>
                </w:p>
              </w:tc>
            </w:tr>
            <w:tr w14:paraId="5FA3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747E5388">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大气污染区域联防联控行动</w:t>
                  </w:r>
                </w:p>
              </w:tc>
              <w:tc>
                <w:tcPr>
                  <w:tcW w:w="4270" w:type="dxa"/>
                  <w:vAlign w:val="center"/>
                </w:tcPr>
                <w:p w14:paraId="40215094">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建立覆盖省—市—县的污染天气应对体系，2022年11月底前，各市建立中、轻度污染天气应对管控方案；2023年3月底前，各县（市、区）制定中、轻度污染天气应对响应方案。着力提升臭氧污染预报水平，重点城市应具备臭氧污染过程分析诊断能力和未来10天臭氧污染级别预报能力。结合各地实际，研究制订臭氧污染预警标准和应对措施。加强政企协商，组织排污单位修订污染天气应对响应操作方案，开展季节性生产调控，引导市政工程和工业企业涉VOCs施工避开臭氧污染易发时段。具备条件时，实施人工影响天气作业应对臭氧污染。推进长三角区域大气污染联防联控，建立完善环杭州湾区域石化化工行业VOCs治理监管“统一标准、统一监测、统一执法”工作机制，2023年8月底前，嘉兴市与上海市金山地区率先建立实施“三统一”工作机制，2025年底前，逐步扩大至宁波市、舟山市等杭州湾南岸地区。 </w:t>
                  </w:r>
                </w:p>
              </w:tc>
              <w:tc>
                <w:tcPr>
                  <w:tcW w:w="2750" w:type="dxa"/>
                  <w:vAlign w:val="center"/>
                </w:tcPr>
                <w:p w14:paraId="0A8105E6">
                  <w:pPr>
                    <w:pStyle w:val="7"/>
                    <w:ind w:firstLine="0"/>
                    <w:rPr>
                      <w:rFonts w:hint="default" w:ascii="Times New Roman" w:hAnsi="Times New Roman" w:cs="Times New Roman"/>
                      <w:color w:val="auto"/>
                    </w:rPr>
                  </w:pPr>
                  <w:r>
                    <w:rPr>
                      <w:rFonts w:hint="default" w:ascii="Times New Roman" w:hAnsi="Times New Roman" w:cs="Times New Roman"/>
                      <w:bCs/>
                      <w:color w:val="auto"/>
                      <w:szCs w:val="21"/>
                    </w:rPr>
                    <w:t>本项目不属于石化、化工行业，并将</w:t>
                  </w:r>
                  <w:r>
                    <w:rPr>
                      <w:rFonts w:hint="default" w:ascii="Times New Roman" w:hAnsi="Times New Roman" w:cs="Times New Roman"/>
                      <w:bCs/>
                      <w:color w:val="auto"/>
                      <w:szCs w:val="32"/>
                    </w:rPr>
                    <w:t>按照当地政府部门要求实施</w:t>
                  </w:r>
                  <w:r>
                    <w:rPr>
                      <w:rFonts w:hint="default" w:ascii="Times New Roman" w:hAnsi="Times New Roman" w:cs="Times New Roman"/>
                      <w:bCs/>
                      <w:color w:val="auto"/>
                      <w:szCs w:val="21"/>
                    </w:rPr>
                    <w:t>季节性生产调控，涉VOCs施工避开臭氧污染易发时段，将根据当地政府部门要求配合大气污染区域联防联控行动</w:t>
                  </w:r>
                </w:p>
              </w:tc>
              <w:tc>
                <w:tcPr>
                  <w:tcW w:w="776" w:type="dxa"/>
                  <w:vAlign w:val="center"/>
                </w:tcPr>
                <w:p w14:paraId="74163874">
                  <w:pPr>
                    <w:pStyle w:val="7"/>
                    <w:ind w:firstLine="0"/>
                    <w:jc w:val="center"/>
                    <w:rPr>
                      <w:rFonts w:hint="eastAsia"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符合</w:t>
                  </w:r>
                </w:p>
              </w:tc>
            </w:tr>
          </w:tbl>
          <w:p w14:paraId="1FF29714">
            <w:pPr>
              <w:pStyle w:val="7"/>
              <w:spacing w:line="500" w:lineRule="exact"/>
              <w:ind w:firstLine="480" w:firstLineChars="200"/>
              <w:rPr>
                <w:color w:val="auto"/>
              </w:rPr>
            </w:pPr>
            <w:r>
              <w:rPr>
                <w:rStyle w:val="27"/>
                <w:rFonts w:hint="default" w:ascii="Times New Roman" w:hAnsi="Times New Roman" w:cs="Times New Roman"/>
                <w:b w:val="0"/>
                <w:color w:val="auto"/>
                <w:sz w:val="24"/>
                <w:szCs w:val="24"/>
              </w:rPr>
              <w:t>综上所述，本项目建设符合《浙江省臭氧污染防治攻坚三年行动方案》</w:t>
            </w:r>
            <w:r>
              <w:rPr>
                <w:rStyle w:val="27"/>
                <w:rFonts w:hint="default" w:ascii="Times New Roman" w:hAnsi="Times New Roman" w:cs="Times New Roman"/>
                <w:b w:val="0"/>
                <w:bCs w:val="0"/>
                <w:color w:val="auto"/>
                <w:sz w:val="24"/>
                <w:szCs w:val="24"/>
              </w:rPr>
              <w:t>中的相关要求。</w:t>
            </w:r>
          </w:p>
          <w:p w14:paraId="37846BB5">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lang w:val="en-US" w:eastAsia="zh-CN"/>
              </w:rPr>
            </w:pPr>
            <w:r>
              <w:rPr>
                <w:rFonts w:hint="eastAsia" w:ascii="Times New Roman" w:hAnsi="Times New Roman" w:cs="Times New Roman"/>
                <w:b/>
                <w:color w:val="auto"/>
                <w:sz w:val="24"/>
                <w:highlight w:val="none"/>
                <w:lang w:val="en-US" w:eastAsia="zh-CN"/>
              </w:rPr>
              <w:t>1.2.9</w:t>
            </w: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浙江省2024年空气质量改善攻坚行动方案</w:t>
            </w: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符合性分析</w:t>
            </w:r>
          </w:p>
          <w:p w14:paraId="5E5F56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val="0"/>
                <w:bCs/>
                <w:color w:val="auto"/>
                <w:kern w:val="2"/>
                <w:sz w:val="24"/>
                <w:szCs w:val="24"/>
                <w:highlight w:val="none"/>
                <w:lang w:val="en-US" w:eastAsia="zh-CN" w:bidi="ar-SA"/>
              </w:rPr>
              <w:t>对照《浙江省2024年空气质量改善攻坚行动方案》的相关</w:t>
            </w:r>
            <w:r>
              <w:rPr>
                <w:rFonts w:hint="default" w:ascii="Times New Roman" w:hAnsi="Times New Roman" w:eastAsia="宋体" w:cs="Times New Roman"/>
                <w:b w:val="0"/>
                <w:bCs/>
                <w:color w:val="auto"/>
                <w:kern w:val="2"/>
                <w:sz w:val="24"/>
                <w:szCs w:val="24"/>
                <w:highlight w:val="none"/>
                <w:lang w:val="en-US" w:eastAsia="zh-CN" w:bidi="ar-SA"/>
              </w:rPr>
              <w:t>要求进行符合性分析，具体见表</w:t>
            </w:r>
            <w:r>
              <w:rPr>
                <w:rFonts w:hint="eastAsia" w:ascii="Times New Roman" w:hAnsi="Times New Roman" w:eastAsia="宋体" w:cs="Times New Roman"/>
                <w:b w:val="0"/>
                <w:bCs/>
                <w:color w:val="auto"/>
                <w:kern w:val="2"/>
                <w:sz w:val="24"/>
                <w:szCs w:val="24"/>
                <w:highlight w:val="none"/>
                <w:lang w:val="en-US" w:eastAsia="zh-CN" w:bidi="ar-SA"/>
              </w:rPr>
              <w:t>1</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ascii="Times New Roman" w:hAnsi="Times New Roman" w:eastAsia="宋体" w:cs="Times New Roman"/>
                <w:b w:val="0"/>
                <w:bCs/>
                <w:color w:val="auto"/>
                <w:kern w:val="2"/>
                <w:sz w:val="24"/>
                <w:szCs w:val="24"/>
                <w:highlight w:val="none"/>
                <w:lang w:val="en-US" w:eastAsia="zh-CN" w:bidi="ar-SA"/>
              </w:rPr>
              <w:t>12</w:t>
            </w:r>
            <w:r>
              <w:rPr>
                <w:rFonts w:hint="default" w:ascii="Times New Roman" w:hAnsi="Times New Roman" w:eastAsia="宋体" w:cs="Times New Roman"/>
                <w:b w:val="0"/>
                <w:bCs/>
                <w:color w:val="auto"/>
                <w:kern w:val="2"/>
                <w:sz w:val="24"/>
                <w:szCs w:val="24"/>
                <w:highlight w:val="none"/>
                <w:lang w:val="en-US" w:eastAsia="zh-CN" w:bidi="ar-SA"/>
              </w:rPr>
              <w:t>。</w:t>
            </w:r>
          </w:p>
          <w:p w14:paraId="1A139925">
            <w:pPr>
              <w:spacing w:line="46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表1-</w:t>
            </w:r>
            <w:r>
              <w:rPr>
                <w:rFonts w:hint="eastAsia" w:ascii="Times New Roman" w:hAnsi="Times New Roman" w:cs="Times New Roman"/>
                <w:b/>
                <w:bCs/>
                <w:color w:val="auto"/>
                <w:szCs w:val="21"/>
                <w:lang w:val="en-US" w:eastAsia="zh-CN"/>
              </w:rPr>
              <w:t>12</w:t>
            </w:r>
            <w:r>
              <w:rPr>
                <w:rFonts w:hint="default" w:ascii="Times New Roman" w:hAnsi="Times New Roman" w:cs="Times New Roman" w:eastAsiaTheme="minorEastAsia"/>
                <w:b/>
                <w:bCs/>
                <w:color w:val="auto"/>
                <w:szCs w:val="21"/>
              </w:rPr>
              <w:t xml:space="preserve">  《</w:t>
            </w:r>
            <w:r>
              <w:rPr>
                <w:rFonts w:hint="default" w:ascii="Times New Roman" w:hAnsi="Times New Roman" w:cs="Times New Roman" w:eastAsiaTheme="minorEastAsia"/>
                <w:b/>
                <w:bCs/>
                <w:color w:val="auto"/>
                <w:szCs w:val="21"/>
                <w:lang w:val="en-US" w:eastAsia="zh-CN"/>
              </w:rPr>
              <w:t>浙江省2024年空气质量改善攻坚行动方案</w:t>
            </w:r>
            <w:r>
              <w:rPr>
                <w:rFonts w:hint="default" w:ascii="Times New Roman" w:hAnsi="Times New Roman" w:cs="Times New Roman" w:eastAsiaTheme="minorEastAsia"/>
                <w:b/>
                <w:bCs/>
                <w:color w:val="auto"/>
                <w:szCs w:val="21"/>
              </w:rPr>
              <w:t>》</w:t>
            </w:r>
            <w:r>
              <w:rPr>
                <w:rFonts w:hint="eastAsia" w:ascii="Times New Roman" w:hAnsi="Times New Roman" w:cs="Times New Roman"/>
                <w:b/>
                <w:bCs/>
                <w:color w:val="auto"/>
                <w:szCs w:val="21"/>
                <w:lang w:eastAsia="zh-CN"/>
              </w:rPr>
              <w:t>“</w:t>
            </w:r>
            <w:r>
              <w:rPr>
                <w:rFonts w:hint="eastAsia" w:ascii="Times New Roman" w:hAnsi="Times New Roman" w:cs="Times New Roman"/>
                <w:b/>
                <w:bCs/>
                <w:color w:val="auto"/>
                <w:szCs w:val="21"/>
                <w:lang w:val="en-US" w:eastAsia="zh-CN"/>
              </w:rPr>
              <w:t>节选内容</w:t>
            </w:r>
            <w:r>
              <w:rPr>
                <w:rFonts w:hint="eastAsia" w:ascii="Times New Roman" w:hAnsi="Times New Roman" w:cs="Times New Roman"/>
                <w:b/>
                <w:bCs/>
                <w:color w:val="auto"/>
                <w:szCs w:val="21"/>
                <w:lang w:eastAsia="zh-CN"/>
              </w:rPr>
              <w:t>”</w:t>
            </w:r>
            <w:r>
              <w:rPr>
                <w:rFonts w:hint="default" w:ascii="Times New Roman" w:hAnsi="Times New Roman" w:cs="Times New Roman" w:eastAsiaTheme="minorEastAsia"/>
                <w:b/>
                <w:bCs/>
                <w:color w:val="auto"/>
                <w:szCs w:val="21"/>
              </w:rPr>
              <w:t>符合性分析表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70"/>
              <w:gridCol w:w="2750"/>
              <w:gridCol w:w="776"/>
            </w:tblGrid>
            <w:tr w14:paraId="1F82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9CD61F1">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4270" w:type="dxa"/>
                  <w:vAlign w:val="center"/>
                </w:tcPr>
                <w:p w14:paraId="5AAB8CDE">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相关条款要求</w:t>
                  </w:r>
                </w:p>
              </w:tc>
              <w:tc>
                <w:tcPr>
                  <w:tcW w:w="2750" w:type="dxa"/>
                  <w:vAlign w:val="center"/>
                </w:tcPr>
                <w:p w14:paraId="23A595A2">
                  <w:pPr>
                    <w:adjustRightInd w:val="0"/>
                    <w:snapToGrid w:val="0"/>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项目情况</w:t>
                  </w:r>
                </w:p>
              </w:tc>
              <w:tc>
                <w:tcPr>
                  <w:tcW w:w="776" w:type="dxa"/>
                  <w:vAlign w:val="center"/>
                </w:tcPr>
                <w:p w14:paraId="108B80D8">
                  <w:pPr>
                    <w:adjustRightInd w:val="0"/>
                    <w:snapToGrid w:val="0"/>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是否符合</w:t>
                  </w:r>
                </w:p>
              </w:tc>
            </w:tr>
            <w:tr w14:paraId="1972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6C92E60">
                  <w:pPr>
                    <w:adjustRightInd w:val="0"/>
                    <w:snapToGrid w:val="0"/>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源头优化产业结构</w:t>
                  </w:r>
                </w:p>
              </w:tc>
              <w:tc>
                <w:tcPr>
                  <w:tcW w:w="4270" w:type="dxa"/>
                  <w:vAlign w:val="center"/>
                </w:tcPr>
                <w:p w14:paraId="11F839E7">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坚决遏制高耗能、高排放、低水平项目盲目上马，新改扩建“两高一低”项目严格落实“十项准入要求”，一般应达到大气污染防治绩效 A 级（引领性）水平、采用清洁运输方式。新建项目应对照《工业重点领域能效标杆水平和基准水平》中的能效标杆水平建设实施，推动能效水平应提尽提，力争全面达到标杆水平。涉及产能置换的项目，被置换产能及其配套设施关停后，新建项目方可投产。新改扩建项目优先生产、使用非溶剂型涂料、油墨、胶粘剂、清洗剂等产品和原辅材料，一般应不得人为添加卤代烃物质。原则上不再新增自备燃煤机组。</w:t>
                  </w:r>
                </w:p>
              </w:tc>
              <w:tc>
                <w:tcPr>
                  <w:tcW w:w="2750" w:type="dxa"/>
                  <w:vAlign w:val="center"/>
                </w:tcPr>
                <w:p w14:paraId="71FA0915">
                  <w:pPr>
                    <w:adjustRightInd w:val="0"/>
                    <w:snapToGrid w:val="0"/>
                    <w:rPr>
                      <w:rFonts w:hint="default" w:ascii="Times New Roman" w:hAnsi="Times New Roman" w:cs="Times New Roman"/>
                      <w:bCs/>
                      <w:color w:val="auto"/>
                      <w:szCs w:val="21"/>
                    </w:rPr>
                  </w:pPr>
                  <w:r>
                    <w:rPr>
                      <w:rFonts w:hint="eastAsia" w:ascii="Times New Roman" w:hAnsi="Times New Roman" w:cs="Times New Roman"/>
                      <w:color w:val="auto"/>
                      <w:szCs w:val="21"/>
                      <w:highlight w:val="none"/>
                      <w:lang w:val="en-US" w:eastAsia="zh-CN"/>
                    </w:rPr>
                    <w:t>本项目清洗剂符合《清洗剂挥发性有机化合物含量限值》（GB38508-2020）表1中的清洗剂VOC含量及特定挥发有机物限值要求，有机废气采用活性炭吸附处理</w:t>
                  </w:r>
                  <w:r>
                    <w:rPr>
                      <w:rFonts w:hint="default" w:ascii="Times New Roman" w:hAnsi="Times New Roman" w:cs="Times New Roman"/>
                      <w:bCs/>
                      <w:color w:val="auto"/>
                      <w:szCs w:val="21"/>
                    </w:rPr>
                    <w:t>，符合《浙江省“十四五”挥发性有机物综合治理方案》中所述的工业涂装的VOCs综合去除效率达到60%以上的要求</w:t>
                  </w:r>
                </w:p>
              </w:tc>
              <w:tc>
                <w:tcPr>
                  <w:tcW w:w="776" w:type="dxa"/>
                  <w:vAlign w:val="center"/>
                </w:tcPr>
                <w:p w14:paraId="2C57F407">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符合</w:t>
                  </w:r>
                </w:p>
              </w:tc>
            </w:tr>
            <w:tr w14:paraId="5864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E5F6467">
                  <w:pPr>
                    <w:adjustRightInd w:val="0"/>
                    <w:snapToGrid w:val="0"/>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推进涉气产业集群升级改造</w:t>
                  </w:r>
                </w:p>
              </w:tc>
              <w:tc>
                <w:tcPr>
                  <w:tcW w:w="4270" w:type="dxa"/>
                  <w:vAlign w:val="center"/>
                </w:tcPr>
                <w:p w14:paraId="0FC4715C">
                  <w:pPr>
                    <w:adjustRightInd w:val="0"/>
                    <w:snapToGrid w:val="0"/>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按照《浙江省人民政府办公厅关于开展全省重点行业污染整治提升工作的通知》部署，全面推进复合布加工、废橡胶利用、木质家具、烧结砖、玻璃制造、化工、修造船等涉气产业集群整治提升；结合本地产业特色，各市对存在大气污染防治突出问题的重点涉气产业集群开展整治提升。加快完善废气治理活性炭集中再生公共服务体系，全省新增 10000家以上中小微涉气企业纳入体系，舟山市加快探索废气治理活性炭再生处置模式。因地制宜建设集中涂装中心、溶剂回收中心等“绿岛”项目。</w:t>
                  </w:r>
                </w:p>
              </w:tc>
              <w:tc>
                <w:tcPr>
                  <w:tcW w:w="2750" w:type="dxa"/>
                  <w:vAlign w:val="center"/>
                </w:tcPr>
                <w:p w14:paraId="79BB61C0">
                  <w:pPr>
                    <w:adjustRightInd w:val="0"/>
                    <w:snapToGrid w:val="0"/>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本项目行业为C4011工业自动控制系统装置制造，不涉及此要求</w:t>
                  </w:r>
                </w:p>
              </w:tc>
              <w:tc>
                <w:tcPr>
                  <w:tcW w:w="776" w:type="dxa"/>
                  <w:vAlign w:val="center"/>
                </w:tcPr>
                <w:p w14:paraId="493A460D">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符合</w:t>
                  </w:r>
                </w:p>
              </w:tc>
            </w:tr>
            <w:tr w14:paraId="2F1D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1EFCAF7A">
                  <w:pPr>
                    <w:adjustRightInd w:val="0"/>
                    <w:snapToGrid w:val="0"/>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深化挥发性有机物综合治理提升</w:t>
                  </w:r>
                </w:p>
              </w:tc>
              <w:tc>
                <w:tcPr>
                  <w:tcW w:w="4270" w:type="dxa"/>
                  <w:vAlign w:val="center"/>
                </w:tcPr>
                <w:p w14:paraId="13009370">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全面推进涉及使用溶剂型工业涂料的汽车和摩托车整车、工程机械、车辆零部件、木质家具、船舶制造，使用溶剂型油墨的吸收性承印物凹版印刷，使用溶剂型胶粘剂的软包装复合、纺织品复合、家具胶粘等行业挥发性有机物（VOCs）源头替代（其中，汽车和摩托车整车、工程机械制造要实现“应替尽替”），实施源头替代企业1000家以上。石化、化工行业集中的34个县（市、区）实现统一的泄漏检测与修复（LDAR）数字化管理。加强数字化运用管理，各市建立VOCs治理用活性炭集中再生监管服务平台。</w:t>
                  </w:r>
                </w:p>
              </w:tc>
              <w:tc>
                <w:tcPr>
                  <w:tcW w:w="2750" w:type="dxa"/>
                  <w:vAlign w:val="center"/>
                </w:tcPr>
                <w:p w14:paraId="6C772A05">
                  <w:pPr>
                    <w:adjustRightInd w:val="0"/>
                    <w:snapToGrid w:val="0"/>
                    <w:rPr>
                      <w:rFonts w:hint="default" w:ascii="Times New Roman" w:hAnsi="Times New Roman" w:cs="Times New Roman"/>
                      <w:bCs/>
                      <w:color w:val="auto"/>
                      <w:szCs w:val="21"/>
                    </w:rPr>
                  </w:pPr>
                  <w:r>
                    <w:rPr>
                      <w:rFonts w:hint="eastAsia" w:ascii="Times New Roman" w:hAnsi="Times New Roman" w:cs="Times New Roman"/>
                      <w:color w:val="auto"/>
                      <w:szCs w:val="21"/>
                      <w:highlight w:val="none"/>
                      <w:lang w:val="en-US" w:eastAsia="zh-CN"/>
                    </w:rPr>
                    <w:t>本项目清洗剂符合《清洗剂挥发性有机化合物含量限值》（GB38508-2020）表1中的清洗剂VOC含量及特定挥发有机物限值要求</w:t>
                  </w:r>
                </w:p>
              </w:tc>
              <w:tc>
                <w:tcPr>
                  <w:tcW w:w="776" w:type="dxa"/>
                  <w:vAlign w:val="center"/>
                </w:tcPr>
                <w:p w14:paraId="12CAC8C2">
                  <w:pPr>
                    <w:adjustRightInd w:val="0"/>
                    <w:snapToGrid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符合</w:t>
                  </w:r>
                </w:p>
              </w:tc>
            </w:tr>
          </w:tbl>
          <w:p w14:paraId="38E4A7AD">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rPr>
                <w:rFonts w:hint="eastAsia" w:ascii="Times New Roman" w:hAnsi="Times New Roman" w:cs="Times New Roman"/>
                <w:b/>
                <w:color w:val="auto"/>
                <w:sz w:val="24"/>
                <w:highlight w:val="none"/>
                <w:lang w:val="en-US" w:eastAsia="zh-CN"/>
              </w:rPr>
            </w:pPr>
            <w:r>
              <w:rPr>
                <w:rStyle w:val="27"/>
                <w:rFonts w:hint="default" w:ascii="Times New Roman" w:hAnsi="Times New Roman" w:cs="Times New Roman"/>
                <w:b w:val="0"/>
                <w:color w:val="auto"/>
                <w:sz w:val="24"/>
                <w:szCs w:val="24"/>
              </w:rPr>
              <w:t>综上所述，本项目建设符合《</w:t>
            </w:r>
            <w:r>
              <w:rPr>
                <w:rStyle w:val="27"/>
                <w:rFonts w:hint="default" w:ascii="Times New Roman" w:hAnsi="Times New Roman" w:cs="Times New Roman"/>
                <w:b w:val="0"/>
                <w:color w:val="auto"/>
                <w:sz w:val="24"/>
                <w:szCs w:val="24"/>
                <w:lang w:val="en-US" w:eastAsia="zh-CN"/>
              </w:rPr>
              <w:t>浙江省2024年空气质量改善攻坚行动方案</w:t>
            </w:r>
            <w:r>
              <w:rPr>
                <w:rStyle w:val="27"/>
                <w:rFonts w:hint="default" w:ascii="Times New Roman" w:hAnsi="Times New Roman" w:cs="Times New Roman"/>
                <w:b w:val="0"/>
                <w:color w:val="auto"/>
                <w:sz w:val="24"/>
                <w:szCs w:val="24"/>
              </w:rPr>
              <w:t>》</w:t>
            </w:r>
            <w:r>
              <w:rPr>
                <w:rStyle w:val="27"/>
                <w:rFonts w:hint="default" w:ascii="Times New Roman" w:hAnsi="Times New Roman" w:cs="Times New Roman"/>
                <w:b w:val="0"/>
                <w:bCs w:val="0"/>
                <w:color w:val="auto"/>
                <w:sz w:val="24"/>
                <w:szCs w:val="24"/>
              </w:rPr>
              <w:t>中的相关要求。</w:t>
            </w:r>
          </w:p>
          <w:p w14:paraId="0A9DF63E">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rPr>
            </w:pPr>
            <w:r>
              <w:rPr>
                <w:rFonts w:hint="eastAsia" w:ascii="Times New Roman" w:hAnsi="Times New Roman" w:cs="Times New Roman"/>
                <w:b/>
                <w:color w:val="auto"/>
                <w:sz w:val="24"/>
                <w:highlight w:val="none"/>
                <w:lang w:val="en-US" w:eastAsia="zh-CN"/>
              </w:rPr>
              <w:t>1.2.10</w:t>
            </w:r>
            <w:bookmarkStart w:id="1" w:name="_Toc18961"/>
            <w:r>
              <w:rPr>
                <w:rFonts w:hint="eastAsia" w:ascii="Times New Roman" w:hAnsi="Times New Roman" w:cs="Times New Roman"/>
                <w:b/>
                <w:color w:val="auto"/>
                <w:sz w:val="24"/>
                <w:szCs w:val="24"/>
                <w:lang w:val="en-US" w:eastAsia="zh-CN"/>
              </w:rPr>
              <w:t>《关于印发&lt;湖州市木业、漆包线及塑料行业废气整治规范&gt;的通知》</w:t>
            </w:r>
            <w:bookmarkEnd w:id="1"/>
          </w:p>
          <w:p w14:paraId="484D2037">
            <w:pPr>
              <w:autoSpaceDE w:val="0"/>
              <w:autoSpaceDN w:val="0"/>
              <w:adjustRightInd w:val="0"/>
              <w:snapToGrid w:val="0"/>
              <w:spacing w:line="500" w:lineRule="exact"/>
              <w:ind w:firstLine="480"/>
              <w:rPr>
                <w:rFonts w:hint="default" w:ascii="Times New Roman" w:hAnsi="Times New Roman"/>
                <w:bCs/>
                <w:color w:val="auto"/>
                <w:sz w:val="24"/>
                <w:szCs w:val="24"/>
              </w:rPr>
            </w:pPr>
            <w:r>
              <w:rPr>
                <w:rFonts w:hint="default" w:ascii="Times New Roman" w:hAnsi="Times New Roman"/>
                <w:bCs/>
                <w:color w:val="auto"/>
                <w:sz w:val="24"/>
                <w:szCs w:val="24"/>
              </w:rPr>
              <w:t>根据《关于印发&lt;湖州市木业、漆包线及塑料行业废气整治规范&gt;的通知》（湖环发[2018]31号）要求，符合性分析见下表。</w:t>
            </w:r>
          </w:p>
          <w:p w14:paraId="53232E8F">
            <w:pPr>
              <w:pStyle w:val="84"/>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cs="Times New Roman"/>
                <w:color w:val="auto"/>
                <w:lang w:val="en-US" w:eastAsia="zh-CN"/>
              </w:rPr>
              <w:t>13</w:t>
            </w:r>
            <w:r>
              <w:rPr>
                <w:rFonts w:hint="default" w:ascii="Times New Roman" w:hAnsi="Times New Roman" w:cs="Times New Roman"/>
                <w:color w:val="auto"/>
              </w:rPr>
              <w:t xml:space="preserve">  湖州市塑料行业废气整治规范符合性分析</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419"/>
              <w:gridCol w:w="600"/>
              <w:gridCol w:w="2881"/>
              <w:gridCol w:w="3491"/>
              <w:gridCol w:w="729"/>
            </w:tblGrid>
            <w:tr w14:paraId="2C2A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Align w:val="center"/>
                </w:tcPr>
                <w:p w14:paraId="0AC49495">
                  <w:pPr>
                    <w:widowControl/>
                    <w:spacing w:line="240" w:lineRule="auto"/>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lang w:bidi="ar"/>
                    </w:rPr>
                    <w:t>类别</w:t>
                  </w:r>
                </w:p>
              </w:tc>
              <w:tc>
                <w:tcPr>
                  <w:tcW w:w="419" w:type="dxa"/>
                  <w:vAlign w:val="center"/>
                </w:tcPr>
                <w:p w14:paraId="25E88AB2">
                  <w:pPr>
                    <w:widowControl/>
                    <w:spacing w:line="240" w:lineRule="auto"/>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lang w:bidi="ar"/>
                    </w:rPr>
                    <w:t>内容</w:t>
                  </w:r>
                </w:p>
              </w:tc>
              <w:tc>
                <w:tcPr>
                  <w:tcW w:w="600" w:type="dxa"/>
                  <w:vAlign w:val="center"/>
                </w:tcPr>
                <w:p w14:paraId="7DA816BB">
                  <w:pPr>
                    <w:widowControl/>
                    <w:spacing w:line="240" w:lineRule="auto"/>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lang w:bidi="ar"/>
                    </w:rPr>
                    <w:t>序号</w:t>
                  </w:r>
                </w:p>
              </w:tc>
              <w:tc>
                <w:tcPr>
                  <w:tcW w:w="2881" w:type="dxa"/>
                  <w:vAlign w:val="center"/>
                </w:tcPr>
                <w:p w14:paraId="74E1F4E8">
                  <w:pPr>
                    <w:widowControl/>
                    <w:spacing w:line="240" w:lineRule="auto"/>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lang w:bidi="ar"/>
                    </w:rPr>
                    <w:t>判断依据</w:t>
                  </w:r>
                </w:p>
              </w:tc>
              <w:tc>
                <w:tcPr>
                  <w:tcW w:w="3491" w:type="dxa"/>
                  <w:vAlign w:val="center"/>
                </w:tcPr>
                <w:p w14:paraId="513A8EF1">
                  <w:pPr>
                    <w:widowControl/>
                    <w:spacing w:line="240" w:lineRule="auto"/>
                    <w:jc w:val="center"/>
                    <w:rPr>
                      <w:rFonts w:hint="default" w:ascii="Times New Roman" w:hAnsi="Times New Roman" w:cs="Times New Roman" w:eastAsiaTheme="minorEastAsia"/>
                      <w:b/>
                      <w:color w:val="auto"/>
                      <w:kern w:val="0"/>
                      <w:sz w:val="21"/>
                      <w:szCs w:val="21"/>
                      <w:lang w:val="en-US" w:eastAsia="zh-CN"/>
                    </w:rPr>
                  </w:pPr>
                  <w:r>
                    <w:rPr>
                      <w:rFonts w:hint="eastAsia" w:ascii="Times New Roman" w:hAnsi="Times New Roman" w:cs="Times New Roman"/>
                      <w:b/>
                      <w:color w:val="auto"/>
                      <w:kern w:val="0"/>
                      <w:sz w:val="21"/>
                      <w:szCs w:val="21"/>
                      <w:lang w:val="en-US" w:eastAsia="zh-CN"/>
                    </w:rPr>
                    <w:t>项目情况</w:t>
                  </w:r>
                </w:p>
              </w:tc>
              <w:tc>
                <w:tcPr>
                  <w:tcW w:w="729" w:type="dxa"/>
                  <w:vAlign w:val="center"/>
                </w:tcPr>
                <w:p w14:paraId="7E2E3C19">
                  <w:pPr>
                    <w:widowControl/>
                    <w:spacing w:line="240" w:lineRule="auto"/>
                    <w:jc w:val="center"/>
                    <w:rPr>
                      <w:rFonts w:hint="default" w:ascii="Times New Roman" w:hAnsi="Times New Roman" w:cs="Times New Roman"/>
                      <w:b/>
                      <w:color w:val="auto"/>
                      <w:kern w:val="0"/>
                      <w:sz w:val="21"/>
                      <w:szCs w:val="21"/>
                      <w:lang w:bidi="ar"/>
                    </w:rPr>
                  </w:pPr>
                  <w:r>
                    <w:rPr>
                      <w:rFonts w:hint="default" w:ascii="Times New Roman" w:hAnsi="Times New Roman" w:cs="Times New Roman"/>
                      <w:b/>
                      <w:color w:val="auto"/>
                      <w:kern w:val="0"/>
                      <w:sz w:val="21"/>
                      <w:szCs w:val="21"/>
                      <w:lang w:bidi="ar"/>
                    </w:rPr>
                    <w:t>是否符合</w:t>
                  </w:r>
                </w:p>
              </w:tc>
            </w:tr>
            <w:tr w14:paraId="2C6F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restart"/>
                  <w:vAlign w:val="center"/>
                </w:tcPr>
                <w:p w14:paraId="747D2DAD">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加强源头控制</w:t>
                  </w:r>
                </w:p>
              </w:tc>
              <w:tc>
                <w:tcPr>
                  <w:tcW w:w="419" w:type="dxa"/>
                  <w:vMerge w:val="restart"/>
                  <w:vAlign w:val="center"/>
                </w:tcPr>
                <w:p w14:paraId="2F9188C7">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采用环境友好型原辅材料</w:t>
                  </w:r>
                </w:p>
              </w:tc>
              <w:tc>
                <w:tcPr>
                  <w:tcW w:w="600" w:type="dxa"/>
                  <w:vAlign w:val="center"/>
                </w:tcPr>
                <w:p w14:paraId="449FDABF">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w:t>
                  </w:r>
                </w:p>
              </w:tc>
              <w:tc>
                <w:tcPr>
                  <w:tcW w:w="2881" w:type="dxa"/>
                  <w:vAlign w:val="center"/>
                </w:tcPr>
                <w:p w14:paraId="4F7AA47B">
                  <w:pPr>
                    <w:widowControl/>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严格落实《环境保护部发展改革部商务部关于发布&lt;废塑料加工利用污染防治管理规定&gt;的公告》（2012年第55号）、《废塑料回收与再生利用污染控制技术规范（试行）》（HJ/T364-2007）等有关要求。</w:t>
                  </w:r>
                </w:p>
              </w:tc>
              <w:tc>
                <w:tcPr>
                  <w:tcW w:w="3491" w:type="dxa"/>
                  <w:vAlign w:val="center"/>
                </w:tcPr>
                <w:p w14:paraId="7CD1E40A">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bidi="ar"/>
                    </w:rPr>
                    <w:t>本项目使用的塑料粒子均为新料，不涉及外来废旧塑料的回收利用</w:t>
                  </w:r>
                </w:p>
              </w:tc>
              <w:tc>
                <w:tcPr>
                  <w:tcW w:w="729" w:type="dxa"/>
                  <w:vAlign w:val="center"/>
                </w:tcPr>
                <w:p w14:paraId="246099F2">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5333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49FA39D4">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19F026F4">
                  <w:pPr>
                    <w:spacing w:line="240" w:lineRule="auto"/>
                    <w:rPr>
                      <w:rFonts w:hint="default" w:ascii="Times New Roman" w:hAnsi="Times New Roman" w:eastAsia="等线" w:cs="Times New Roman"/>
                      <w:color w:val="auto"/>
                      <w:sz w:val="21"/>
                      <w:szCs w:val="21"/>
                    </w:rPr>
                  </w:pPr>
                </w:p>
              </w:tc>
              <w:tc>
                <w:tcPr>
                  <w:tcW w:w="600" w:type="dxa"/>
                  <w:vAlign w:val="center"/>
                </w:tcPr>
                <w:p w14:paraId="22448884">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w:t>
                  </w:r>
                </w:p>
              </w:tc>
              <w:tc>
                <w:tcPr>
                  <w:tcW w:w="2881" w:type="dxa"/>
                  <w:vAlign w:val="center"/>
                </w:tcPr>
                <w:p w14:paraId="012CBE42">
                  <w:pPr>
                    <w:widowControl/>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禁止使用附带生物污染、有毒有害物质等废塑料作为生产原辅料。鼓励企业对造粒前对废塑料采用节水、节能、高效、低污染对技术进行清理清洗，减少其中对固体杂质，降低造粒机过滤网对更换频率。</w:t>
                  </w:r>
                </w:p>
              </w:tc>
              <w:tc>
                <w:tcPr>
                  <w:tcW w:w="3491" w:type="dxa"/>
                  <w:vAlign w:val="center"/>
                </w:tcPr>
                <w:p w14:paraId="26DECB54">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sz w:val="21"/>
                      <w:szCs w:val="21"/>
                      <w:lang w:val="en-US" w:eastAsia="zh-CN" w:bidi="ar"/>
                    </w:rPr>
                    <w:t>本项目不涉及外来废旧塑料回收利用</w:t>
                  </w:r>
                </w:p>
              </w:tc>
              <w:tc>
                <w:tcPr>
                  <w:tcW w:w="729" w:type="dxa"/>
                  <w:vAlign w:val="center"/>
                </w:tcPr>
                <w:p w14:paraId="0F5B5897">
                  <w:pPr>
                    <w:widowControl/>
                    <w:spacing w:line="240" w:lineRule="auto"/>
                    <w:jc w:val="center"/>
                    <w:rPr>
                      <w:rFonts w:hint="eastAsia" w:ascii="Times New Roman" w:hAnsi="Times New Roman" w:cs="Times New Roman" w:eastAsiaTheme="minorEastAsia"/>
                      <w:color w:val="auto"/>
                      <w:sz w:val="21"/>
                      <w:szCs w:val="21"/>
                      <w:lang w:val="en-US" w:eastAsia="zh-CN" w:bidi="ar"/>
                    </w:rPr>
                  </w:pPr>
                  <w:r>
                    <w:rPr>
                      <w:rFonts w:hint="eastAsia" w:ascii="Times New Roman" w:hAnsi="Times New Roman" w:cs="Times New Roman"/>
                      <w:color w:val="auto"/>
                      <w:sz w:val="21"/>
                      <w:szCs w:val="21"/>
                      <w:lang w:val="en-US" w:eastAsia="zh-CN" w:bidi="ar"/>
                    </w:rPr>
                    <w:t>符合</w:t>
                  </w:r>
                </w:p>
              </w:tc>
            </w:tr>
            <w:tr w14:paraId="05A5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681BF019">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304BCD5B">
                  <w:pPr>
                    <w:spacing w:line="240" w:lineRule="auto"/>
                    <w:rPr>
                      <w:rFonts w:hint="default" w:ascii="Times New Roman" w:hAnsi="Times New Roman" w:eastAsia="等线" w:cs="Times New Roman"/>
                      <w:color w:val="auto"/>
                      <w:sz w:val="21"/>
                      <w:szCs w:val="21"/>
                    </w:rPr>
                  </w:pPr>
                </w:p>
              </w:tc>
              <w:tc>
                <w:tcPr>
                  <w:tcW w:w="600" w:type="dxa"/>
                  <w:vAlign w:val="center"/>
                </w:tcPr>
                <w:p w14:paraId="3FD43235">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3</w:t>
                  </w:r>
                </w:p>
              </w:tc>
              <w:tc>
                <w:tcPr>
                  <w:tcW w:w="2881" w:type="dxa"/>
                  <w:vAlign w:val="center"/>
                </w:tcPr>
                <w:p w14:paraId="2431BD12">
                  <w:pPr>
                    <w:widowControl/>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禁止使用抛料和加工过程中产生较大臭味对原料（如聚甲醛、聚氯乙烯等）、模压复合材料检查井盖生产企业再生利用废塑料应使用已经破碎、分选（炼）的清洁原料。</w:t>
                  </w:r>
                </w:p>
              </w:tc>
              <w:tc>
                <w:tcPr>
                  <w:tcW w:w="3491" w:type="dxa"/>
                  <w:vAlign w:val="center"/>
                </w:tcPr>
                <w:p w14:paraId="40EB47FB">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项目不进行抛料以及相关废塑料加工，不使用产生较大臭味的原料；不进行模压复合材料检查井盖生产</w:t>
                  </w:r>
                </w:p>
              </w:tc>
              <w:tc>
                <w:tcPr>
                  <w:tcW w:w="729" w:type="dxa"/>
                  <w:vAlign w:val="center"/>
                </w:tcPr>
                <w:p w14:paraId="3E33283F">
                  <w:pPr>
                    <w:widowControl/>
                    <w:spacing w:line="240" w:lineRule="auto"/>
                    <w:jc w:val="center"/>
                    <w:rPr>
                      <w:rFonts w:hint="eastAsia" w:ascii="Times New Roman" w:hAnsi="Times New Roman" w:cs="Times New Roman" w:eastAsiaTheme="minorEastAsia"/>
                      <w:color w:val="auto"/>
                      <w:sz w:val="21"/>
                      <w:szCs w:val="21"/>
                      <w:lang w:val="en-US" w:eastAsia="zh-CN" w:bidi="ar"/>
                    </w:rPr>
                  </w:pPr>
                  <w:r>
                    <w:rPr>
                      <w:rFonts w:hint="eastAsia" w:ascii="Times New Roman" w:hAnsi="Times New Roman" w:cs="Times New Roman"/>
                      <w:color w:val="auto"/>
                      <w:sz w:val="21"/>
                      <w:szCs w:val="21"/>
                      <w:lang w:val="en-US" w:eastAsia="zh-CN" w:bidi="ar"/>
                    </w:rPr>
                    <w:t>符合</w:t>
                  </w:r>
                </w:p>
              </w:tc>
            </w:tr>
            <w:tr w14:paraId="3236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763E555D">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7312CF99">
                  <w:pPr>
                    <w:spacing w:line="240" w:lineRule="auto"/>
                    <w:rPr>
                      <w:rFonts w:hint="default" w:ascii="Times New Roman" w:hAnsi="Times New Roman" w:eastAsia="等线" w:cs="Times New Roman"/>
                      <w:color w:val="auto"/>
                      <w:sz w:val="21"/>
                      <w:szCs w:val="21"/>
                    </w:rPr>
                  </w:pPr>
                </w:p>
              </w:tc>
              <w:tc>
                <w:tcPr>
                  <w:tcW w:w="600" w:type="dxa"/>
                  <w:vAlign w:val="center"/>
                </w:tcPr>
                <w:p w14:paraId="46EC2235">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4</w:t>
                  </w:r>
                </w:p>
              </w:tc>
              <w:tc>
                <w:tcPr>
                  <w:tcW w:w="2881" w:type="dxa"/>
                  <w:vAlign w:val="center"/>
                </w:tcPr>
                <w:p w14:paraId="3CA93595">
                  <w:pPr>
                    <w:widowControl/>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不饱和树脂、苯乙烯等含有</w:t>
                  </w:r>
                  <w:r>
                    <w:rPr>
                      <w:rFonts w:hint="default" w:ascii="Times New Roman" w:hAnsi="Times New Roman" w:cs="Times New Roman"/>
                      <w:color w:val="auto"/>
                      <w:kern w:val="0"/>
                      <w:sz w:val="21"/>
                      <w:szCs w:val="21"/>
                      <w:lang w:eastAsia="zh-CN" w:bidi="ar"/>
                    </w:rPr>
                    <w:t>VOC</w:t>
                  </w:r>
                  <w:r>
                    <w:rPr>
                      <w:rFonts w:hint="default" w:ascii="Times New Roman" w:hAnsi="Times New Roman" w:cs="Times New Roman"/>
                      <w:color w:val="auto"/>
                      <w:kern w:val="0"/>
                      <w:sz w:val="21"/>
                      <w:szCs w:val="21"/>
                      <w:vertAlign w:val="subscript"/>
                      <w:lang w:eastAsia="zh-CN" w:bidi="ar"/>
                    </w:rPr>
                    <w:t>S</w:t>
                  </w:r>
                  <w:r>
                    <w:rPr>
                      <w:rFonts w:hint="default" w:ascii="Times New Roman" w:hAnsi="Times New Roman" w:cs="Times New Roman"/>
                      <w:color w:val="auto"/>
                      <w:kern w:val="0"/>
                      <w:sz w:val="21"/>
                      <w:szCs w:val="21"/>
                      <w:lang w:bidi="ar"/>
                    </w:rPr>
                    <w:t>等有机液体原料应提供正规厂家等供货信息、化学品安全说明书（MSDS）等材料，并建立管理台账。</w:t>
                  </w:r>
                </w:p>
              </w:tc>
              <w:tc>
                <w:tcPr>
                  <w:tcW w:w="3491" w:type="dxa"/>
                  <w:vAlign w:val="center"/>
                </w:tcPr>
                <w:p w14:paraId="298721E1">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sz w:val="21"/>
                      <w:szCs w:val="21"/>
                      <w:lang w:val="en-US" w:eastAsia="zh-CN" w:bidi="ar"/>
                    </w:rPr>
                    <w:t>本项目不使用有机液体原料</w:t>
                  </w:r>
                </w:p>
              </w:tc>
              <w:tc>
                <w:tcPr>
                  <w:tcW w:w="729" w:type="dxa"/>
                  <w:vAlign w:val="center"/>
                </w:tcPr>
                <w:p w14:paraId="53A20024">
                  <w:pPr>
                    <w:widowControl/>
                    <w:spacing w:line="240" w:lineRule="auto"/>
                    <w:jc w:val="center"/>
                    <w:rPr>
                      <w:rFonts w:hint="eastAsia" w:ascii="Times New Roman" w:hAnsi="Times New Roman" w:cs="Times New Roman" w:eastAsiaTheme="minorEastAsia"/>
                      <w:color w:val="auto"/>
                      <w:sz w:val="21"/>
                      <w:szCs w:val="21"/>
                      <w:lang w:val="en-US" w:eastAsia="zh-CN" w:bidi="ar"/>
                    </w:rPr>
                  </w:pPr>
                  <w:r>
                    <w:rPr>
                      <w:rFonts w:hint="eastAsia" w:ascii="Times New Roman" w:hAnsi="Times New Roman" w:cs="Times New Roman"/>
                      <w:color w:val="auto"/>
                      <w:sz w:val="21"/>
                      <w:szCs w:val="21"/>
                      <w:lang w:val="en-US" w:eastAsia="zh-CN" w:bidi="ar"/>
                    </w:rPr>
                    <w:t>不涉及</w:t>
                  </w:r>
                </w:p>
              </w:tc>
            </w:tr>
            <w:tr w14:paraId="45C0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7774812C">
                  <w:pPr>
                    <w:spacing w:line="240" w:lineRule="auto"/>
                    <w:rPr>
                      <w:rFonts w:hint="default" w:ascii="Times New Roman" w:hAnsi="Times New Roman" w:eastAsia="等线" w:cs="Times New Roman"/>
                      <w:color w:val="auto"/>
                      <w:sz w:val="21"/>
                      <w:szCs w:val="21"/>
                    </w:rPr>
                  </w:pPr>
                </w:p>
              </w:tc>
              <w:tc>
                <w:tcPr>
                  <w:tcW w:w="419" w:type="dxa"/>
                  <w:vMerge w:val="restart"/>
                  <w:vAlign w:val="center"/>
                </w:tcPr>
                <w:p w14:paraId="130728F0">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提高生产工艺装备水平</w:t>
                  </w:r>
                </w:p>
              </w:tc>
              <w:tc>
                <w:tcPr>
                  <w:tcW w:w="600" w:type="dxa"/>
                  <w:vAlign w:val="center"/>
                </w:tcPr>
                <w:p w14:paraId="3929CFCC">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5</w:t>
                  </w:r>
                </w:p>
              </w:tc>
              <w:tc>
                <w:tcPr>
                  <w:tcW w:w="2881" w:type="dxa"/>
                  <w:vAlign w:val="center"/>
                </w:tcPr>
                <w:p w14:paraId="76815D09">
                  <w:pPr>
                    <w:widowControl/>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破碎工艺宜采用干法破碎技术，并配套防治粉尘和噪声污染等设备。</w:t>
                  </w:r>
                </w:p>
              </w:tc>
              <w:tc>
                <w:tcPr>
                  <w:tcW w:w="3491" w:type="dxa"/>
                  <w:vAlign w:val="center"/>
                </w:tcPr>
                <w:p w14:paraId="2A5D89F6">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val="en-US" w:eastAsia="zh-CN"/>
                    </w:rPr>
                    <w:t>不涉及破碎工艺</w:t>
                  </w:r>
                </w:p>
              </w:tc>
              <w:tc>
                <w:tcPr>
                  <w:tcW w:w="729" w:type="dxa"/>
                  <w:vAlign w:val="center"/>
                </w:tcPr>
                <w:p w14:paraId="6B0F9C50">
                  <w:pPr>
                    <w:widowControl/>
                    <w:spacing w:line="240" w:lineRule="auto"/>
                    <w:jc w:val="center"/>
                    <w:rPr>
                      <w:rFonts w:hint="eastAsia"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rPr>
                    <w:t>不涉及</w:t>
                  </w:r>
                </w:p>
              </w:tc>
            </w:tr>
            <w:tr w14:paraId="35B5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790EA731">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1448933F">
                  <w:pPr>
                    <w:spacing w:line="240" w:lineRule="auto"/>
                    <w:rPr>
                      <w:rFonts w:hint="default" w:ascii="Times New Roman" w:hAnsi="Times New Roman" w:eastAsia="等线" w:cs="Times New Roman"/>
                      <w:color w:val="auto"/>
                      <w:sz w:val="21"/>
                      <w:szCs w:val="21"/>
                    </w:rPr>
                  </w:pPr>
                </w:p>
              </w:tc>
              <w:tc>
                <w:tcPr>
                  <w:tcW w:w="600" w:type="dxa"/>
                  <w:vAlign w:val="center"/>
                </w:tcPr>
                <w:p w14:paraId="0BA7F127">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6</w:t>
                  </w:r>
                </w:p>
              </w:tc>
              <w:tc>
                <w:tcPr>
                  <w:tcW w:w="2881" w:type="dxa"/>
                  <w:vAlign w:val="center"/>
                </w:tcPr>
                <w:p w14:paraId="27D208D9">
                  <w:pPr>
                    <w:widowControl/>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在安全允许等前提下，不饱和树脂、苯乙烯等大宗有机液体物料应采用储罐储存，设置平衡管或呼吸废气收集处理，并采用管道将物料输送至调配间或生产工位，减少废气无组织排放。桶装料在非正常状态必须密闭存放，并应选用隔膜泵进行送料，抽料区域应设置密闭间，并安装集气装置收集废气进行处理。</w:t>
                  </w:r>
                </w:p>
              </w:tc>
              <w:tc>
                <w:tcPr>
                  <w:tcW w:w="3491" w:type="dxa"/>
                  <w:vAlign w:val="center"/>
                </w:tcPr>
                <w:p w14:paraId="249E1B78">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项目注塑工序使用原料皆为固体原料，无大宗有机液体物料</w:t>
                  </w:r>
                </w:p>
              </w:tc>
              <w:tc>
                <w:tcPr>
                  <w:tcW w:w="729" w:type="dxa"/>
                  <w:vAlign w:val="center"/>
                </w:tcPr>
                <w:p w14:paraId="013DD473">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5C05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1098A5FB">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63C8C74D">
                  <w:pPr>
                    <w:spacing w:line="240" w:lineRule="auto"/>
                    <w:rPr>
                      <w:rFonts w:hint="default" w:ascii="Times New Roman" w:hAnsi="Times New Roman" w:eastAsia="等线" w:cs="Times New Roman"/>
                      <w:color w:val="auto"/>
                      <w:sz w:val="21"/>
                      <w:szCs w:val="21"/>
                    </w:rPr>
                  </w:pPr>
                </w:p>
              </w:tc>
              <w:tc>
                <w:tcPr>
                  <w:tcW w:w="600" w:type="dxa"/>
                  <w:vAlign w:val="center"/>
                </w:tcPr>
                <w:p w14:paraId="6F914020">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7</w:t>
                  </w:r>
                </w:p>
              </w:tc>
              <w:tc>
                <w:tcPr>
                  <w:tcW w:w="2881" w:type="dxa"/>
                  <w:vAlign w:val="center"/>
                </w:tcPr>
                <w:p w14:paraId="3BD2099B">
                  <w:pPr>
                    <w:widowControl/>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模压复合材料检查井盖等搅拌工序应按照重力流方式布置，有机液体物料全部采样管道密闭输送至生产设备，固体物料应采用密闭式固体投料装置送至搅拌釜，搅拌釜之间等混合物料应通过密闭管道进行转移。禁止使用敞开式搅拌釜，收集密闭式搅拌釜产生等呼吸废气进行处理。</w:t>
                  </w:r>
                </w:p>
              </w:tc>
              <w:tc>
                <w:tcPr>
                  <w:tcW w:w="3491" w:type="dxa"/>
                  <w:vAlign w:val="center"/>
                </w:tcPr>
                <w:p w14:paraId="18B18952">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项目不属于模压复合材料检查井盖生产项目</w:t>
                  </w:r>
                </w:p>
              </w:tc>
              <w:tc>
                <w:tcPr>
                  <w:tcW w:w="729" w:type="dxa"/>
                  <w:vAlign w:val="center"/>
                </w:tcPr>
                <w:p w14:paraId="5484B4DC">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504F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2F02DB89">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5DFF21DA">
                  <w:pPr>
                    <w:spacing w:line="240" w:lineRule="auto"/>
                    <w:rPr>
                      <w:rFonts w:hint="default" w:ascii="Times New Roman" w:hAnsi="Times New Roman" w:eastAsia="等线" w:cs="Times New Roman"/>
                      <w:color w:val="auto"/>
                      <w:sz w:val="21"/>
                      <w:szCs w:val="21"/>
                    </w:rPr>
                  </w:pPr>
                </w:p>
              </w:tc>
              <w:tc>
                <w:tcPr>
                  <w:tcW w:w="600" w:type="dxa"/>
                  <w:vAlign w:val="center"/>
                </w:tcPr>
                <w:p w14:paraId="3708AB3F">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8</w:t>
                  </w:r>
                </w:p>
              </w:tc>
              <w:tc>
                <w:tcPr>
                  <w:tcW w:w="2881" w:type="dxa"/>
                  <w:vAlign w:val="center"/>
                </w:tcPr>
                <w:p w14:paraId="572C8D89">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模压复合材料检查井盖生产中等搅拌后等物料，应选用密闭式螺旋输送机送至生产工位，不得采用人工转运方式进行物料转移。</w:t>
                  </w:r>
                </w:p>
              </w:tc>
              <w:tc>
                <w:tcPr>
                  <w:tcW w:w="3491" w:type="dxa"/>
                  <w:vAlign w:val="center"/>
                </w:tcPr>
                <w:p w14:paraId="662CB716">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项目不属于模压复合材料检查井盖生产项目</w:t>
                  </w:r>
                </w:p>
              </w:tc>
              <w:tc>
                <w:tcPr>
                  <w:tcW w:w="729" w:type="dxa"/>
                  <w:vAlign w:val="center"/>
                </w:tcPr>
                <w:p w14:paraId="7525F5B0">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0E81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restart"/>
                  <w:vAlign w:val="center"/>
                </w:tcPr>
                <w:p w14:paraId="0CBC7834">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加强废气收集</w:t>
                  </w:r>
                </w:p>
              </w:tc>
              <w:tc>
                <w:tcPr>
                  <w:tcW w:w="419" w:type="dxa"/>
                  <w:vMerge w:val="restart"/>
                  <w:vAlign w:val="center"/>
                </w:tcPr>
                <w:p w14:paraId="47E8F96C">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收集所有产生等废气</w:t>
                  </w:r>
                </w:p>
              </w:tc>
              <w:tc>
                <w:tcPr>
                  <w:tcW w:w="600" w:type="dxa"/>
                  <w:vAlign w:val="center"/>
                </w:tcPr>
                <w:p w14:paraId="70F55555">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9</w:t>
                  </w:r>
                </w:p>
              </w:tc>
              <w:tc>
                <w:tcPr>
                  <w:tcW w:w="2881" w:type="dxa"/>
                  <w:vAlign w:val="center"/>
                </w:tcPr>
                <w:p w14:paraId="61266A36">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塑料加工企业应收集熔融、过滤、挤出（包括注塑、挤塑等）等生产环节中产生等废气。</w:t>
                  </w:r>
                </w:p>
              </w:tc>
              <w:tc>
                <w:tcPr>
                  <w:tcW w:w="3491" w:type="dxa"/>
                  <w:vAlign w:val="center"/>
                </w:tcPr>
                <w:p w14:paraId="00D66930">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bidi="ar"/>
                    </w:rPr>
                    <w:t>本项目对熔融、挤出废气进行密闭收集处理</w:t>
                  </w:r>
                </w:p>
              </w:tc>
              <w:tc>
                <w:tcPr>
                  <w:tcW w:w="729" w:type="dxa"/>
                  <w:vAlign w:val="center"/>
                </w:tcPr>
                <w:p w14:paraId="76571581">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71C1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42154F65">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6D70D59C">
                  <w:pPr>
                    <w:spacing w:line="240" w:lineRule="auto"/>
                    <w:rPr>
                      <w:rFonts w:hint="default" w:ascii="Times New Roman" w:hAnsi="Times New Roman" w:eastAsia="等线" w:cs="Times New Roman"/>
                      <w:color w:val="auto"/>
                      <w:sz w:val="21"/>
                      <w:szCs w:val="21"/>
                    </w:rPr>
                  </w:pPr>
                </w:p>
              </w:tc>
              <w:tc>
                <w:tcPr>
                  <w:tcW w:w="600" w:type="dxa"/>
                  <w:vAlign w:val="center"/>
                </w:tcPr>
                <w:p w14:paraId="0DFAD4EF">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10</w:t>
                  </w:r>
                </w:p>
              </w:tc>
              <w:tc>
                <w:tcPr>
                  <w:tcW w:w="2881" w:type="dxa"/>
                  <w:vAlign w:val="center"/>
                </w:tcPr>
                <w:p w14:paraId="2C637ECA">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模压复合材料检查井盖生产企业应收集有机液体储存、搅拌、抽料、放料、模压等生产环节中产生等废气。</w:t>
                  </w:r>
                </w:p>
              </w:tc>
              <w:tc>
                <w:tcPr>
                  <w:tcW w:w="3491" w:type="dxa"/>
                  <w:vAlign w:val="center"/>
                </w:tcPr>
                <w:p w14:paraId="3B9F062C">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项目不属于模压复合材料检查井盖生产项目</w:t>
                  </w:r>
                </w:p>
              </w:tc>
              <w:tc>
                <w:tcPr>
                  <w:tcW w:w="729" w:type="dxa"/>
                  <w:vAlign w:val="center"/>
                </w:tcPr>
                <w:p w14:paraId="54CE483D">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672C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449E9E72">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3ED8A6DA">
                  <w:pPr>
                    <w:spacing w:line="240" w:lineRule="auto"/>
                    <w:rPr>
                      <w:rFonts w:hint="default" w:ascii="Times New Roman" w:hAnsi="Times New Roman" w:eastAsia="等线" w:cs="Times New Roman"/>
                      <w:color w:val="auto"/>
                      <w:sz w:val="21"/>
                      <w:szCs w:val="21"/>
                    </w:rPr>
                  </w:pPr>
                </w:p>
              </w:tc>
              <w:tc>
                <w:tcPr>
                  <w:tcW w:w="600" w:type="dxa"/>
                  <w:vAlign w:val="center"/>
                </w:tcPr>
                <w:p w14:paraId="0309DC8B">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11</w:t>
                  </w:r>
                </w:p>
              </w:tc>
              <w:tc>
                <w:tcPr>
                  <w:tcW w:w="2881" w:type="dxa"/>
                  <w:vAlign w:val="center"/>
                </w:tcPr>
                <w:p w14:paraId="02513D65">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企业应采用密闭式集气方式进行废气收集，不得采用集气罩方式。</w:t>
                  </w:r>
                </w:p>
              </w:tc>
              <w:tc>
                <w:tcPr>
                  <w:tcW w:w="3491" w:type="dxa"/>
                  <w:vAlign w:val="center"/>
                </w:tcPr>
                <w:p w14:paraId="76A768AB">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bidi="ar"/>
                    </w:rPr>
                    <w:t>本项目注塑机产废气工段采用密闭负压收集</w:t>
                  </w:r>
                </w:p>
              </w:tc>
              <w:tc>
                <w:tcPr>
                  <w:tcW w:w="729" w:type="dxa"/>
                  <w:vAlign w:val="center"/>
                </w:tcPr>
                <w:p w14:paraId="23F7486B">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407A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3C54B714">
                  <w:pPr>
                    <w:spacing w:line="240" w:lineRule="auto"/>
                    <w:rPr>
                      <w:rFonts w:hint="default" w:ascii="Times New Roman" w:hAnsi="Times New Roman" w:eastAsia="等线" w:cs="Times New Roman"/>
                      <w:color w:val="auto"/>
                      <w:sz w:val="21"/>
                      <w:szCs w:val="21"/>
                    </w:rPr>
                  </w:pPr>
                </w:p>
              </w:tc>
              <w:tc>
                <w:tcPr>
                  <w:tcW w:w="419" w:type="dxa"/>
                  <w:vMerge w:val="restart"/>
                  <w:vAlign w:val="center"/>
                </w:tcPr>
                <w:p w14:paraId="4CA72BC3">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规范收集方式和参数</w:t>
                  </w:r>
                </w:p>
              </w:tc>
              <w:tc>
                <w:tcPr>
                  <w:tcW w:w="600" w:type="dxa"/>
                  <w:vAlign w:val="center"/>
                </w:tcPr>
                <w:p w14:paraId="70546EB0">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12</w:t>
                  </w:r>
                </w:p>
              </w:tc>
              <w:tc>
                <w:tcPr>
                  <w:tcW w:w="2881" w:type="dxa"/>
                  <w:vAlign w:val="center"/>
                </w:tcPr>
                <w:p w14:paraId="1108B229">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对废塑料熔融造粒和挤出生产线进行全密闭，常闭面采用玻璃、岩棉夹芯板或其他硬质围挡阻隔，常开面采用自吸式软帘隔离，确保非进出时间密闭间呈密闭状态。在密闭空间内针对废气产生点设置半密闭集气罩，优先将大部分废气直接引至收集系统。</w:t>
                  </w:r>
                </w:p>
              </w:tc>
              <w:tc>
                <w:tcPr>
                  <w:tcW w:w="3491" w:type="dxa"/>
                  <w:vAlign w:val="center"/>
                </w:tcPr>
                <w:p w14:paraId="7E8715D1">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bidi="ar"/>
                    </w:rPr>
                    <w:t>本项目注塑机产废气工段采用密闭负压收集</w:t>
                  </w:r>
                </w:p>
              </w:tc>
              <w:tc>
                <w:tcPr>
                  <w:tcW w:w="729" w:type="dxa"/>
                  <w:vAlign w:val="center"/>
                </w:tcPr>
                <w:p w14:paraId="10D5042D">
                  <w:pPr>
                    <w:widowControl/>
                    <w:spacing w:line="240" w:lineRule="auto"/>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3FC6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22705B3B">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11999565">
                  <w:pPr>
                    <w:spacing w:line="240" w:lineRule="auto"/>
                    <w:rPr>
                      <w:rFonts w:hint="default" w:ascii="Times New Roman" w:hAnsi="Times New Roman" w:eastAsia="等线" w:cs="Times New Roman"/>
                      <w:color w:val="auto"/>
                      <w:sz w:val="21"/>
                      <w:szCs w:val="21"/>
                    </w:rPr>
                  </w:pPr>
                </w:p>
              </w:tc>
              <w:tc>
                <w:tcPr>
                  <w:tcW w:w="600" w:type="dxa"/>
                  <w:vAlign w:val="center"/>
                </w:tcPr>
                <w:p w14:paraId="15B1B0A5">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13</w:t>
                  </w:r>
                </w:p>
              </w:tc>
              <w:tc>
                <w:tcPr>
                  <w:tcW w:w="2881" w:type="dxa"/>
                  <w:vAlign w:val="center"/>
                </w:tcPr>
                <w:p w14:paraId="6A4DA680">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对模压复合材料检查井盖生产企业对有机液体原料储罐、搅拌釜呼吸废气采用管道直接连接对方式收集废气。</w:t>
                  </w:r>
                </w:p>
              </w:tc>
              <w:tc>
                <w:tcPr>
                  <w:tcW w:w="3491" w:type="dxa"/>
                  <w:vAlign w:val="center"/>
                </w:tcPr>
                <w:p w14:paraId="6F50A323">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项目不属于模压复合材料检查井盖生产项目</w:t>
                  </w:r>
                </w:p>
              </w:tc>
              <w:tc>
                <w:tcPr>
                  <w:tcW w:w="729" w:type="dxa"/>
                  <w:vAlign w:val="center"/>
                </w:tcPr>
                <w:p w14:paraId="1A29020E">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5814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1C731F98">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1ED4B15A">
                  <w:pPr>
                    <w:spacing w:line="240" w:lineRule="auto"/>
                    <w:rPr>
                      <w:rFonts w:hint="default" w:ascii="Times New Roman" w:hAnsi="Times New Roman" w:eastAsia="等线" w:cs="Times New Roman"/>
                      <w:color w:val="auto"/>
                      <w:sz w:val="21"/>
                      <w:szCs w:val="21"/>
                    </w:rPr>
                  </w:pPr>
                </w:p>
              </w:tc>
              <w:tc>
                <w:tcPr>
                  <w:tcW w:w="600" w:type="dxa"/>
                  <w:vAlign w:val="center"/>
                </w:tcPr>
                <w:p w14:paraId="7698430E">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14</w:t>
                  </w:r>
                </w:p>
              </w:tc>
              <w:tc>
                <w:tcPr>
                  <w:tcW w:w="2881" w:type="dxa"/>
                  <w:vAlign w:val="center"/>
                </w:tcPr>
                <w:p w14:paraId="6BB51B41">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对模压复合材料检查井盖生产企业的抽料、放料、模压区域应设置密闭间，常闭面采用玻璃、岩棉夹芯板或其他硬质围挡阻隔，常开面采用双道门隔离，人员进出时必须确保其中一道门处于关闭状态。在密闭空间内针对抽料口、放料口或模压机压头区域对废气产生点设置半密闭集气罩，优先将大部分废气直接引至收集系统。</w:t>
                  </w:r>
                </w:p>
              </w:tc>
              <w:tc>
                <w:tcPr>
                  <w:tcW w:w="3491" w:type="dxa"/>
                  <w:vAlign w:val="center"/>
                </w:tcPr>
                <w:p w14:paraId="044A59E5">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项目不属于模压复合材料检查井盖生产项目</w:t>
                  </w:r>
                </w:p>
              </w:tc>
              <w:tc>
                <w:tcPr>
                  <w:tcW w:w="729" w:type="dxa"/>
                  <w:vAlign w:val="center"/>
                </w:tcPr>
                <w:p w14:paraId="4532871E">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403D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6FB23290">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7879268F">
                  <w:pPr>
                    <w:spacing w:line="240" w:lineRule="auto"/>
                    <w:rPr>
                      <w:rFonts w:hint="default" w:ascii="Times New Roman" w:hAnsi="Times New Roman" w:eastAsia="等线" w:cs="Times New Roman"/>
                      <w:color w:val="auto"/>
                      <w:sz w:val="21"/>
                      <w:szCs w:val="21"/>
                    </w:rPr>
                  </w:pPr>
                </w:p>
              </w:tc>
              <w:tc>
                <w:tcPr>
                  <w:tcW w:w="600" w:type="dxa"/>
                  <w:vAlign w:val="center"/>
                </w:tcPr>
                <w:p w14:paraId="5AB9B30E">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15</w:t>
                  </w:r>
                </w:p>
              </w:tc>
              <w:tc>
                <w:tcPr>
                  <w:tcW w:w="2881" w:type="dxa"/>
                  <w:vAlign w:val="center"/>
                </w:tcPr>
                <w:p w14:paraId="6554D5D1">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采用密闭方式收集废气时，密闭空间必须同时满足足够的换气次数和保持微负压状态。人员操作频繁对空间内换气次数不小于20次/小时；包括进出通道、隔离材料缝隙在内，所有可能对敞开截面应该控制风速不小于0.5米/秒。</w:t>
                  </w:r>
                </w:p>
              </w:tc>
              <w:tc>
                <w:tcPr>
                  <w:tcW w:w="3491" w:type="dxa"/>
                  <w:vAlign w:val="center"/>
                </w:tcPr>
                <w:p w14:paraId="27175999">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bidi="ar"/>
                    </w:rPr>
                    <w:t>项目采用密闭方式收集有机废气，换气次数不小于20次/h，</w:t>
                  </w:r>
                  <w:r>
                    <w:rPr>
                      <w:rFonts w:hint="default" w:ascii="Times New Roman" w:hAnsi="Times New Roman" w:cs="Times New Roman"/>
                      <w:color w:val="auto"/>
                      <w:kern w:val="0"/>
                      <w:sz w:val="21"/>
                      <w:szCs w:val="21"/>
                      <w:lang w:bidi="ar"/>
                    </w:rPr>
                    <w:t>所有可能对敞开截面控制风速不小于0.5米/秒</w:t>
                  </w:r>
                </w:p>
              </w:tc>
              <w:tc>
                <w:tcPr>
                  <w:tcW w:w="729" w:type="dxa"/>
                  <w:vAlign w:val="center"/>
                </w:tcPr>
                <w:p w14:paraId="2B96E3A8">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1CC8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2D54E3BF">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544773B2">
                  <w:pPr>
                    <w:spacing w:line="240" w:lineRule="auto"/>
                    <w:rPr>
                      <w:rFonts w:hint="default" w:ascii="Times New Roman" w:hAnsi="Times New Roman" w:eastAsia="等线" w:cs="Times New Roman"/>
                      <w:color w:val="auto"/>
                      <w:sz w:val="21"/>
                      <w:szCs w:val="21"/>
                    </w:rPr>
                  </w:pPr>
                </w:p>
              </w:tc>
              <w:tc>
                <w:tcPr>
                  <w:tcW w:w="600" w:type="dxa"/>
                  <w:vAlign w:val="center"/>
                </w:tcPr>
                <w:p w14:paraId="7154020D">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16</w:t>
                  </w:r>
                </w:p>
              </w:tc>
              <w:tc>
                <w:tcPr>
                  <w:tcW w:w="2881" w:type="dxa"/>
                  <w:vAlign w:val="center"/>
                </w:tcPr>
                <w:p w14:paraId="21986A52">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企业收集废气后，应满足厂区大气污染物监控点非甲烷总烃任何1小时平均浓度不得超过监控浓度限值为10毫克/立方米，任何瞬时一次浓度不得超过对监控浓度限值为50毫克/立方米。如企业采用密闭间方式收集废气，则厂区内大气污染物监控点指密闭间主要逸散口（门、窗、通风口）外1米，不低于1.5米高度处；如企业采用外部集气罩收集废气，则厂区内大气污染物监控点指生产设备外1米，不低于1.5米高度处，监控点对数量不少于3个。并以浓度最大值对监控点来判别是否达标。</w:t>
                  </w:r>
                </w:p>
              </w:tc>
              <w:tc>
                <w:tcPr>
                  <w:tcW w:w="3491" w:type="dxa"/>
                  <w:vAlign w:val="center"/>
                </w:tcPr>
                <w:p w14:paraId="1AD4033F">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落实后符合，要求企业投产后严格按照标准实行</w:t>
                  </w:r>
                </w:p>
              </w:tc>
              <w:tc>
                <w:tcPr>
                  <w:tcW w:w="729" w:type="dxa"/>
                  <w:vAlign w:val="center"/>
                </w:tcPr>
                <w:p w14:paraId="3CB6FA2A">
                  <w:pPr>
                    <w:widowControl/>
                    <w:spacing w:line="240" w:lineRule="auto"/>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400F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20EEFFDB">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733ADEEA">
                  <w:pPr>
                    <w:spacing w:line="240" w:lineRule="auto"/>
                    <w:rPr>
                      <w:rFonts w:hint="default" w:ascii="Times New Roman" w:hAnsi="Times New Roman" w:eastAsia="等线" w:cs="Times New Roman"/>
                      <w:color w:val="auto"/>
                      <w:sz w:val="21"/>
                      <w:szCs w:val="21"/>
                    </w:rPr>
                  </w:pPr>
                </w:p>
              </w:tc>
              <w:tc>
                <w:tcPr>
                  <w:tcW w:w="600" w:type="dxa"/>
                  <w:vAlign w:val="center"/>
                </w:tcPr>
                <w:p w14:paraId="0168EE76">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17</w:t>
                  </w:r>
                </w:p>
              </w:tc>
              <w:tc>
                <w:tcPr>
                  <w:tcW w:w="2881" w:type="dxa"/>
                  <w:vAlign w:val="center"/>
                </w:tcPr>
                <w:p w14:paraId="72201D12">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废气收集和输送应满足《大气污染治理工程技术导则》（HJ2000-2010）及相关规范对要求，管路应有明显对颜色区分及走向标识。</w:t>
                  </w:r>
                </w:p>
              </w:tc>
              <w:tc>
                <w:tcPr>
                  <w:tcW w:w="3491" w:type="dxa"/>
                  <w:vAlign w:val="center"/>
                </w:tcPr>
                <w:p w14:paraId="41A81901">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企业将委托有资质</w:t>
                  </w:r>
                  <w:r>
                    <w:rPr>
                      <w:rFonts w:hint="default" w:ascii="Times New Roman" w:hAnsi="Times New Roman" w:cs="Times New Roman"/>
                      <w:color w:val="auto"/>
                      <w:kern w:val="0"/>
                      <w:sz w:val="21"/>
                      <w:szCs w:val="21"/>
                      <w:lang w:val="en-US" w:eastAsia="zh-CN" w:bidi="ar"/>
                    </w:rPr>
                    <w:t>的</w:t>
                  </w:r>
                  <w:r>
                    <w:rPr>
                      <w:rFonts w:hint="default" w:ascii="Times New Roman" w:hAnsi="Times New Roman" w:cs="Times New Roman"/>
                      <w:color w:val="auto"/>
                      <w:kern w:val="0"/>
                      <w:sz w:val="21"/>
                      <w:szCs w:val="21"/>
                      <w:lang w:bidi="ar"/>
                    </w:rPr>
                    <w:t>废气处理单位对废气处理设施进行设计、施工，在废气设施安装过程废气收集和输送系统将按照规范要求进行施工</w:t>
                  </w:r>
                </w:p>
              </w:tc>
              <w:tc>
                <w:tcPr>
                  <w:tcW w:w="729" w:type="dxa"/>
                  <w:vAlign w:val="center"/>
                </w:tcPr>
                <w:p w14:paraId="09461FC5">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694D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restart"/>
                  <w:vAlign w:val="center"/>
                </w:tcPr>
                <w:p w14:paraId="0FB78105">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提升废气处理水平</w:t>
                  </w:r>
                </w:p>
              </w:tc>
              <w:tc>
                <w:tcPr>
                  <w:tcW w:w="419" w:type="dxa"/>
                  <w:vMerge w:val="restart"/>
                  <w:vAlign w:val="center"/>
                </w:tcPr>
                <w:p w14:paraId="08777673">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采用有效等废气处理工艺</w:t>
                  </w:r>
                </w:p>
              </w:tc>
              <w:tc>
                <w:tcPr>
                  <w:tcW w:w="600" w:type="dxa"/>
                  <w:vAlign w:val="center"/>
                </w:tcPr>
                <w:p w14:paraId="3943B8BA">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18</w:t>
                  </w:r>
                </w:p>
              </w:tc>
              <w:tc>
                <w:tcPr>
                  <w:tcW w:w="2881" w:type="dxa"/>
                  <w:vAlign w:val="center"/>
                </w:tcPr>
                <w:p w14:paraId="00B186E6">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破碎、配料、搅拌、固体投料等产生粉尘的工序应选用布袋除尘工艺，并配套在线清灰装置，如有异味再进行除异味处理。</w:t>
                  </w:r>
                </w:p>
              </w:tc>
              <w:tc>
                <w:tcPr>
                  <w:tcW w:w="3491" w:type="dxa"/>
                  <w:vAlign w:val="center"/>
                </w:tcPr>
                <w:p w14:paraId="08CCDD77">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bidi="ar"/>
                    </w:rPr>
                    <w:t>本项目不涉及破碎、配料、投料等产生的粉尘</w:t>
                  </w:r>
                </w:p>
              </w:tc>
              <w:tc>
                <w:tcPr>
                  <w:tcW w:w="729" w:type="dxa"/>
                  <w:vAlign w:val="center"/>
                </w:tcPr>
                <w:p w14:paraId="13DD2C8C">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16AC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0EDBC2DC">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601AEC45">
                  <w:pPr>
                    <w:spacing w:line="240" w:lineRule="auto"/>
                    <w:rPr>
                      <w:rFonts w:hint="default" w:ascii="Times New Roman" w:hAnsi="Times New Roman" w:eastAsia="等线" w:cs="Times New Roman"/>
                      <w:color w:val="auto"/>
                      <w:sz w:val="21"/>
                      <w:szCs w:val="21"/>
                    </w:rPr>
                  </w:pPr>
                </w:p>
              </w:tc>
              <w:tc>
                <w:tcPr>
                  <w:tcW w:w="600" w:type="dxa"/>
                  <w:vAlign w:val="center"/>
                </w:tcPr>
                <w:p w14:paraId="58ED9F25">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19</w:t>
                  </w:r>
                </w:p>
              </w:tc>
              <w:tc>
                <w:tcPr>
                  <w:tcW w:w="2881" w:type="dxa"/>
                  <w:vAlign w:val="center"/>
                </w:tcPr>
                <w:p w14:paraId="708DE3E4">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废塑料加工企业的熔融、过滤、挤出废气应首先采用“水喷淋+除雾+高压静电”的方式去除油烟，再采用“过滤+低温等离子体+水喷淋”、“过滤+光催化+水喷淋”、“过滤+活性炭吸附”或更高效技术进行除臭处理。去除油烟对喷淋塔底部设置喷淋液静置隔油设施，并配套气浮装置提高油类去除效果，喷淋液停留时间不小于10分钟。每万立方米/小时的高压静电设施设计功率不小于3千瓦，油烟净化效率不小于80%。造粒废气臭气浓度对净化效率不低于75%，注塑废气臭气浓度对净化效率不低于60%。</w:t>
                  </w:r>
                </w:p>
              </w:tc>
              <w:tc>
                <w:tcPr>
                  <w:tcW w:w="3491" w:type="dxa"/>
                  <w:vAlign w:val="center"/>
                </w:tcPr>
                <w:p w14:paraId="0BF12D9D">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bidi="ar"/>
                    </w:rPr>
                    <w:t>本项目采用</w:t>
                  </w:r>
                  <w:r>
                    <w:rPr>
                      <w:rFonts w:hint="default" w:ascii="Times New Roman" w:hAnsi="Times New Roman" w:cs="Times New Roman"/>
                      <w:color w:val="auto"/>
                      <w:kern w:val="0"/>
                      <w:sz w:val="21"/>
                      <w:szCs w:val="21"/>
                      <w:lang w:val="en-US" w:eastAsia="zh-CN" w:bidi="ar"/>
                    </w:rPr>
                    <w:t>活性炭吸附</w:t>
                  </w:r>
                  <w:r>
                    <w:rPr>
                      <w:rFonts w:hint="default" w:ascii="Times New Roman" w:hAnsi="Times New Roman" w:cs="Times New Roman"/>
                      <w:color w:val="auto"/>
                      <w:kern w:val="0"/>
                      <w:sz w:val="21"/>
                      <w:szCs w:val="21"/>
                      <w:lang w:bidi="ar"/>
                    </w:rPr>
                    <w:t>处理熔融挤出废气，净化效率</w:t>
                  </w:r>
                  <w:r>
                    <w:rPr>
                      <w:rFonts w:hint="eastAsia" w:ascii="Times New Roman" w:hAnsi="Times New Roman" w:cs="Times New Roman"/>
                      <w:color w:val="auto"/>
                      <w:kern w:val="0"/>
                      <w:sz w:val="21"/>
                      <w:szCs w:val="21"/>
                      <w:lang w:val="en-US" w:eastAsia="zh-CN" w:bidi="ar"/>
                    </w:rPr>
                    <w:t>60</w:t>
                  </w:r>
                  <w:r>
                    <w:rPr>
                      <w:rFonts w:hint="default" w:ascii="Times New Roman" w:hAnsi="Times New Roman" w:cs="Times New Roman"/>
                      <w:color w:val="auto"/>
                      <w:kern w:val="0"/>
                      <w:sz w:val="21"/>
                      <w:szCs w:val="21"/>
                      <w:lang w:bidi="ar"/>
                    </w:rPr>
                    <w:t>%。</w:t>
                  </w:r>
                  <w:r>
                    <w:rPr>
                      <w:rFonts w:hint="eastAsia" w:ascii="Times New Roman" w:hAnsi="Times New Roman" w:cs="Times New Roman"/>
                      <w:color w:val="auto"/>
                      <w:kern w:val="0"/>
                      <w:sz w:val="21"/>
                      <w:szCs w:val="21"/>
                      <w:lang w:val="en-US" w:eastAsia="zh-CN" w:bidi="ar"/>
                    </w:rPr>
                    <w:t>不涉及造粒</w:t>
                  </w:r>
                </w:p>
              </w:tc>
              <w:tc>
                <w:tcPr>
                  <w:tcW w:w="729" w:type="dxa"/>
                  <w:vAlign w:val="center"/>
                </w:tcPr>
                <w:p w14:paraId="2E37E391">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3E04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7D28D860">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5DA82580">
                  <w:pPr>
                    <w:spacing w:line="240" w:lineRule="auto"/>
                    <w:rPr>
                      <w:rFonts w:hint="default" w:ascii="Times New Roman" w:hAnsi="Times New Roman" w:eastAsia="等线" w:cs="Times New Roman"/>
                      <w:color w:val="auto"/>
                      <w:sz w:val="21"/>
                      <w:szCs w:val="21"/>
                    </w:rPr>
                  </w:pPr>
                </w:p>
              </w:tc>
              <w:tc>
                <w:tcPr>
                  <w:tcW w:w="600" w:type="dxa"/>
                  <w:vAlign w:val="center"/>
                </w:tcPr>
                <w:p w14:paraId="261B066A">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20</w:t>
                  </w:r>
                </w:p>
              </w:tc>
              <w:tc>
                <w:tcPr>
                  <w:tcW w:w="2881" w:type="dxa"/>
                  <w:vAlign w:val="center"/>
                </w:tcPr>
                <w:p w14:paraId="7BE0770B">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模压复合材料检查井盖生产企业的储存、搅拌、抽料、放料、模压废气应采用“过滤+低温等离子体+水喷淋”、“过滤+光催化+水喷淋”、“过滤+活性炭吸附”或更高效技术进行处理，搅拌过程如有颗粒物应先采用布袋除尘进行预处理。</w:t>
                  </w:r>
                </w:p>
              </w:tc>
              <w:tc>
                <w:tcPr>
                  <w:tcW w:w="3491" w:type="dxa"/>
                  <w:vAlign w:val="center"/>
                </w:tcPr>
                <w:p w14:paraId="00D838AE">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项目不属于模压复合材料检查井盖生产项目</w:t>
                  </w:r>
                </w:p>
              </w:tc>
              <w:tc>
                <w:tcPr>
                  <w:tcW w:w="729" w:type="dxa"/>
                  <w:vAlign w:val="center"/>
                </w:tcPr>
                <w:p w14:paraId="28B5F1A1">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623D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09E25EFC">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4D8F5F43">
                  <w:pPr>
                    <w:spacing w:line="240" w:lineRule="auto"/>
                    <w:rPr>
                      <w:rFonts w:hint="default" w:ascii="Times New Roman" w:hAnsi="Times New Roman" w:eastAsia="等线" w:cs="Times New Roman"/>
                      <w:color w:val="auto"/>
                      <w:sz w:val="21"/>
                      <w:szCs w:val="21"/>
                    </w:rPr>
                  </w:pPr>
                </w:p>
              </w:tc>
              <w:tc>
                <w:tcPr>
                  <w:tcW w:w="600" w:type="dxa"/>
                  <w:vAlign w:val="center"/>
                </w:tcPr>
                <w:p w14:paraId="0CE6046E">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21</w:t>
                  </w:r>
                </w:p>
              </w:tc>
              <w:tc>
                <w:tcPr>
                  <w:tcW w:w="2881" w:type="dxa"/>
                  <w:vAlign w:val="center"/>
                </w:tcPr>
                <w:p w14:paraId="76D6C3E1">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每万立方米/小时对光催化或等离子体设施的设计功率不小于10千瓦。</w:t>
                  </w:r>
                </w:p>
              </w:tc>
              <w:tc>
                <w:tcPr>
                  <w:tcW w:w="3491" w:type="dxa"/>
                  <w:vAlign w:val="center"/>
                </w:tcPr>
                <w:p w14:paraId="2D2D141A">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bidi="ar"/>
                    </w:rPr>
                    <w:t>本项目有机废气主要采用活性炭吸附处理，不涉及此要求</w:t>
                  </w:r>
                </w:p>
              </w:tc>
              <w:tc>
                <w:tcPr>
                  <w:tcW w:w="729" w:type="dxa"/>
                  <w:vAlign w:val="center"/>
                </w:tcPr>
                <w:p w14:paraId="5CE5FC9A">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不涉及</w:t>
                  </w:r>
                </w:p>
              </w:tc>
            </w:tr>
            <w:tr w14:paraId="286B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7A0A932E">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552C5255">
                  <w:pPr>
                    <w:spacing w:line="240" w:lineRule="auto"/>
                    <w:rPr>
                      <w:rFonts w:hint="default" w:ascii="Times New Roman" w:hAnsi="Times New Roman" w:eastAsia="等线" w:cs="Times New Roman"/>
                      <w:color w:val="auto"/>
                      <w:sz w:val="21"/>
                      <w:szCs w:val="21"/>
                    </w:rPr>
                  </w:pPr>
                </w:p>
              </w:tc>
              <w:tc>
                <w:tcPr>
                  <w:tcW w:w="600" w:type="dxa"/>
                  <w:vAlign w:val="center"/>
                </w:tcPr>
                <w:p w14:paraId="4870C374">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22</w:t>
                  </w:r>
                </w:p>
              </w:tc>
              <w:tc>
                <w:tcPr>
                  <w:tcW w:w="2881" w:type="dxa"/>
                  <w:vAlign w:val="center"/>
                </w:tcPr>
                <w:p w14:paraId="266E1AB3">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活性炭吸附设施中，采用颗粒状活性炭的风速应不大于0.5米/秒，采用蜂窝状活性炭的风速应不大于1米/秒，装填吸附剂的停留时间不小于1秒。当采用一次性活性炭吸附时，按废气处理设施的</w:t>
                  </w:r>
                  <w:r>
                    <w:rPr>
                      <w:rFonts w:hint="default" w:ascii="Times New Roman" w:hAnsi="Times New Roman" w:cs="Times New Roman"/>
                      <w:color w:val="auto"/>
                      <w:kern w:val="0"/>
                      <w:sz w:val="21"/>
                      <w:szCs w:val="21"/>
                      <w:lang w:eastAsia="zh-CN" w:bidi="ar"/>
                    </w:rPr>
                    <w:t>VOC</w:t>
                  </w:r>
                  <w:r>
                    <w:rPr>
                      <w:rFonts w:hint="default" w:ascii="Times New Roman" w:hAnsi="Times New Roman" w:cs="Times New Roman"/>
                      <w:color w:val="auto"/>
                      <w:kern w:val="0"/>
                      <w:sz w:val="21"/>
                      <w:szCs w:val="21"/>
                      <w:vertAlign w:val="subscript"/>
                      <w:lang w:eastAsia="zh-CN" w:bidi="ar"/>
                    </w:rPr>
                    <w:t>S</w:t>
                  </w:r>
                  <w:r>
                    <w:rPr>
                      <w:rFonts w:hint="default" w:ascii="Times New Roman" w:hAnsi="Times New Roman" w:cs="Times New Roman"/>
                      <w:color w:val="auto"/>
                      <w:kern w:val="0"/>
                      <w:sz w:val="21"/>
                      <w:szCs w:val="21"/>
                      <w:lang w:bidi="ar"/>
                    </w:rPr>
                    <w:t>进口速率和80%以上净化效率计算每日的VOC去除量，进而按照15%的活性炭吸附容量核算活性炭更换周期，定期更换活性炭并保存购买、危废委托处理凭证备查。</w:t>
                  </w:r>
                </w:p>
              </w:tc>
              <w:tc>
                <w:tcPr>
                  <w:tcW w:w="3491" w:type="dxa"/>
                  <w:vAlign w:val="center"/>
                </w:tcPr>
                <w:p w14:paraId="3C70DE3A">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bidi="ar"/>
                    </w:rPr>
                    <w:t>项目采用</w:t>
                  </w:r>
                  <w:r>
                    <w:rPr>
                      <w:rFonts w:hint="eastAsia" w:ascii="Times New Roman" w:hAnsi="Times New Roman" w:cs="Times New Roman"/>
                      <w:color w:val="auto"/>
                      <w:kern w:val="0"/>
                      <w:sz w:val="21"/>
                      <w:szCs w:val="21"/>
                      <w:lang w:val="en-US" w:eastAsia="zh-CN" w:bidi="ar"/>
                    </w:rPr>
                    <w:t>活性炭吸附处理有机废气，采用</w:t>
                  </w:r>
                  <w:r>
                    <w:rPr>
                      <w:rFonts w:hint="default" w:ascii="Times New Roman" w:hAnsi="Times New Roman" w:cs="Times New Roman"/>
                      <w:color w:val="auto"/>
                      <w:kern w:val="0"/>
                      <w:sz w:val="21"/>
                      <w:szCs w:val="21"/>
                      <w:lang w:bidi="ar"/>
                    </w:rPr>
                    <w:t>颗粒状活性炭的风速不大于0.5米/秒</w:t>
                  </w:r>
                  <w:r>
                    <w:rPr>
                      <w:rFonts w:hint="eastAsia" w:ascii="Times New Roman" w:hAnsi="Times New Roman" w:cs="Times New Roman"/>
                      <w:color w:val="auto"/>
                      <w:kern w:val="0"/>
                      <w:sz w:val="21"/>
                      <w:szCs w:val="21"/>
                      <w:lang w:eastAsia="zh-CN" w:bidi="ar"/>
                    </w:rPr>
                    <w:t>，</w:t>
                  </w:r>
                  <w:r>
                    <w:rPr>
                      <w:rFonts w:hint="eastAsia" w:ascii="Times New Roman" w:hAnsi="Times New Roman" w:cs="Times New Roman"/>
                      <w:color w:val="auto"/>
                      <w:kern w:val="0"/>
                      <w:sz w:val="21"/>
                      <w:szCs w:val="21"/>
                      <w:lang w:val="en-US" w:eastAsia="zh-CN" w:bidi="ar"/>
                    </w:rPr>
                    <w:t>吸附脱附同时进行，定期更换</w:t>
                  </w:r>
                  <w:r>
                    <w:rPr>
                      <w:rFonts w:hint="default" w:ascii="Times New Roman" w:hAnsi="Times New Roman" w:cs="Times New Roman"/>
                      <w:color w:val="auto"/>
                      <w:kern w:val="0"/>
                      <w:sz w:val="21"/>
                      <w:szCs w:val="21"/>
                      <w:lang w:bidi="ar"/>
                    </w:rPr>
                    <w:t>活性炭并保存购买、危废委托处理凭证备查。</w:t>
                  </w:r>
                </w:p>
              </w:tc>
              <w:tc>
                <w:tcPr>
                  <w:tcW w:w="729" w:type="dxa"/>
                  <w:vAlign w:val="center"/>
                </w:tcPr>
                <w:p w14:paraId="0A90A4F1">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65F2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6B992EEC">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647A79A4">
                  <w:pPr>
                    <w:spacing w:line="240" w:lineRule="auto"/>
                    <w:rPr>
                      <w:rFonts w:hint="default" w:ascii="Times New Roman" w:hAnsi="Times New Roman" w:eastAsia="等线" w:cs="Times New Roman"/>
                      <w:color w:val="auto"/>
                      <w:sz w:val="21"/>
                      <w:szCs w:val="21"/>
                    </w:rPr>
                  </w:pPr>
                </w:p>
              </w:tc>
              <w:tc>
                <w:tcPr>
                  <w:tcW w:w="600" w:type="dxa"/>
                  <w:vAlign w:val="center"/>
                </w:tcPr>
                <w:p w14:paraId="33CF83B1">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23</w:t>
                  </w:r>
                </w:p>
              </w:tc>
              <w:tc>
                <w:tcPr>
                  <w:tcW w:w="2881" w:type="dxa"/>
                  <w:vAlign w:val="center"/>
                </w:tcPr>
                <w:p w14:paraId="578A66B9">
                  <w:pPr>
                    <w:widowControl/>
                    <w:spacing w:line="24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塑料加工企业应执行《合成树脂工业污染物排放标准》（GB31572-2015）和《恶臭污染物排放标准》（GB14554-93）中15米排气筒有组织排放要求和厂界要求。有组织排放对臭气浓度应不高于1000（无量纲）。</w:t>
                  </w:r>
                </w:p>
              </w:tc>
              <w:tc>
                <w:tcPr>
                  <w:tcW w:w="3491" w:type="dxa"/>
                  <w:vAlign w:val="center"/>
                </w:tcPr>
                <w:p w14:paraId="5A143644">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项目废气排放符合相关标准要求，详见环评文本相关章节</w:t>
                  </w:r>
                </w:p>
              </w:tc>
              <w:tc>
                <w:tcPr>
                  <w:tcW w:w="729" w:type="dxa"/>
                  <w:vAlign w:val="center"/>
                </w:tcPr>
                <w:p w14:paraId="07DF44AA">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6FBC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3382B63B">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2A4CA2D4">
                  <w:pPr>
                    <w:spacing w:line="240" w:lineRule="auto"/>
                    <w:rPr>
                      <w:rFonts w:hint="default" w:ascii="Times New Roman" w:hAnsi="Times New Roman" w:eastAsia="等线" w:cs="Times New Roman"/>
                      <w:color w:val="auto"/>
                      <w:sz w:val="21"/>
                      <w:szCs w:val="21"/>
                    </w:rPr>
                  </w:pPr>
                </w:p>
              </w:tc>
              <w:tc>
                <w:tcPr>
                  <w:tcW w:w="600" w:type="dxa"/>
                  <w:vAlign w:val="center"/>
                </w:tcPr>
                <w:p w14:paraId="3C73ED23">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24</w:t>
                  </w:r>
                </w:p>
              </w:tc>
              <w:tc>
                <w:tcPr>
                  <w:tcW w:w="2881" w:type="dxa"/>
                  <w:vAlign w:val="center"/>
                </w:tcPr>
                <w:p w14:paraId="7985719A">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废气处理设施配套安装独立电表</w:t>
                  </w:r>
                </w:p>
              </w:tc>
              <w:tc>
                <w:tcPr>
                  <w:tcW w:w="3491" w:type="dxa"/>
                  <w:vAlign w:val="center"/>
                </w:tcPr>
                <w:p w14:paraId="76C3B82D">
                  <w:pPr>
                    <w:widowControl/>
                    <w:spacing w:line="240" w:lineRule="auto"/>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bidi="ar"/>
                    </w:rPr>
                    <w:t>本项目</w:t>
                  </w:r>
                  <w:r>
                    <w:rPr>
                      <w:rFonts w:hint="default" w:ascii="Times New Roman" w:hAnsi="Times New Roman" w:cs="Times New Roman"/>
                      <w:color w:val="auto"/>
                      <w:kern w:val="0"/>
                      <w:sz w:val="21"/>
                      <w:szCs w:val="21"/>
                      <w:lang w:bidi="ar"/>
                    </w:rPr>
                    <w:t>投产前，将对安装废气处理设施配套单独电表</w:t>
                  </w:r>
                </w:p>
              </w:tc>
              <w:tc>
                <w:tcPr>
                  <w:tcW w:w="729" w:type="dxa"/>
                  <w:vAlign w:val="center"/>
                </w:tcPr>
                <w:p w14:paraId="55EC3E93">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1BA4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26FE273A">
                  <w:pPr>
                    <w:spacing w:line="240" w:lineRule="auto"/>
                    <w:rPr>
                      <w:rFonts w:hint="default" w:ascii="Times New Roman" w:hAnsi="Times New Roman" w:eastAsia="等线" w:cs="Times New Roman"/>
                      <w:color w:val="auto"/>
                      <w:sz w:val="21"/>
                      <w:szCs w:val="21"/>
                    </w:rPr>
                  </w:pPr>
                </w:p>
              </w:tc>
              <w:tc>
                <w:tcPr>
                  <w:tcW w:w="419" w:type="dxa"/>
                  <w:vMerge w:val="restart"/>
                  <w:vAlign w:val="center"/>
                </w:tcPr>
                <w:p w14:paraId="2440FE3B">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建立配套废气采样设施</w:t>
                  </w:r>
                </w:p>
              </w:tc>
              <w:tc>
                <w:tcPr>
                  <w:tcW w:w="600" w:type="dxa"/>
                  <w:vAlign w:val="center"/>
                </w:tcPr>
                <w:p w14:paraId="71554B8B">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25</w:t>
                  </w:r>
                </w:p>
              </w:tc>
              <w:tc>
                <w:tcPr>
                  <w:tcW w:w="2881" w:type="dxa"/>
                  <w:vAlign w:val="center"/>
                </w:tcPr>
                <w:p w14:paraId="62AC660D">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严格按照《固定源废气监测技术规范》（HJT397-2007）建设废气处理设施的进出口采样孔、采样平台。</w:t>
                  </w:r>
                </w:p>
              </w:tc>
              <w:tc>
                <w:tcPr>
                  <w:tcW w:w="3491" w:type="dxa"/>
                  <w:vAlign w:val="center"/>
                </w:tcPr>
                <w:p w14:paraId="24B39BBC">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企业投产后将严格按照相关规范，对废气处理设施进行设置进出口采样孔、采样平台</w:t>
                  </w:r>
                </w:p>
              </w:tc>
              <w:tc>
                <w:tcPr>
                  <w:tcW w:w="729" w:type="dxa"/>
                  <w:vAlign w:val="center"/>
                </w:tcPr>
                <w:p w14:paraId="1B73DABA">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4FD9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3F321C2E">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15CAC8F2">
                  <w:pPr>
                    <w:spacing w:line="240" w:lineRule="auto"/>
                    <w:rPr>
                      <w:rFonts w:hint="default" w:ascii="Times New Roman" w:hAnsi="Times New Roman" w:eastAsia="等线" w:cs="Times New Roman"/>
                      <w:color w:val="auto"/>
                      <w:sz w:val="21"/>
                      <w:szCs w:val="21"/>
                    </w:rPr>
                  </w:pPr>
                </w:p>
              </w:tc>
              <w:tc>
                <w:tcPr>
                  <w:tcW w:w="600" w:type="dxa"/>
                  <w:vAlign w:val="center"/>
                </w:tcPr>
                <w:p w14:paraId="733066FD">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26</w:t>
                  </w:r>
                </w:p>
              </w:tc>
              <w:tc>
                <w:tcPr>
                  <w:tcW w:w="2881" w:type="dxa"/>
                  <w:vAlign w:val="center"/>
                </w:tcPr>
                <w:p w14:paraId="7598A9EB">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采样孔对位置优先选择在垂直管段，原则上设置在距离头、阀门、变径管下游方向不小于6倍直径，和距上述部件上游不小于3倍直径处。现场空间位置有限时，采样孔与上述部件对距离至少应控制直径在1.5倍处，当对</w:t>
                  </w:r>
                  <w:r>
                    <w:rPr>
                      <w:rFonts w:hint="default" w:ascii="Times New Roman" w:hAnsi="Times New Roman" w:cs="Times New Roman"/>
                      <w:color w:val="auto"/>
                      <w:kern w:val="0"/>
                      <w:sz w:val="21"/>
                      <w:szCs w:val="21"/>
                      <w:lang w:eastAsia="zh-CN" w:bidi="ar"/>
                    </w:rPr>
                    <w:t>VOC</w:t>
                  </w:r>
                  <w:r>
                    <w:rPr>
                      <w:rFonts w:hint="default" w:ascii="Times New Roman" w:hAnsi="Times New Roman" w:cs="Times New Roman"/>
                      <w:color w:val="auto"/>
                      <w:kern w:val="0"/>
                      <w:sz w:val="21"/>
                      <w:szCs w:val="21"/>
                      <w:vertAlign w:val="subscript"/>
                      <w:lang w:eastAsia="zh-CN" w:bidi="ar"/>
                    </w:rPr>
                    <w:t>S</w:t>
                  </w:r>
                  <w:r>
                    <w:rPr>
                      <w:rFonts w:hint="default" w:ascii="Times New Roman" w:hAnsi="Times New Roman" w:cs="Times New Roman"/>
                      <w:color w:val="auto"/>
                      <w:kern w:val="0"/>
                      <w:sz w:val="21"/>
                      <w:szCs w:val="21"/>
                      <w:lang w:bidi="ar"/>
                    </w:rPr>
                    <w:t>进行采样时，采样孔位置可不受限制，但应避开涡流区；如同时测定排气流量，则采样孔位置仍按上述规定设置。</w:t>
                  </w:r>
                </w:p>
              </w:tc>
              <w:tc>
                <w:tcPr>
                  <w:tcW w:w="3491" w:type="dxa"/>
                  <w:vAlign w:val="center"/>
                </w:tcPr>
                <w:p w14:paraId="46095068">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要求企业投产后严格按照要求布置采样孔</w:t>
                  </w:r>
                </w:p>
              </w:tc>
              <w:tc>
                <w:tcPr>
                  <w:tcW w:w="729" w:type="dxa"/>
                  <w:vAlign w:val="center"/>
                </w:tcPr>
                <w:p w14:paraId="25FB9016">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3154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7B460A31">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5A190439">
                  <w:pPr>
                    <w:spacing w:line="240" w:lineRule="auto"/>
                    <w:rPr>
                      <w:rFonts w:hint="default" w:ascii="Times New Roman" w:hAnsi="Times New Roman" w:eastAsia="等线" w:cs="Times New Roman"/>
                      <w:color w:val="auto"/>
                      <w:sz w:val="21"/>
                      <w:szCs w:val="21"/>
                    </w:rPr>
                  </w:pPr>
                </w:p>
              </w:tc>
              <w:tc>
                <w:tcPr>
                  <w:tcW w:w="600" w:type="dxa"/>
                  <w:vAlign w:val="center"/>
                </w:tcPr>
                <w:p w14:paraId="080D71A5">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27</w:t>
                  </w:r>
                </w:p>
              </w:tc>
              <w:tc>
                <w:tcPr>
                  <w:tcW w:w="2881" w:type="dxa"/>
                  <w:vAlign w:val="center"/>
                </w:tcPr>
                <w:p w14:paraId="20C0AB31">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应设置永久性采样平台，平台面积不小于1.5平方米，并设有1.1米高对护栏和不低于0.1米对脚部挡板，采样平台对承重不小于200公斤/平方米，采样孔距平台面约为1.2~1.3米，采样平台处应建设永久性220伏电源插座。</w:t>
                  </w:r>
                </w:p>
              </w:tc>
              <w:tc>
                <w:tcPr>
                  <w:tcW w:w="3491" w:type="dxa"/>
                  <w:vAlign w:val="center"/>
                </w:tcPr>
                <w:p w14:paraId="58B1AED2">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要求企业按照标准设置采样平台</w:t>
                  </w:r>
                </w:p>
              </w:tc>
              <w:tc>
                <w:tcPr>
                  <w:tcW w:w="729" w:type="dxa"/>
                  <w:vAlign w:val="center"/>
                </w:tcPr>
                <w:p w14:paraId="3E48331F">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170B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restart"/>
                  <w:vAlign w:val="center"/>
                </w:tcPr>
                <w:p w14:paraId="2E9DB380">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加强日常管理</w:t>
                  </w:r>
                </w:p>
              </w:tc>
              <w:tc>
                <w:tcPr>
                  <w:tcW w:w="419" w:type="dxa"/>
                  <w:vMerge w:val="restart"/>
                  <w:vAlign w:val="center"/>
                </w:tcPr>
                <w:p w14:paraId="5B291E13">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制定落实环境管理制度</w:t>
                  </w:r>
                </w:p>
              </w:tc>
              <w:tc>
                <w:tcPr>
                  <w:tcW w:w="600" w:type="dxa"/>
                  <w:vAlign w:val="center"/>
                </w:tcPr>
                <w:p w14:paraId="4D3B0E3B">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28</w:t>
                  </w:r>
                </w:p>
              </w:tc>
              <w:tc>
                <w:tcPr>
                  <w:tcW w:w="2881" w:type="dxa"/>
                  <w:vAlign w:val="center"/>
                </w:tcPr>
                <w:p w14:paraId="2045B191">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企业应落实专人负责废气收集、处理设施对运行管理和维护保养，遇有非正常情况应及时向当地环保部门进行报告并备案。</w:t>
                  </w:r>
                </w:p>
              </w:tc>
              <w:tc>
                <w:tcPr>
                  <w:tcW w:w="3491" w:type="dxa"/>
                  <w:vAlign w:val="center"/>
                </w:tcPr>
                <w:p w14:paraId="701CCCEA">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企业投产后，将安排专人对废气收集、处理设施进行管理</w:t>
                  </w:r>
                </w:p>
              </w:tc>
              <w:tc>
                <w:tcPr>
                  <w:tcW w:w="729" w:type="dxa"/>
                  <w:vAlign w:val="center"/>
                </w:tcPr>
                <w:p w14:paraId="1B83B64D">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57F2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09000E63">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174FC41D">
                  <w:pPr>
                    <w:spacing w:line="240" w:lineRule="auto"/>
                    <w:rPr>
                      <w:rFonts w:hint="default" w:ascii="Times New Roman" w:hAnsi="Times New Roman" w:eastAsia="等线" w:cs="Times New Roman"/>
                      <w:color w:val="auto"/>
                      <w:sz w:val="21"/>
                      <w:szCs w:val="21"/>
                    </w:rPr>
                  </w:pPr>
                </w:p>
              </w:tc>
              <w:tc>
                <w:tcPr>
                  <w:tcW w:w="600" w:type="dxa"/>
                  <w:vAlign w:val="center"/>
                </w:tcPr>
                <w:p w14:paraId="2FAF46DA">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29</w:t>
                  </w:r>
                </w:p>
              </w:tc>
              <w:tc>
                <w:tcPr>
                  <w:tcW w:w="2881" w:type="dxa"/>
                  <w:vAlign w:val="center"/>
                </w:tcPr>
                <w:p w14:paraId="2B5CAD4B">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制定落实设施运行管理制度。定期更换水喷淋塔对循环液，原则上更换周期不低于1次/周；定期清理高压静电、低温等离子体和光催化等处理设施，原则上清理频率不低于1次/月；定期更换紫外灯管、催化剂等耗材，按核算时间定期更换活性炭。更换下来等废弃物按照相关规定委托有资质等单位进行处理。</w:t>
                  </w:r>
                </w:p>
              </w:tc>
              <w:tc>
                <w:tcPr>
                  <w:tcW w:w="3491" w:type="dxa"/>
                  <w:vAlign w:val="center"/>
                </w:tcPr>
                <w:p w14:paraId="14661989">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项目投产后将制定相关运行管理制度</w:t>
                  </w:r>
                </w:p>
              </w:tc>
              <w:tc>
                <w:tcPr>
                  <w:tcW w:w="729" w:type="dxa"/>
                  <w:vAlign w:val="center"/>
                </w:tcPr>
                <w:p w14:paraId="6386C124">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2814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2D678B2B">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57ADCF47">
                  <w:pPr>
                    <w:spacing w:line="240" w:lineRule="auto"/>
                    <w:rPr>
                      <w:rFonts w:hint="default" w:ascii="Times New Roman" w:hAnsi="Times New Roman" w:eastAsia="等线" w:cs="Times New Roman"/>
                      <w:color w:val="auto"/>
                      <w:sz w:val="21"/>
                      <w:szCs w:val="21"/>
                    </w:rPr>
                  </w:pPr>
                </w:p>
              </w:tc>
              <w:tc>
                <w:tcPr>
                  <w:tcW w:w="600" w:type="dxa"/>
                  <w:vAlign w:val="center"/>
                </w:tcPr>
                <w:p w14:paraId="2280EAFD">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30</w:t>
                  </w:r>
                </w:p>
              </w:tc>
              <w:tc>
                <w:tcPr>
                  <w:tcW w:w="2881" w:type="dxa"/>
                  <w:vAlign w:val="center"/>
                </w:tcPr>
                <w:p w14:paraId="6348813C">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制定落实设施维护保养制度。包括但不限于以下内容：定期检查修补破损对风管、设备、确保螺栓、接线牢固，动力电源、信号反馈工作正常；定期清理水喷淋塔底部沉积物；定期更换风机、水泵等动力设备等润滑油，易老化等塑料管道等。</w:t>
                  </w:r>
                </w:p>
              </w:tc>
              <w:tc>
                <w:tcPr>
                  <w:tcW w:w="3491" w:type="dxa"/>
                  <w:vAlign w:val="center"/>
                </w:tcPr>
                <w:p w14:paraId="4960E110">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项目投产后将制定落实相关设施维护保养制度</w:t>
                  </w:r>
                </w:p>
              </w:tc>
              <w:tc>
                <w:tcPr>
                  <w:tcW w:w="729" w:type="dxa"/>
                  <w:vAlign w:val="center"/>
                </w:tcPr>
                <w:p w14:paraId="3F234146">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4945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08BAE0C9">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2E237252">
                  <w:pPr>
                    <w:spacing w:line="240" w:lineRule="auto"/>
                    <w:rPr>
                      <w:rFonts w:hint="default" w:ascii="Times New Roman" w:hAnsi="Times New Roman" w:eastAsia="等线" w:cs="Times New Roman"/>
                      <w:color w:val="auto"/>
                      <w:sz w:val="21"/>
                      <w:szCs w:val="21"/>
                    </w:rPr>
                  </w:pPr>
                </w:p>
              </w:tc>
              <w:tc>
                <w:tcPr>
                  <w:tcW w:w="600" w:type="dxa"/>
                  <w:vAlign w:val="center"/>
                </w:tcPr>
                <w:p w14:paraId="03E7B1CF">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31</w:t>
                  </w:r>
                </w:p>
              </w:tc>
              <w:tc>
                <w:tcPr>
                  <w:tcW w:w="2881" w:type="dxa"/>
                  <w:vAlign w:val="center"/>
                </w:tcPr>
                <w:p w14:paraId="6C6B9BE6">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涉及含</w:t>
                  </w:r>
                  <w:r>
                    <w:rPr>
                      <w:rFonts w:hint="default" w:ascii="Times New Roman" w:hAnsi="Times New Roman" w:cs="Times New Roman"/>
                      <w:color w:val="auto"/>
                      <w:kern w:val="0"/>
                      <w:sz w:val="21"/>
                      <w:szCs w:val="21"/>
                      <w:lang w:eastAsia="zh-CN" w:bidi="ar"/>
                    </w:rPr>
                    <w:t>VOC</w:t>
                  </w:r>
                  <w:r>
                    <w:rPr>
                      <w:rFonts w:hint="default" w:ascii="Times New Roman" w:hAnsi="Times New Roman" w:cs="Times New Roman"/>
                      <w:color w:val="auto"/>
                      <w:kern w:val="0"/>
                      <w:sz w:val="21"/>
                      <w:szCs w:val="21"/>
                      <w:vertAlign w:val="subscript"/>
                      <w:lang w:eastAsia="zh-CN" w:bidi="ar"/>
                    </w:rPr>
                    <w:t>S</w:t>
                  </w:r>
                  <w:r>
                    <w:rPr>
                      <w:rFonts w:hint="default" w:ascii="Times New Roman" w:hAnsi="Times New Roman" w:cs="Times New Roman"/>
                      <w:color w:val="auto"/>
                      <w:kern w:val="0"/>
                      <w:sz w:val="21"/>
                      <w:szCs w:val="21"/>
                      <w:lang w:bidi="ar"/>
                    </w:rPr>
                    <w:t>原辅材料使用、设施运行管理、设施维护管理台账，相关人员按实进行填写备查。</w:t>
                  </w:r>
                </w:p>
              </w:tc>
              <w:tc>
                <w:tcPr>
                  <w:tcW w:w="3491" w:type="dxa"/>
                  <w:vAlign w:val="center"/>
                </w:tcPr>
                <w:p w14:paraId="7A6D8A53">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项目投产后，将安排专人对原辅料用量进行台账管理。</w:t>
                  </w:r>
                  <w:r>
                    <w:rPr>
                      <w:rFonts w:hint="default" w:ascii="Times New Roman" w:hAnsi="Times New Roman" w:cs="Times New Roman"/>
                      <w:color w:val="auto"/>
                      <w:kern w:val="0"/>
                      <w:sz w:val="21"/>
                      <w:szCs w:val="21"/>
                    </w:rPr>
                    <w:t>台账至少保存5年</w:t>
                  </w:r>
                </w:p>
              </w:tc>
              <w:tc>
                <w:tcPr>
                  <w:tcW w:w="729" w:type="dxa"/>
                  <w:vAlign w:val="center"/>
                </w:tcPr>
                <w:p w14:paraId="6A150612">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6E74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56DD0F17">
                  <w:pPr>
                    <w:spacing w:line="240" w:lineRule="auto"/>
                    <w:rPr>
                      <w:rFonts w:hint="default" w:ascii="Times New Roman" w:hAnsi="Times New Roman" w:eastAsia="等线" w:cs="Times New Roman"/>
                      <w:color w:val="auto"/>
                      <w:sz w:val="21"/>
                      <w:szCs w:val="21"/>
                    </w:rPr>
                  </w:pPr>
                </w:p>
              </w:tc>
              <w:tc>
                <w:tcPr>
                  <w:tcW w:w="419" w:type="dxa"/>
                  <w:vMerge w:val="restart"/>
                  <w:vAlign w:val="center"/>
                </w:tcPr>
                <w:p w14:paraId="2450AB17">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制定落实环境监测制度</w:t>
                  </w:r>
                </w:p>
              </w:tc>
              <w:tc>
                <w:tcPr>
                  <w:tcW w:w="600" w:type="dxa"/>
                  <w:vAlign w:val="center"/>
                </w:tcPr>
                <w:p w14:paraId="11691C02">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32</w:t>
                  </w:r>
                </w:p>
              </w:tc>
              <w:tc>
                <w:tcPr>
                  <w:tcW w:w="2881" w:type="dxa"/>
                  <w:vAlign w:val="center"/>
                </w:tcPr>
                <w:p w14:paraId="6805A393">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定期委托有资质对第三方进行监测，已申领新版本排污许可证对按照许可证要求执行，未申领对每年监测不少于1次。</w:t>
                  </w:r>
                </w:p>
              </w:tc>
              <w:tc>
                <w:tcPr>
                  <w:tcW w:w="3491" w:type="dxa"/>
                  <w:vAlign w:val="center"/>
                </w:tcPr>
                <w:p w14:paraId="43D1E12D">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项目投产后，将定期委托有资质单位进行监测</w:t>
                  </w:r>
                </w:p>
              </w:tc>
              <w:tc>
                <w:tcPr>
                  <w:tcW w:w="729" w:type="dxa"/>
                  <w:vAlign w:val="center"/>
                </w:tcPr>
                <w:p w14:paraId="7331CC83">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30A8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20E5B155">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0927D5BE">
                  <w:pPr>
                    <w:spacing w:line="240" w:lineRule="auto"/>
                    <w:rPr>
                      <w:rFonts w:hint="default" w:ascii="Times New Roman" w:hAnsi="Times New Roman" w:eastAsia="等线" w:cs="Times New Roman"/>
                      <w:color w:val="auto"/>
                      <w:sz w:val="21"/>
                      <w:szCs w:val="21"/>
                    </w:rPr>
                  </w:pPr>
                </w:p>
              </w:tc>
              <w:tc>
                <w:tcPr>
                  <w:tcW w:w="600" w:type="dxa"/>
                  <w:vAlign w:val="center"/>
                </w:tcPr>
                <w:p w14:paraId="2BCC5C64">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33</w:t>
                  </w:r>
                </w:p>
              </w:tc>
              <w:tc>
                <w:tcPr>
                  <w:tcW w:w="2881" w:type="dxa"/>
                  <w:vAlign w:val="center"/>
                </w:tcPr>
                <w:p w14:paraId="56A2E471">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监测要求有：对每套废气处理设施对进出口和厂界进行监测；每个采样点监测2个周期，每个周期3个样品；废塑料加工企业建议监测颗粒物、油烟、非甲烷总烃和臭气浓度，模压复合材料检测井盖生产企业简易监测颗粒物、苯乙烯、非甲烷总烃和臭气浓度。</w:t>
                  </w:r>
                </w:p>
              </w:tc>
              <w:tc>
                <w:tcPr>
                  <w:tcW w:w="3491" w:type="dxa"/>
                  <w:vAlign w:val="center"/>
                </w:tcPr>
                <w:p w14:paraId="34A1D6C0">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项目投产后，将定期委托有资质单位进行监测，监测严格根据监测规范要求进行</w:t>
                  </w:r>
                </w:p>
              </w:tc>
              <w:tc>
                <w:tcPr>
                  <w:tcW w:w="729" w:type="dxa"/>
                  <w:vAlign w:val="center"/>
                </w:tcPr>
                <w:p w14:paraId="69E0F7C5">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6C50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7D3231B0">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1B5E1E78">
                  <w:pPr>
                    <w:spacing w:line="240" w:lineRule="auto"/>
                    <w:rPr>
                      <w:rFonts w:hint="default" w:ascii="Times New Roman" w:hAnsi="Times New Roman" w:eastAsia="等线" w:cs="Times New Roman"/>
                      <w:color w:val="auto"/>
                      <w:sz w:val="21"/>
                      <w:szCs w:val="21"/>
                    </w:rPr>
                  </w:pPr>
                </w:p>
              </w:tc>
              <w:tc>
                <w:tcPr>
                  <w:tcW w:w="600" w:type="dxa"/>
                  <w:vAlign w:val="center"/>
                </w:tcPr>
                <w:p w14:paraId="7EC68DB3">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34</w:t>
                  </w:r>
                </w:p>
              </w:tc>
              <w:tc>
                <w:tcPr>
                  <w:tcW w:w="2881" w:type="dxa"/>
                  <w:vAlign w:val="center"/>
                </w:tcPr>
                <w:p w14:paraId="65944AC5">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强化夏秋季错峰生产管控措施。实施错峰停产对时间为每年5~10月，易形成臭氧为首要污染物的高温时段（10:00~16:00）。未完成深化治理要求对企业，一律纳入夏秋季错峰生产名单。</w:t>
                  </w:r>
                </w:p>
              </w:tc>
              <w:tc>
                <w:tcPr>
                  <w:tcW w:w="3491" w:type="dxa"/>
                  <w:vAlign w:val="center"/>
                </w:tcPr>
                <w:p w14:paraId="12AB0219">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项目目前暂未投产，投产后将执行相关要求</w:t>
                  </w:r>
                </w:p>
              </w:tc>
              <w:tc>
                <w:tcPr>
                  <w:tcW w:w="729" w:type="dxa"/>
                  <w:vAlign w:val="center"/>
                </w:tcPr>
                <w:p w14:paraId="3262408A">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r w14:paraId="6D57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 w:type="dxa"/>
                  <w:vMerge w:val="continue"/>
                  <w:vAlign w:val="center"/>
                </w:tcPr>
                <w:p w14:paraId="111E766F">
                  <w:pPr>
                    <w:spacing w:line="240" w:lineRule="auto"/>
                    <w:rPr>
                      <w:rFonts w:hint="default" w:ascii="Times New Roman" w:hAnsi="Times New Roman" w:eastAsia="等线" w:cs="Times New Roman"/>
                      <w:color w:val="auto"/>
                      <w:sz w:val="21"/>
                      <w:szCs w:val="21"/>
                    </w:rPr>
                  </w:pPr>
                </w:p>
              </w:tc>
              <w:tc>
                <w:tcPr>
                  <w:tcW w:w="419" w:type="dxa"/>
                  <w:vMerge w:val="continue"/>
                  <w:vAlign w:val="center"/>
                </w:tcPr>
                <w:p w14:paraId="4089627B">
                  <w:pPr>
                    <w:spacing w:line="240" w:lineRule="auto"/>
                    <w:rPr>
                      <w:rFonts w:hint="default" w:ascii="Times New Roman" w:hAnsi="Times New Roman" w:eastAsia="等线" w:cs="Times New Roman"/>
                      <w:color w:val="auto"/>
                      <w:sz w:val="21"/>
                      <w:szCs w:val="21"/>
                    </w:rPr>
                  </w:pPr>
                </w:p>
              </w:tc>
              <w:tc>
                <w:tcPr>
                  <w:tcW w:w="600" w:type="dxa"/>
                  <w:vAlign w:val="center"/>
                </w:tcPr>
                <w:p w14:paraId="65C10E14">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35</w:t>
                  </w:r>
                </w:p>
              </w:tc>
              <w:tc>
                <w:tcPr>
                  <w:tcW w:w="2881" w:type="dxa"/>
                  <w:vAlign w:val="center"/>
                </w:tcPr>
                <w:p w14:paraId="50085AA4">
                  <w:pPr>
                    <w:widowControl/>
                    <w:spacing w:line="240" w:lineRule="auto"/>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企业应委托有资质对废气治理单位承担废气治理服务工作，编制的废气治理方案应通过环境管理部门组织的专家组审核认可，废气治理工程应通过环境管理部门验收后方可认为完成整治。</w:t>
                  </w:r>
                </w:p>
              </w:tc>
              <w:tc>
                <w:tcPr>
                  <w:tcW w:w="3491" w:type="dxa"/>
                  <w:vAlign w:val="center"/>
                </w:tcPr>
                <w:p w14:paraId="5569D185">
                  <w:pPr>
                    <w:widowControl/>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bidi="ar"/>
                    </w:rPr>
                    <w:t>企业目前委托有资质单位对废气进行设计，但企业目前暂未投产，无法进行整治</w:t>
                  </w:r>
                </w:p>
              </w:tc>
              <w:tc>
                <w:tcPr>
                  <w:tcW w:w="729" w:type="dxa"/>
                  <w:vAlign w:val="center"/>
                </w:tcPr>
                <w:p w14:paraId="34180157">
                  <w:pPr>
                    <w:widowControl/>
                    <w:spacing w:line="240" w:lineRule="auto"/>
                    <w:jc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符合</w:t>
                  </w:r>
                </w:p>
              </w:tc>
            </w:tr>
          </w:tbl>
          <w:p w14:paraId="798C5497">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rPr>
                <w:rFonts w:hint="eastAsia" w:ascii="Times New Roman" w:hAnsi="Times New Roman" w:cs="Times New Roman"/>
                <w:b/>
                <w:color w:val="auto"/>
                <w:sz w:val="24"/>
                <w:highlight w:val="none"/>
                <w:lang w:val="en-US" w:eastAsia="zh-CN"/>
              </w:rPr>
            </w:pPr>
            <w:r>
              <w:rPr>
                <w:rStyle w:val="27"/>
                <w:rFonts w:hint="default" w:ascii="Times New Roman" w:hAnsi="Times New Roman" w:cs="Times New Roman"/>
                <w:b w:val="0"/>
                <w:color w:val="auto"/>
                <w:sz w:val="24"/>
                <w:szCs w:val="24"/>
              </w:rPr>
              <w:t>综上所述，本项目建设符合</w:t>
            </w:r>
            <w:r>
              <w:rPr>
                <w:rFonts w:hint="default" w:ascii="Times New Roman" w:hAnsi="Times New Roman"/>
                <w:bCs/>
                <w:color w:val="auto"/>
                <w:sz w:val="24"/>
                <w:szCs w:val="24"/>
              </w:rPr>
              <w:t>《关于印发&lt;湖州市木业、漆包线及塑料行业废气整治规范&gt;的通知》（湖环发[2018]31号）要求</w:t>
            </w:r>
          </w:p>
          <w:p w14:paraId="752995D2">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center"/>
              <w:rPr>
                <w:rFonts w:hint="default" w:ascii="Times New Roman" w:hAnsi="Times New Roman" w:eastAsia="宋体" w:cs="Times New Roman"/>
                <w:b/>
                <w:bCs/>
                <w:color w:val="auto"/>
                <w:sz w:val="24"/>
                <w:highlight w:val="none"/>
              </w:rPr>
            </w:pPr>
            <w:r>
              <w:rPr>
                <w:rFonts w:hint="eastAsia" w:ascii="Times New Roman" w:hAnsi="Times New Roman" w:cs="Times New Roman"/>
                <w:b/>
                <w:color w:val="auto"/>
                <w:sz w:val="24"/>
                <w:highlight w:val="none"/>
                <w:lang w:val="en-US" w:eastAsia="zh-CN"/>
              </w:rPr>
              <w:t>1.2.11</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四性五不</w:t>
            </w:r>
            <w:r>
              <w:rPr>
                <w:rFonts w:hint="eastAsia" w:ascii="宋体" w:hAnsi="宋体" w:eastAsia="宋体" w:cs="宋体"/>
                <w:b/>
                <w:color w:val="auto"/>
                <w:sz w:val="24"/>
                <w:highlight w:val="none"/>
                <w:lang w:eastAsia="zh-CN"/>
              </w:rPr>
              <w:t>批</w:t>
            </w:r>
            <w:r>
              <w:rPr>
                <w:rFonts w:hint="eastAsia" w:ascii="宋体" w:hAnsi="宋体" w:eastAsia="宋体" w:cs="宋体"/>
                <w:b/>
                <w:color w:val="auto"/>
                <w:sz w:val="24"/>
                <w:highlight w:val="none"/>
              </w:rPr>
              <w:t>”符</w:t>
            </w:r>
            <w:r>
              <w:rPr>
                <w:rFonts w:hint="default" w:ascii="Times New Roman" w:hAnsi="Times New Roman" w:eastAsia="宋体" w:cs="Times New Roman"/>
                <w:b/>
                <w:color w:val="auto"/>
                <w:sz w:val="24"/>
                <w:highlight w:val="none"/>
              </w:rPr>
              <w:t>合性分析</w:t>
            </w:r>
          </w:p>
          <w:p w14:paraId="266CDC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val="0"/>
                <w:bCs/>
                <w:color w:val="auto"/>
                <w:kern w:val="2"/>
                <w:sz w:val="24"/>
                <w:szCs w:val="24"/>
                <w:highlight w:val="none"/>
                <w:lang w:val="en-US" w:eastAsia="zh-CN" w:bidi="ar-SA"/>
              </w:rPr>
              <w:t>对照《建设项目环境保护管理条例》（2017年修正本）的重点</w:t>
            </w:r>
            <w:r>
              <w:rPr>
                <w:rFonts w:hint="default" w:ascii="Times New Roman" w:hAnsi="Times New Roman" w:eastAsia="宋体" w:cs="Times New Roman"/>
                <w:b w:val="0"/>
                <w:bCs/>
                <w:color w:val="auto"/>
                <w:kern w:val="2"/>
                <w:sz w:val="24"/>
                <w:szCs w:val="24"/>
                <w:highlight w:val="none"/>
                <w:lang w:val="en-US" w:eastAsia="zh-CN" w:bidi="ar-SA"/>
              </w:rPr>
              <w:t>要求进行符合性分析，具体见表</w:t>
            </w:r>
            <w:r>
              <w:rPr>
                <w:rFonts w:hint="eastAsia" w:ascii="Times New Roman" w:hAnsi="Times New Roman" w:eastAsia="宋体" w:cs="Times New Roman"/>
                <w:b w:val="0"/>
                <w:bCs/>
                <w:color w:val="auto"/>
                <w:kern w:val="2"/>
                <w:sz w:val="24"/>
                <w:szCs w:val="24"/>
                <w:highlight w:val="none"/>
                <w:lang w:val="en-US" w:eastAsia="zh-CN" w:bidi="ar-SA"/>
              </w:rPr>
              <w:t>1</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ascii="Times New Roman" w:hAnsi="Times New Roman" w:eastAsia="宋体" w:cs="Times New Roman"/>
                <w:b w:val="0"/>
                <w:bCs/>
                <w:color w:val="auto"/>
                <w:kern w:val="2"/>
                <w:sz w:val="24"/>
                <w:szCs w:val="24"/>
                <w:highlight w:val="none"/>
                <w:lang w:val="en-US" w:eastAsia="zh-CN" w:bidi="ar-SA"/>
              </w:rPr>
              <w:t>14</w:t>
            </w:r>
            <w:r>
              <w:rPr>
                <w:rFonts w:hint="default" w:ascii="Times New Roman" w:hAnsi="Times New Roman" w:eastAsia="宋体" w:cs="Times New Roman"/>
                <w:b w:val="0"/>
                <w:bCs/>
                <w:color w:val="auto"/>
                <w:kern w:val="2"/>
                <w:sz w:val="24"/>
                <w:szCs w:val="24"/>
                <w:highlight w:val="none"/>
                <w:lang w:val="en-US" w:eastAsia="zh-CN" w:bidi="ar-SA"/>
              </w:rPr>
              <w:t>。</w:t>
            </w:r>
          </w:p>
          <w:p w14:paraId="4B932D0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1</w:t>
            </w:r>
            <w:r>
              <w:rPr>
                <w:rFonts w:hint="default"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lang w:val="en-US" w:eastAsia="zh-CN"/>
              </w:rPr>
              <w:t>14</w:t>
            </w:r>
            <w:r>
              <w:rPr>
                <w:rFonts w:hint="default" w:ascii="Times New Roman" w:hAnsi="Times New Roman" w:eastAsia="宋体" w:cs="Times New Roman"/>
                <w:b/>
                <w:color w:val="auto"/>
                <w:sz w:val="21"/>
                <w:szCs w:val="21"/>
                <w:highlight w:val="none"/>
              </w:rPr>
              <w:t xml:space="preserve">  建设项目环境保护管理条例重点要求</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lang w:eastAsia="zh-CN"/>
              </w:rPr>
              <w:t>“四性五不批”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符</w:t>
            </w:r>
            <w:r>
              <w:rPr>
                <w:rFonts w:hint="default" w:ascii="Times New Roman" w:hAnsi="Times New Roman" w:eastAsia="宋体" w:cs="Times New Roman"/>
                <w:b/>
                <w:color w:val="auto"/>
                <w:sz w:val="21"/>
                <w:szCs w:val="21"/>
                <w:highlight w:val="none"/>
              </w:rPr>
              <w:t>合性分析</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23"/>
              <w:gridCol w:w="5104"/>
              <w:gridCol w:w="871"/>
            </w:tblGrid>
            <w:tr w14:paraId="71B4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29" w:type="dxa"/>
                  <w:gridSpan w:val="2"/>
                  <w:noWrap w:val="0"/>
                  <w:vAlign w:val="center"/>
                </w:tcPr>
                <w:p w14:paraId="5F85FDAE">
                  <w:pPr>
                    <w:spacing w:line="240" w:lineRule="auto"/>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内容</w:t>
                  </w:r>
                </w:p>
              </w:tc>
              <w:tc>
                <w:tcPr>
                  <w:tcW w:w="5104" w:type="dxa"/>
                  <w:noWrap w:val="0"/>
                  <w:vAlign w:val="center"/>
                </w:tcPr>
                <w:p w14:paraId="656BE5F9">
                  <w:pPr>
                    <w:spacing w:line="240" w:lineRule="auto"/>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本项目实际情况</w:t>
                  </w:r>
                </w:p>
              </w:tc>
              <w:tc>
                <w:tcPr>
                  <w:tcW w:w="871" w:type="dxa"/>
                  <w:noWrap w:val="0"/>
                  <w:vAlign w:val="center"/>
                </w:tcPr>
                <w:p w14:paraId="05019E57">
                  <w:pPr>
                    <w:spacing w:line="240" w:lineRule="auto"/>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是否</w:t>
                  </w:r>
                </w:p>
                <w:p w14:paraId="57A8502F">
                  <w:pPr>
                    <w:spacing w:line="240" w:lineRule="auto"/>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符合</w:t>
                  </w:r>
                </w:p>
              </w:tc>
            </w:tr>
            <w:tr w14:paraId="2EEF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restart"/>
                  <w:noWrap w:val="0"/>
                  <w:vAlign w:val="center"/>
                </w:tcPr>
                <w:p w14:paraId="4C72221F">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四性</w:t>
                  </w:r>
                </w:p>
              </w:tc>
              <w:tc>
                <w:tcPr>
                  <w:tcW w:w="1923" w:type="dxa"/>
                  <w:noWrap w:val="0"/>
                  <w:vAlign w:val="center"/>
                </w:tcPr>
                <w:p w14:paraId="0CCEFFC0">
                  <w:pPr>
                    <w:spacing w:line="24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建设项目的环境可行性</w:t>
                  </w:r>
                </w:p>
              </w:tc>
              <w:tc>
                <w:tcPr>
                  <w:tcW w:w="5104" w:type="dxa"/>
                  <w:noWrap w:val="0"/>
                  <w:vAlign w:val="center"/>
                </w:tcPr>
                <w:p w14:paraId="26DF57C6">
                  <w:pPr>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本项目</w:t>
                  </w:r>
                  <w:r>
                    <w:rPr>
                      <w:rFonts w:hint="eastAsia" w:ascii="Times New Roman" w:hAnsi="Times New Roman"/>
                      <w:color w:val="auto"/>
                      <w:sz w:val="21"/>
                      <w:szCs w:val="21"/>
                      <w:highlight w:val="none"/>
                      <w:lang w:val="en-US" w:eastAsia="zh-CN"/>
                    </w:rPr>
                    <w:t>购买工业区工业用地并新建厂房组织生产，</w:t>
                  </w:r>
                  <w:r>
                    <w:rPr>
                      <w:rFonts w:ascii="Times New Roman" w:hAnsi="Times New Roman"/>
                      <w:color w:val="auto"/>
                      <w:sz w:val="21"/>
                      <w:szCs w:val="21"/>
                      <w:highlight w:val="none"/>
                    </w:rPr>
                    <w:t>选址可行，且根据前文所述，其符合</w:t>
                  </w:r>
                  <w:r>
                    <w:rPr>
                      <w:rFonts w:hint="default" w:ascii="Times New Roman" w:hAnsi="Times New Roman"/>
                      <w:color w:val="auto"/>
                      <w:sz w:val="21"/>
                      <w:szCs w:val="21"/>
                      <w:highlight w:val="none"/>
                      <w:lang w:val="en-US" w:eastAsia="zh-CN"/>
                    </w:rPr>
                    <w:t>《</w:t>
                  </w:r>
                  <w:r>
                    <w:rPr>
                      <w:rFonts w:hint="eastAsia" w:ascii="Times New Roman" w:hAnsi="Times New Roman"/>
                      <w:color w:val="auto"/>
                      <w:sz w:val="21"/>
                      <w:szCs w:val="21"/>
                      <w:highlight w:val="none"/>
                      <w:lang w:val="en-US" w:eastAsia="zh-CN"/>
                    </w:rPr>
                    <w:t>德清县生态环境分区管控动态更新方案</w:t>
                  </w:r>
                  <w:r>
                    <w:rPr>
                      <w:rFonts w:hint="default" w:ascii="Times New Roman" w:hAnsi="Times New Roman"/>
                      <w:color w:val="auto"/>
                      <w:sz w:val="21"/>
                      <w:szCs w:val="21"/>
                      <w:highlight w:val="none"/>
                      <w:lang w:val="en-US" w:eastAsia="zh-CN"/>
                    </w:rPr>
                    <w:t>》</w:t>
                  </w:r>
                  <w:r>
                    <w:rPr>
                      <w:rFonts w:hint="default" w:ascii="Times New Roman" w:hAnsi="Times New Roman"/>
                      <w:color w:val="auto"/>
                      <w:sz w:val="21"/>
                      <w:szCs w:val="21"/>
                      <w:highlight w:val="none"/>
                    </w:rPr>
                    <w:t>（德环〔202</w:t>
                  </w:r>
                  <w:r>
                    <w:rPr>
                      <w:rFonts w:hint="eastAsia" w:ascii="Times New Roman" w:hAnsi="Times New Roman"/>
                      <w:color w:val="auto"/>
                      <w:sz w:val="21"/>
                      <w:szCs w:val="21"/>
                      <w:highlight w:val="none"/>
                      <w:lang w:val="en-US" w:eastAsia="zh-CN"/>
                    </w:rPr>
                    <w:t>4</w:t>
                  </w:r>
                  <w:r>
                    <w:rPr>
                      <w:rFonts w:hint="default"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4</w:t>
                  </w:r>
                  <w:r>
                    <w:rPr>
                      <w:rFonts w:hint="default" w:ascii="Times New Roman" w:hAnsi="Times New Roman"/>
                      <w:color w:val="auto"/>
                      <w:sz w:val="21"/>
                      <w:szCs w:val="21"/>
                      <w:highlight w:val="none"/>
                    </w:rPr>
                    <w:t>号）</w:t>
                  </w:r>
                  <w:r>
                    <w:rPr>
                      <w:rFonts w:ascii="Times New Roman" w:hAnsi="Times New Roman"/>
                      <w:color w:val="auto"/>
                      <w:sz w:val="21"/>
                      <w:szCs w:val="21"/>
                      <w:highlight w:val="none"/>
                    </w:rPr>
                    <w:t>中的管控要求，因此项目的建设满足环境可行性的要求。</w:t>
                  </w:r>
                </w:p>
              </w:tc>
              <w:tc>
                <w:tcPr>
                  <w:tcW w:w="871" w:type="dxa"/>
                  <w:noWrap w:val="0"/>
                  <w:vAlign w:val="center"/>
                </w:tcPr>
                <w:p w14:paraId="584D79BE">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符合</w:t>
                  </w:r>
                </w:p>
              </w:tc>
            </w:tr>
            <w:tr w14:paraId="3AE2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center"/>
                </w:tcPr>
                <w:p w14:paraId="09FC4F21">
                  <w:pPr>
                    <w:spacing w:line="240" w:lineRule="auto"/>
                    <w:jc w:val="center"/>
                    <w:rPr>
                      <w:rFonts w:hint="default" w:ascii="Times New Roman" w:hAnsi="Times New Roman" w:eastAsia="宋体" w:cs="Times New Roman"/>
                      <w:color w:val="auto"/>
                      <w:sz w:val="21"/>
                      <w:szCs w:val="21"/>
                      <w:highlight w:val="none"/>
                    </w:rPr>
                  </w:pPr>
                </w:p>
              </w:tc>
              <w:tc>
                <w:tcPr>
                  <w:tcW w:w="1923" w:type="dxa"/>
                  <w:noWrap w:val="0"/>
                  <w:vAlign w:val="center"/>
                </w:tcPr>
                <w:p w14:paraId="61329A5F">
                  <w:pPr>
                    <w:spacing w:line="24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环境影响分析预测评估的可靠性</w:t>
                  </w:r>
                </w:p>
              </w:tc>
              <w:tc>
                <w:tcPr>
                  <w:tcW w:w="5104" w:type="dxa"/>
                  <w:noWrap w:val="0"/>
                  <w:vAlign w:val="center"/>
                </w:tcPr>
                <w:p w14:paraId="06844062">
                  <w:pPr>
                    <w:rPr>
                      <w:rFonts w:hint="default" w:ascii="Times New Roman" w:hAnsi="Times New Roman" w:eastAsia="宋体" w:cs="Times New Roman"/>
                      <w:color w:val="auto"/>
                      <w:sz w:val="21"/>
                      <w:szCs w:val="21"/>
                      <w:highlight w:val="none"/>
                    </w:rPr>
                  </w:pPr>
                  <w:r>
                    <w:rPr>
                      <w:rFonts w:ascii="Times New Roman" w:hAnsi="Times New Roman" w:cs="Times New Roman"/>
                      <w:color w:val="auto"/>
                      <w:sz w:val="21"/>
                      <w:szCs w:val="21"/>
                    </w:rPr>
                    <w:t>项目声环境影响分析根据《环境影响评价技术导则 声环境》（HJ2.4-20</w:t>
                  </w:r>
                  <w:r>
                    <w:rPr>
                      <w:rFonts w:hint="eastAsia" w:ascii="Times New Roman" w:hAnsi="Times New Roman" w:cs="Times New Roman"/>
                      <w:color w:val="auto"/>
                      <w:sz w:val="21"/>
                      <w:szCs w:val="21"/>
                    </w:rPr>
                    <w:t>21</w:t>
                  </w:r>
                  <w:r>
                    <w:rPr>
                      <w:rFonts w:ascii="Times New Roman" w:hAnsi="Times New Roman" w:cs="Times New Roman"/>
                      <w:color w:val="auto"/>
                      <w:sz w:val="21"/>
                      <w:szCs w:val="21"/>
                    </w:rPr>
                    <w:t>）的技术要求对噪声进行预测评价，是可靠的。气、水、固废根据《建设项目环境影响报告表编制技术指南》的技术要求进行评价，是可靠的。</w:t>
                  </w:r>
                </w:p>
              </w:tc>
              <w:tc>
                <w:tcPr>
                  <w:tcW w:w="871" w:type="dxa"/>
                  <w:noWrap w:val="0"/>
                  <w:vAlign w:val="center"/>
                </w:tcPr>
                <w:p w14:paraId="52B189DA">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符合</w:t>
                  </w:r>
                </w:p>
              </w:tc>
            </w:tr>
            <w:tr w14:paraId="0302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center"/>
                </w:tcPr>
                <w:p w14:paraId="45805828">
                  <w:pPr>
                    <w:spacing w:line="240" w:lineRule="auto"/>
                    <w:jc w:val="center"/>
                    <w:rPr>
                      <w:rFonts w:hint="default" w:ascii="Times New Roman" w:hAnsi="Times New Roman" w:eastAsia="宋体" w:cs="Times New Roman"/>
                      <w:color w:val="auto"/>
                      <w:sz w:val="21"/>
                      <w:szCs w:val="21"/>
                      <w:highlight w:val="none"/>
                    </w:rPr>
                  </w:pPr>
                </w:p>
              </w:tc>
              <w:tc>
                <w:tcPr>
                  <w:tcW w:w="1923" w:type="dxa"/>
                  <w:noWrap w:val="0"/>
                  <w:vAlign w:val="center"/>
                </w:tcPr>
                <w:p w14:paraId="37255B7E">
                  <w:pPr>
                    <w:spacing w:line="24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环境保护措施的有效性</w:t>
                  </w:r>
                </w:p>
              </w:tc>
              <w:tc>
                <w:tcPr>
                  <w:tcW w:w="5104" w:type="dxa"/>
                  <w:noWrap w:val="0"/>
                  <w:vAlign w:val="center"/>
                </w:tcPr>
                <w:p w14:paraId="35FE32AE">
                  <w:pPr>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本项目营运期产生的各类污染物成份均不复杂，属常规污染物，</w:t>
                  </w:r>
                  <w:r>
                    <w:rPr>
                      <w:rFonts w:hint="eastAsia" w:ascii="Times New Roman" w:hAnsi="Times New Roman"/>
                      <w:color w:val="auto"/>
                      <w:sz w:val="21"/>
                      <w:szCs w:val="21"/>
                      <w:highlight w:val="none"/>
                      <w:lang w:val="en-US" w:eastAsia="zh-CN"/>
                    </w:rPr>
                    <w:t>本次环评中拟采取的治理技术均为排污许可证技术规范中的可行技术</w:t>
                  </w:r>
                  <w:r>
                    <w:rPr>
                      <w:rFonts w:ascii="Times New Roman" w:hAnsi="Times New Roman"/>
                      <w:color w:val="auto"/>
                      <w:sz w:val="21"/>
                      <w:szCs w:val="21"/>
                      <w:highlight w:val="none"/>
                    </w:rPr>
                    <w:t>，因此从技术上分析，只要切实落实环评报告提出的各项污染防治措施，</w:t>
                  </w:r>
                  <w:r>
                    <w:rPr>
                      <w:rFonts w:ascii="Times New Roman" w:hAnsi="Times New Roman"/>
                      <w:bCs/>
                      <w:color w:val="auto"/>
                      <w:sz w:val="21"/>
                      <w:szCs w:val="21"/>
                      <w:highlight w:val="none"/>
                    </w:rPr>
                    <w:t>各类污染物均可得到有效控制并能做到达标排放或不对外直接排放</w:t>
                  </w:r>
                  <w:r>
                    <w:rPr>
                      <w:rFonts w:ascii="Times New Roman" w:hAnsi="Times New Roman"/>
                      <w:color w:val="auto"/>
                      <w:sz w:val="21"/>
                      <w:szCs w:val="21"/>
                      <w:highlight w:val="none"/>
                    </w:rPr>
                    <w:t>，因此其环境保护措施是可靠合理的。</w:t>
                  </w:r>
                </w:p>
              </w:tc>
              <w:tc>
                <w:tcPr>
                  <w:tcW w:w="871" w:type="dxa"/>
                  <w:noWrap w:val="0"/>
                  <w:vAlign w:val="center"/>
                </w:tcPr>
                <w:p w14:paraId="293C27EE">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符合</w:t>
                  </w:r>
                </w:p>
              </w:tc>
            </w:tr>
            <w:tr w14:paraId="7867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center"/>
                </w:tcPr>
                <w:p w14:paraId="0D833D0E">
                  <w:pPr>
                    <w:spacing w:line="240" w:lineRule="auto"/>
                    <w:jc w:val="center"/>
                    <w:rPr>
                      <w:rFonts w:hint="default" w:ascii="Times New Roman" w:hAnsi="Times New Roman" w:eastAsia="宋体" w:cs="Times New Roman"/>
                      <w:color w:val="auto"/>
                      <w:sz w:val="21"/>
                      <w:szCs w:val="21"/>
                      <w:highlight w:val="none"/>
                    </w:rPr>
                  </w:pPr>
                </w:p>
              </w:tc>
              <w:tc>
                <w:tcPr>
                  <w:tcW w:w="1923" w:type="dxa"/>
                  <w:noWrap w:val="0"/>
                  <w:vAlign w:val="center"/>
                </w:tcPr>
                <w:p w14:paraId="44A3EA07">
                  <w:pPr>
                    <w:spacing w:line="24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环境影响评价结论的科学性</w:t>
                  </w:r>
                </w:p>
              </w:tc>
              <w:tc>
                <w:tcPr>
                  <w:tcW w:w="5104" w:type="dxa"/>
                  <w:noWrap w:val="0"/>
                  <w:vAlign w:val="center"/>
                </w:tcPr>
                <w:p w14:paraId="6E62DA9F">
                  <w:pPr>
                    <w:adjustRightInd w:val="0"/>
                    <w:snapToGrid w:val="0"/>
                    <w:jc w:val="left"/>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本环评结论客观、过程公开、评价公正，并综合考虑建设项目实施后对各种环境因素可能造成的影响，环评结论是科学的。</w:t>
                  </w:r>
                </w:p>
              </w:tc>
              <w:tc>
                <w:tcPr>
                  <w:tcW w:w="871" w:type="dxa"/>
                  <w:noWrap w:val="0"/>
                  <w:vAlign w:val="center"/>
                </w:tcPr>
                <w:p w14:paraId="10FB2CD7">
                  <w:pPr>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符合</w:t>
                  </w:r>
                </w:p>
              </w:tc>
            </w:tr>
            <w:tr w14:paraId="78C5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restart"/>
                  <w:noWrap w:val="0"/>
                  <w:vAlign w:val="center"/>
                </w:tcPr>
                <w:p w14:paraId="55966BD6">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五不</w:t>
                  </w:r>
                  <w:r>
                    <w:rPr>
                      <w:rFonts w:hint="default" w:ascii="Times New Roman" w:hAnsi="Times New Roman" w:eastAsia="宋体" w:cs="Times New Roman"/>
                      <w:color w:val="auto"/>
                      <w:sz w:val="21"/>
                      <w:szCs w:val="21"/>
                      <w:highlight w:val="none"/>
                      <w:lang w:eastAsia="zh-CN"/>
                    </w:rPr>
                    <w:t>批</w:t>
                  </w:r>
                </w:p>
              </w:tc>
              <w:tc>
                <w:tcPr>
                  <w:tcW w:w="1923" w:type="dxa"/>
                  <w:noWrap w:val="0"/>
                  <w:vAlign w:val="center"/>
                </w:tcPr>
                <w:p w14:paraId="11AB93E3">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建设项目类型及其选址、布局、规模等不符合环境保护法律法规和相关法定规划</w:t>
                  </w:r>
                </w:p>
              </w:tc>
              <w:tc>
                <w:tcPr>
                  <w:tcW w:w="5104" w:type="dxa"/>
                  <w:noWrap w:val="0"/>
                  <w:vAlign w:val="center"/>
                </w:tcPr>
                <w:p w14:paraId="1B026CA4">
                  <w:pPr>
                    <w:adjustRightInd w:val="0"/>
                    <w:snapToGrid w:val="0"/>
                    <w:rPr>
                      <w:rFonts w:hint="default" w:ascii="Times New Roman" w:hAnsi="Times New Roman" w:eastAsia="宋体" w:cs="Times New Roman"/>
                      <w:color w:val="auto"/>
                      <w:sz w:val="21"/>
                      <w:szCs w:val="21"/>
                      <w:highlight w:val="none"/>
                    </w:rPr>
                  </w:pPr>
                  <w:r>
                    <w:rPr>
                      <w:rFonts w:ascii="Times New Roman" w:hAnsi="Times New Roman"/>
                      <w:bCs/>
                      <w:color w:val="auto"/>
                      <w:sz w:val="21"/>
                      <w:szCs w:val="21"/>
                      <w:highlight w:val="none"/>
                    </w:rPr>
                    <w:t>本项目</w:t>
                  </w:r>
                  <w:r>
                    <w:rPr>
                      <w:rFonts w:ascii="Times New Roman" w:hAnsi="Times New Roman"/>
                      <w:color w:val="auto"/>
                      <w:sz w:val="21"/>
                      <w:szCs w:val="21"/>
                      <w:highlight w:val="none"/>
                    </w:rPr>
                    <w:t>的建设</w:t>
                  </w:r>
                  <w:r>
                    <w:rPr>
                      <w:rFonts w:ascii="Times New Roman" w:hAnsi="Times New Roman"/>
                      <w:bCs/>
                      <w:color w:val="auto"/>
                      <w:sz w:val="21"/>
                      <w:szCs w:val="21"/>
                      <w:highlight w:val="none"/>
                    </w:rPr>
                    <w:t>符合当地总体规划，符合国家、地方产业政策，各类污染物均可得到有效控制并能做到达标排放或不对外直接排放，对环境影响不大，环境风险很小，项目实施不会改变所在地的环境质量水平和环境功能，符合环境保护法律法规和相关法定规划。</w:t>
                  </w:r>
                </w:p>
              </w:tc>
              <w:tc>
                <w:tcPr>
                  <w:tcW w:w="871" w:type="dxa"/>
                  <w:noWrap w:val="0"/>
                  <w:vAlign w:val="center"/>
                </w:tcPr>
                <w:p w14:paraId="028F0D23">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不属于</w:t>
                  </w:r>
                </w:p>
                <w:p w14:paraId="57E1242A">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不予批准的情形</w:t>
                  </w:r>
                </w:p>
              </w:tc>
            </w:tr>
            <w:tr w14:paraId="348B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top"/>
                </w:tcPr>
                <w:p w14:paraId="16034449">
                  <w:pPr>
                    <w:spacing w:line="240" w:lineRule="auto"/>
                    <w:rPr>
                      <w:rFonts w:hint="default" w:ascii="Times New Roman" w:hAnsi="Times New Roman" w:eastAsia="宋体" w:cs="Times New Roman"/>
                      <w:color w:val="auto"/>
                      <w:sz w:val="21"/>
                      <w:szCs w:val="21"/>
                      <w:highlight w:val="none"/>
                    </w:rPr>
                  </w:pPr>
                </w:p>
              </w:tc>
              <w:tc>
                <w:tcPr>
                  <w:tcW w:w="1923" w:type="dxa"/>
                  <w:noWrap w:val="0"/>
                  <w:vAlign w:val="center"/>
                </w:tcPr>
                <w:p w14:paraId="20D5B0FF">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所在区域环境质量未达到国家或者地方环境质量标准，且建设项目拟采取的措施不能满足区域环境质量改善目标管理要求</w:t>
                  </w:r>
                </w:p>
              </w:tc>
              <w:tc>
                <w:tcPr>
                  <w:tcW w:w="5104" w:type="dxa"/>
                  <w:noWrap w:val="0"/>
                  <w:vAlign w:val="center"/>
                </w:tcPr>
                <w:p w14:paraId="398B20F9">
                  <w:pPr>
                    <w:adjustRightInd w:val="0"/>
                    <w:snapToGrid w:val="0"/>
                    <w:rPr>
                      <w:rFonts w:hint="default" w:ascii="Times New Roman" w:hAnsi="Times New Roman" w:eastAsia="宋体" w:cs="Times New Roman"/>
                      <w:color w:val="auto"/>
                      <w:sz w:val="21"/>
                      <w:szCs w:val="21"/>
                      <w:highlight w:val="none"/>
                    </w:rPr>
                  </w:pPr>
                  <w:r>
                    <w:rPr>
                      <w:rFonts w:ascii="Times New Roman" w:hAnsi="Times New Roman"/>
                      <w:color w:val="auto"/>
                      <w:szCs w:val="21"/>
                    </w:rPr>
                    <w:t>本项目所在区域</w:t>
                  </w:r>
                  <w:r>
                    <w:rPr>
                      <w:rFonts w:hint="eastAsia" w:ascii="Times New Roman" w:hAnsi="Times New Roman"/>
                      <w:color w:val="auto"/>
                      <w:szCs w:val="21"/>
                      <w:lang w:val="en-US" w:eastAsia="zh-CN"/>
                    </w:rPr>
                    <w:t>2023年</w:t>
                  </w:r>
                  <w:r>
                    <w:rPr>
                      <w:rFonts w:ascii="Times New Roman" w:hAnsi="Times New Roman"/>
                      <w:color w:val="auto"/>
                      <w:szCs w:val="21"/>
                    </w:rPr>
                    <w:t>大气环境</w:t>
                  </w:r>
                  <w:r>
                    <w:rPr>
                      <w:rFonts w:hint="eastAsia" w:ascii="Times New Roman" w:hAnsi="Times New Roman"/>
                      <w:color w:val="auto"/>
                      <w:szCs w:val="21"/>
                      <w:lang w:val="en-US" w:eastAsia="zh-CN"/>
                    </w:rPr>
                    <w:t>质量未达到《环境空气质量标准》（GB3095-2012）中的二级标准，经改善措施实行后，实现2025年环境空气质量全部达标</w:t>
                  </w:r>
                  <w:r>
                    <w:rPr>
                      <w:rFonts w:hint="eastAsia" w:ascii="Times New Roman" w:hAnsi="Times New Roman"/>
                      <w:color w:val="auto"/>
                      <w:szCs w:val="21"/>
                    </w:rPr>
                    <w:t>、</w:t>
                  </w:r>
                  <w:r>
                    <w:rPr>
                      <w:rFonts w:ascii="Times New Roman" w:hAnsi="Times New Roman"/>
                      <w:color w:val="auto"/>
                      <w:szCs w:val="21"/>
                    </w:rPr>
                    <w:t>地表水</w:t>
                  </w:r>
                  <w:r>
                    <w:rPr>
                      <w:rFonts w:hint="eastAsia" w:ascii="Times New Roman" w:hAnsi="Times New Roman"/>
                      <w:color w:val="auto"/>
                      <w:szCs w:val="21"/>
                      <w:lang w:val="en-US" w:eastAsia="zh-CN"/>
                    </w:rPr>
                    <w:t>环境质量未能达到《地表水环境质量标准》（GB3838-2002）中的Ⅲ类标准，在纳污水体区域内的废水逐步做到纳管进入城市污水处理厂集中处理后，预计水质能够得到逐步改善</w:t>
                  </w:r>
                  <w:r>
                    <w:rPr>
                      <w:rFonts w:ascii="Times New Roman" w:hAnsi="Times New Roman"/>
                      <w:color w:val="auto"/>
                      <w:szCs w:val="21"/>
                    </w:rPr>
                    <w:t>、</w:t>
                  </w:r>
                  <w:r>
                    <w:rPr>
                      <w:rFonts w:hint="eastAsia" w:ascii="Times New Roman" w:hAnsi="Times New Roman"/>
                      <w:color w:val="auto"/>
                      <w:szCs w:val="21"/>
                      <w:lang w:val="en-US" w:eastAsia="zh-CN"/>
                    </w:rPr>
                    <w:t>各侧</w:t>
                  </w:r>
                  <w:r>
                    <w:rPr>
                      <w:rFonts w:ascii="Times New Roman" w:hAnsi="Times New Roman"/>
                      <w:color w:val="auto"/>
                      <w:szCs w:val="21"/>
                    </w:rPr>
                    <w:t>声环境质量</w:t>
                  </w:r>
                  <w:r>
                    <w:rPr>
                      <w:rFonts w:hint="eastAsia" w:ascii="Times New Roman" w:hAnsi="Times New Roman"/>
                      <w:color w:val="auto"/>
                      <w:szCs w:val="21"/>
                      <w:lang w:val="en-US" w:eastAsia="zh-CN"/>
                    </w:rPr>
                    <w:t>能达到《声环境质量标准》（GB3096-2008）中的3类标准</w:t>
                  </w:r>
                  <w:r>
                    <w:rPr>
                      <w:rFonts w:hint="eastAsia" w:ascii="Times New Roman" w:hAnsi="Times New Roman"/>
                      <w:color w:val="auto"/>
                      <w:szCs w:val="21"/>
                    </w:rPr>
                    <w:t>。</w:t>
                  </w:r>
                  <w:r>
                    <w:rPr>
                      <w:rFonts w:ascii="Times New Roman" w:hAnsi="Times New Roman"/>
                      <w:color w:val="auto"/>
                      <w:szCs w:val="21"/>
                    </w:rPr>
                    <w:t>另外只要切实落实环评报告提出的各项污染防治措施，本项目</w:t>
                  </w:r>
                  <w:r>
                    <w:rPr>
                      <w:rFonts w:ascii="Times New Roman" w:hAnsi="Times New Roman"/>
                      <w:bCs/>
                      <w:color w:val="auto"/>
                      <w:szCs w:val="21"/>
                    </w:rPr>
                    <w:t>各类污染物均可得到有效控制并做到达标排放或不对外直接排放，对环境影响不大，环境风险很小，其实施不会改变所在地的环境质量水平和环境功能。</w:t>
                  </w:r>
                </w:p>
              </w:tc>
              <w:tc>
                <w:tcPr>
                  <w:tcW w:w="871" w:type="dxa"/>
                  <w:noWrap w:val="0"/>
                  <w:vAlign w:val="center"/>
                </w:tcPr>
                <w:p w14:paraId="5CB17C14">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不属于</w:t>
                  </w:r>
                </w:p>
                <w:p w14:paraId="227FE6D1">
                  <w:pPr>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不予批准的情形</w:t>
                  </w:r>
                </w:p>
              </w:tc>
            </w:tr>
            <w:tr w14:paraId="4F99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top"/>
                </w:tcPr>
                <w:p w14:paraId="424D840C">
                  <w:pPr>
                    <w:spacing w:line="240" w:lineRule="auto"/>
                    <w:rPr>
                      <w:rFonts w:hint="default" w:ascii="Times New Roman" w:hAnsi="Times New Roman" w:eastAsia="宋体" w:cs="Times New Roman"/>
                      <w:color w:val="FF0000"/>
                      <w:sz w:val="21"/>
                      <w:szCs w:val="21"/>
                      <w:highlight w:val="none"/>
                    </w:rPr>
                  </w:pPr>
                </w:p>
              </w:tc>
              <w:tc>
                <w:tcPr>
                  <w:tcW w:w="1923" w:type="dxa"/>
                  <w:noWrap w:val="0"/>
                  <w:vAlign w:val="center"/>
                </w:tcPr>
                <w:p w14:paraId="2BF59666">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建设项目采取的污染防治措施无法确保污染物排放达到国家和地方排放标准，或者未采取必要措施预防和控制生态破坏</w:t>
                  </w:r>
                </w:p>
              </w:tc>
              <w:tc>
                <w:tcPr>
                  <w:tcW w:w="5104" w:type="dxa"/>
                  <w:noWrap w:val="0"/>
                  <w:vAlign w:val="center"/>
                </w:tcPr>
                <w:p w14:paraId="58E5EF26">
                  <w:pPr>
                    <w:adjustRightInd w:val="0"/>
                    <w:snapToGrid w:val="0"/>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只要切实落实环评报告提出的各项污染防治措施，本项目</w:t>
                  </w:r>
                  <w:r>
                    <w:rPr>
                      <w:rFonts w:ascii="Times New Roman" w:hAnsi="Times New Roman"/>
                      <w:bCs/>
                      <w:color w:val="auto"/>
                      <w:sz w:val="21"/>
                      <w:szCs w:val="21"/>
                      <w:highlight w:val="none"/>
                    </w:rPr>
                    <w:t>各类污染物均可得到有效控制并能做到达标排放或不对外直接排放。</w:t>
                  </w:r>
                </w:p>
              </w:tc>
              <w:tc>
                <w:tcPr>
                  <w:tcW w:w="871" w:type="dxa"/>
                  <w:noWrap w:val="0"/>
                  <w:vAlign w:val="center"/>
                </w:tcPr>
                <w:p w14:paraId="3C10B30E">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不属于</w:t>
                  </w:r>
                </w:p>
                <w:p w14:paraId="6EA31A6E">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不予批准的情形</w:t>
                  </w:r>
                </w:p>
              </w:tc>
            </w:tr>
            <w:tr w14:paraId="68C7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top"/>
                </w:tcPr>
                <w:p w14:paraId="335D210C">
                  <w:pPr>
                    <w:spacing w:line="240" w:lineRule="auto"/>
                    <w:rPr>
                      <w:rFonts w:hint="default" w:ascii="Times New Roman" w:hAnsi="Times New Roman" w:eastAsia="宋体" w:cs="Times New Roman"/>
                      <w:color w:val="FF0000"/>
                      <w:sz w:val="21"/>
                      <w:szCs w:val="21"/>
                      <w:highlight w:val="none"/>
                    </w:rPr>
                  </w:pPr>
                </w:p>
              </w:tc>
              <w:tc>
                <w:tcPr>
                  <w:tcW w:w="1923" w:type="dxa"/>
                  <w:noWrap w:val="0"/>
                  <w:vAlign w:val="center"/>
                </w:tcPr>
                <w:p w14:paraId="7339D846">
                  <w:pPr>
                    <w:spacing w:line="240" w:lineRule="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改建、扩建和技术改造项目，未针对项目原有环境污染和生态破坏提出有效防治措施</w:t>
                  </w:r>
                </w:p>
              </w:tc>
              <w:tc>
                <w:tcPr>
                  <w:tcW w:w="5104" w:type="dxa"/>
                  <w:noWrap w:val="0"/>
                  <w:vAlign w:val="center"/>
                </w:tcPr>
                <w:p w14:paraId="0D2C08D8">
                  <w:pPr>
                    <w:adjustRightInd w:val="0"/>
                    <w:snapToGrid w:val="0"/>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Cs w:val="21"/>
                      <w:lang w:val="en-US" w:eastAsia="zh-CN"/>
                    </w:rPr>
                    <w:t>本项目为新建项目</w:t>
                  </w:r>
                </w:p>
              </w:tc>
              <w:tc>
                <w:tcPr>
                  <w:tcW w:w="871" w:type="dxa"/>
                  <w:noWrap w:val="0"/>
                  <w:vAlign w:val="center"/>
                </w:tcPr>
                <w:p w14:paraId="13698EFA">
                  <w:pPr>
                    <w:adjustRightInd w:val="0"/>
                    <w:snapToGrid w:val="0"/>
                    <w:spacing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不属于</w:t>
                  </w:r>
                </w:p>
                <w:p w14:paraId="3EF5F1B2">
                  <w:pPr>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不予批准的情形</w:t>
                  </w:r>
                </w:p>
              </w:tc>
            </w:tr>
            <w:tr w14:paraId="1D80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dxa"/>
                  <w:vMerge w:val="continue"/>
                  <w:noWrap w:val="0"/>
                  <w:vAlign w:val="top"/>
                </w:tcPr>
                <w:p w14:paraId="604DD00E">
                  <w:pPr>
                    <w:spacing w:line="240" w:lineRule="auto"/>
                    <w:rPr>
                      <w:rFonts w:hint="default" w:ascii="Times New Roman" w:hAnsi="Times New Roman" w:eastAsia="宋体" w:cs="Times New Roman"/>
                      <w:color w:val="FF0000"/>
                      <w:sz w:val="21"/>
                      <w:szCs w:val="21"/>
                      <w:highlight w:val="none"/>
                    </w:rPr>
                  </w:pPr>
                </w:p>
              </w:tc>
              <w:tc>
                <w:tcPr>
                  <w:tcW w:w="1923" w:type="dxa"/>
                  <w:noWrap w:val="0"/>
                  <w:vAlign w:val="center"/>
                </w:tcPr>
                <w:p w14:paraId="1E80B2D5">
                  <w:pPr>
                    <w:spacing w:line="240" w:lineRule="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建设项目的环境影响报告书、环境影响报告表的基础资料数据明显不实，内容存在重大缺陷、遗漏，或者环境影响评价结论不明确、不合理。</w:t>
                  </w:r>
                </w:p>
              </w:tc>
              <w:tc>
                <w:tcPr>
                  <w:tcW w:w="5104" w:type="dxa"/>
                  <w:noWrap w:val="0"/>
                  <w:vAlign w:val="center"/>
                </w:tcPr>
                <w:p w14:paraId="101CD926">
                  <w:pPr>
                    <w:adjustRightInd w:val="0"/>
                    <w:snapToGrid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rPr>
                    <w:t>本项目环境影响报告表基础资料属实，结论明确、合理</w:t>
                  </w:r>
                </w:p>
              </w:tc>
              <w:tc>
                <w:tcPr>
                  <w:tcW w:w="871" w:type="dxa"/>
                  <w:noWrap w:val="0"/>
                  <w:vAlign w:val="center"/>
                </w:tcPr>
                <w:p w14:paraId="6E1BE864">
                  <w:pPr>
                    <w:adjustRightInd w:val="0"/>
                    <w:snapToGrid w:val="0"/>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不属于</w:t>
                  </w:r>
                </w:p>
                <w:p w14:paraId="4F96561E">
                  <w:pPr>
                    <w:adjustRightInd w:val="0"/>
                    <w:snapToGrid w:val="0"/>
                    <w:jc w:val="center"/>
                    <w:rPr>
                      <w:rFonts w:hint="default" w:ascii="Times New Roman" w:hAnsi="Times New Roman" w:eastAsia="宋体" w:cs="Times New Roman"/>
                      <w:color w:val="auto"/>
                      <w:sz w:val="21"/>
                      <w:szCs w:val="21"/>
                      <w:highlight w:val="none"/>
                      <w:shd w:val="clear" w:color="auto" w:fill="FFFFFF"/>
                      <w:lang w:val="en-US" w:eastAsia="zh-CN"/>
                    </w:rPr>
                  </w:pPr>
                  <w:r>
                    <w:rPr>
                      <w:rFonts w:ascii="Times New Roman" w:hAnsi="Times New Roman" w:eastAsia="宋体" w:cs="Times New Roman"/>
                      <w:bCs/>
                      <w:color w:val="auto"/>
                      <w:szCs w:val="21"/>
                    </w:rPr>
                    <w:t>不予批准的情形</w:t>
                  </w:r>
                </w:p>
              </w:tc>
            </w:tr>
          </w:tbl>
          <w:p w14:paraId="0588D533">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center"/>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综上所述，本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eastAsia="zh-CN"/>
              </w:rPr>
              <w:t>建设</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“四性五不批”的</w:t>
            </w:r>
            <w:r>
              <w:rPr>
                <w:rFonts w:hint="default" w:ascii="Times New Roman" w:hAnsi="Times New Roman" w:eastAsia="宋体" w:cs="Times New Roman"/>
                <w:color w:val="auto"/>
                <w:sz w:val="24"/>
                <w:szCs w:val="24"/>
                <w:highlight w:val="none"/>
              </w:rPr>
              <w:t>要求。</w:t>
            </w:r>
          </w:p>
          <w:p w14:paraId="01548B73">
            <w:pPr>
              <w:spacing w:line="360" w:lineRule="auto"/>
              <w:rPr>
                <w:rFonts w:ascii="Times New Roman" w:hAnsi="Times New Roman" w:cs="Times New Roman"/>
                <w:b/>
                <w:color w:val="auto"/>
                <w:sz w:val="24"/>
                <w:szCs w:val="24"/>
              </w:rPr>
            </w:pPr>
            <w:r>
              <w:rPr>
                <w:rFonts w:hint="eastAsia" w:ascii="Times New Roman" w:hAnsi="Times New Roman" w:cs="Times New Roman"/>
                <w:b/>
                <w:color w:val="auto"/>
                <w:sz w:val="24"/>
                <w:szCs w:val="24"/>
              </w:rPr>
              <w:t>1.2</w:t>
            </w:r>
            <w:r>
              <w:rPr>
                <w:rFonts w:ascii="Times New Roman" w:hAnsi="Times New Roman" w:cs="Times New Roman"/>
                <w:b/>
                <w:color w:val="auto"/>
                <w:sz w:val="24"/>
                <w:szCs w:val="24"/>
              </w:rPr>
              <w:t>.</w:t>
            </w:r>
            <w:r>
              <w:rPr>
                <w:rFonts w:hint="eastAsia" w:ascii="Times New Roman" w:hAnsi="Times New Roman" w:cs="Times New Roman"/>
                <w:b/>
                <w:color w:val="auto"/>
                <w:sz w:val="24"/>
                <w:szCs w:val="24"/>
                <w:lang w:val="en-US" w:eastAsia="zh-CN"/>
              </w:rPr>
              <w:t>12</w:t>
            </w:r>
            <w:r>
              <w:rPr>
                <w:rFonts w:ascii="Times New Roman" w:hAnsi="Times New Roman" w:cs="Times New Roman"/>
                <w:b/>
                <w:color w:val="auto"/>
                <w:sz w:val="24"/>
                <w:szCs w:val="24"/>
              </w:rPr>
              <w:t>建设项目环评审批原则</w:t>
            </w:r>
          </w:p>
          <w:p w14:paraId="03DF0CB3">
            <w:pPr>
              <w:autoSpaceDE w:val="0"/>
              <w:autoSpaceDN w:val="0"/>
              <w:adjustRightInd w:val="0"/>
              <w:snapToGrid w:val="0"/>
              <w:spacing w:line="360" w:lineRule="auto"/>
              <w:ind w:firstLine="480"/>
              <w:rPr>
                <w:rFonts w:ascii="宋体" w:hAnsi="宋体" w:cs="宋体"/>
                <w:bCs/>
                <w:color w:val="auto"/>
                <w:sz w:val="24"/>
                <w:szCs w:val="24"/>
              </w:rPr>
            </w:pPr>
            <w:r>
              <w:rPr>
                <w:rFonts w:ascii="Times New Roman" w:hAnsi="Times New Roman"/>
                <w:bCs/>
                <w:color w:val="auto"/>
                <w:sz w:val="24"/>
                <w:szCs w:val="24"/>
              </w:rPr>
              <w:t>根据《浙江省建设项目环境保护管理办法》（浙江省人民政府令第388号修订）第三</w:t>
            </w:r>
            <w:r>
              <w:rPr>
                <w:rFonts w:hint="eastAsia" w:ascii="宋体" w:hAnsi="宋体" w:cs="宋体"/>
                <w:bCs/>
                <w:color w:val="auto"/>
                <w:sz w:val="24"/>
                <w:szCs w:val="24"/>
              </w:rPr>
              <w:t>条“</w:t>
            </w:r>
            <w:r>
              <w:rPr>
                <w:rFonts w:hint="eastAsia" w:ascii="宋体" w:hAnsi="宋体" w:cs="宋体"/>
                <w:color w:val="auto"/>
                <w:sz w:val="24"/>
                <w:szCs w:val="24"/>
              </w:rPr>
              <w:t>建设项目应当符合生态保护红线、环境质量底线、资源利用上线和生态环境准入清单管控的要求；排放污染物应当符合国家、省规定的污染物排放标准和重点污染物排放总量控制要求；建设项目还应当符合国土空间规划、国家和省产业政策等要求</w:t>
            </w:r>
            <w:r>
              <w:rPr>
                <w:rFonts w:hint="eastAsia" w:ascii="宋体" w:hAnsi="宋体" w:cs="宋体"/>
                <w:bCs/>
                <w:color w:val="auto"/>
                <w:sz w:val="24"/>
                <w:szCs w:val="24"/>
              </w:rPr>
              <w:t>”。</w:t>
            </w:r>
          </w:p>
          <w:p w14:paraId="5EB50562">
            <w:pPr>
              <w:autoSpaceDE w:val="0"/>
              <w:autoSpaceDN w:val="0"/>
              <w:adjustRightInd w:val="0"/>
              <w:snapToGrid w:val="0"/>
              <w:spacing w:line="360" w:lineRule="auto"/>
              <w:ind w:firstLine="480"/>
              <w:rPr>
                <w:b/>
                <w:bCs/>
                <w:color w:val="auto"/>
                <w:szCs w:val="18"/>
              </w:rPr>
            </w:pPr>
            <w:r>
              <w:rPr>
                <w:rFonts w:ascii="Times New Roman" w:hAnsi="Times New Roman" w:cs="Times New Roman"/>
                <w:bCs/>
                <w:color w:val="auto"/>
                <w:sz w:val="24"/>
                <w:szCs w:val="24"/>
              </w:rPr>
              <w:t>根据1.</w:t>
            </w:r>
            <w:r>
              <w:rPr>
                <w:rFonts w:hint="eastAsia" w:ascii="Times New Roman" w:hAnsi="Times New Roman" w:cs="Times New Roman"/>
                <w:bCs/>
                <w:color w:val="auto"/>
                <w:sz w:val="24"/>
                <w:szCs w:val="24"/>
                <w:lang w:val="en-US" w:eastAsia="zh-CN"/>
              </w:rPr>
              <w:t>2.1</w:t>
            </w:r>
            <w:r>
              <w:rPr>
                <w:rFonts w:ascii="Times New Roman" w:hAnsi="Times New Roman" w:cs="Times New Roman"/>
                <w:bCs/>
                <w:color w:val="auto"/>
                <w:sz w:val="24"/>
                <w:szCs w:val="24"/>
              </w:rPr>
              <w:t>“三线一单的符合性分析”可知，项目符合</w:t>
            </w:r>
            <w:r>
              <w:rPr>
                <w:rFonts w:ascii="Times New Roman" w:hAnsi="Times New Roman" w:cs="Times New Roman"/>
                <w:color w:val="auto"/>
                <w:sz w:val="24"/>
                <w:szCs w:val="24"/>
              </w:rPr>
              <w:t>生态保护红线、环境质量底线、资源利用上线和生态环境准入清单管控的要求；重点污染物排放总量控制、国土空间规划、国家和省产业政策等要求</w:t>
            </w:r>
            <w:r>
              <w:rPr>
                <w:rFonts w:ascii="Times New Roman" w:hAnsi="Times New Roman" w:cs="Times New Roman"/>
                <w:bCs/>
                <w:color w:val="auto"/>
                <w:sz w:val="24"/>
                <w:szCs w:val="24"/>
              </w:rPr>
              <w:t>的符合性见表</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15</w:t>
            </w:r>
            <w:r>
              <w:rPr>
                <w:rFonts w:ascii="Times New Roman" w:hAnsi="Times New Roman" w:cs="Times New Roman"/>
                <w:bCs/>
                <w:color w:val="auto"/>
                <w:sz w:val="24"/>
                <w:szCs w:val="24"/>
              </w:rPr>
              <w:t>。</w:t>
            </w:r>
          </w:p>
          <w:p w14:paraId="30B89C74">
            <w:pPr>
              <w:spacing w:line="240" w:lineRule="auto"/>
              <w:jc w:val="center"/>
              <w:rPr>
                <w:b/>
                <w:bCs/>
                <w:color w:val="auto"/>
                <w:szCs w:val="18"/>
              </w:rPr>
            </w:pPr>
            <w:r>
              <w:rPr>
                <w:b/>
                <w:bCs/>
                <w:color w:val="auto"/>
                <w:szCs w:val="18"/>
              </w:rPr>
              <w:t>表</w:t>
            </w:r>
            <w:r>
              <w:rPr>
                <w:rFonts w:hint="eastAsia" w:ascii="Times New Roman" w:hAnsi="Times New Roman"/>
                <w:b/>
                <w:bCs/>
                <w:color w:val="auto"/>
                <w:szCs w:val="18"/>
                <w:lang w:val="en-US" w:eastAsia="zh-CN"/>
              </w:rPr>
              <w:t>1</w:t>
            </w:r>
            <w:r>
              <w:rPr>
                <w:rFonts w:ascii="Times New Roman" w:hAnsi="Times New Roman"/>
                <w:b/>
                <w:bCs/>
                <w:color w:val="auto"/>
                <w:szCs w:val="18"/>
              </w:rPr>
              <w:t>-</w:t>
            </w:r>
            <w:r>
              <w:rPr>
                <w:rFonts w:hint="eastAsia" w:ascii="Times New Roman" w:hAnsi="Times New Roman"/>
                <w:b/>
                <w:bCs/>
                <w:color w:val="auto"/>
                <w:szCs w:val="18"/>
                <w:lang w:val="en-US" w:eastAsia="zh-CN"/>
              </w:rPr>
              <w:t>15</w:t>
            </w:r>
            <w:r>
              <w:rPr>
                <w:rFonts w:hint="eastAsia" w:ascii="Times New Roman" w:hAnsi="Times New Roman"/>
                <w:b/>
                <w:bCs/>
                <w:color w:val="auto"/>
                <w:szCs w:val="18"/>
              </w:rPr>
              <w:t xml:space="preserve"> </w:t>
            </w:r>
            <w:r>
              <w:rPr>
                <w:b/>
                <w:bCs/>
                <w:color w:val="auto"/>
                <w:szCs w:val="18"/>
              </w:rPr>
              <w:t>《浙江省建设项目环境保护管理办法》第三条</w:t>
            </w:r>
            <w:r>
              <w:rPr>
                <w:rFonts w:hint="eastAsia"/>
                <w:b/>
                <w:bCs/>
                <w:color w:val="auto"/>
                <w:szCs w:val="18"/>
              </w:rPr>
              <w:t>符</w:t>
            </w:r>
            <w:r>
              <w:rPr>
                <w:b/>
                <w:bCs/>
                <w:color w:val="auto"/>
                <w:szCs w:val="18"/>
              </w:rPr>
              <w:t>合性分析</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4760"/>
              <w:gridCol w:w="1097"/>
            </w:tblGrid>
            <w:tr w14:paraId="05A6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0C5303FA">
                  <w:pPr>
                    <w:jc w:val="center"/>
                    <w:rPr>
                      <w:b/>
                      <w:color w:val="auto"/>
                      <w:szCs w:val="21"/>
                    </w:rPr>
                  </w:pPr>
                  <w:r>
                    <w:rPr>
                      <w:b/>
                      <w:color w:val="auto"/>
                      <w:szCs w:val="21"/>
                    </w:rPr>
                    <w:t>内容</w:t>
                  </w:r>
                </w:p>
              </w:tc>
              <w:tc>
                <w:tcPr>
                  <w:tcW w:w="4760" w:type="dxa"/>
                  <w:noWrap/>
                  <w:vAlign w:val="center"/>
                </w:tcPr>
                <w:p w14:paraId="5819ED81">
                  <w:pPr>
                    <w:jc w:val="center"/>
                    <w:rPr>
                      <w:b/>
                      <w:color w:val="auto"/>
                      <w:szCs w:val="21"/>
                    </w:rPr>
                  </w:pPr>
                  <w:r>
                    <w:rPr>
                      <w:rFonts w:hint="eastAsia"/>
                      <w:b/>
                      <w:color w:val="auto"/>
                      <w:szCs w:val="21"/>
                    </w:rPr>
                    <w:t>项目</w:t>
                  </w:r>
                  <w:r>
                    <w:rPr>
                      <w:b/>
                      <w:color w:val="auto"/>
                      <w:szCs w:val="21"/>
                    </w:rPr>
                    <w:t>情况</w:t>
                  </w:r>
                </w:p>
              </w:tc>
              <w:tc>
                <w:tcPr>
                  <w:tcW w:w="1097" w:type="dxa"/>
                  <w:noWrap/>
                  <w:vAlign w:val="center"/>
                </w:tcPr>
                <w:p w14:paraId="01B530B3">
                  <w:pPr>
                    <w:jc w:val="center"/>
                    <w:rPr>
                      <w:b/>
                      <w:color w:val="auto"/>
                      <w:szCs w:val="21"/>
                    </w:rPr>
                  </w:pPr>
                  <w:r>
                    <w:rPr>
                      <w:b/>
                      <w:color w:val="auto"/>
                      <w:szCs w:val="21"/>
                    </w:rPr>
                    <w:t>是否符合</w:t>
                  </w:r>
                </w:p>
              </w:tc>
            </w:tr>
            <w:tr w14:paraId="76D4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4704583A">
                  <w:pPr>
                    <w:jc w:val="center"/>
                    <w:rPr>
                      <w:color w:val="auto"/>
                      <w:szCs w:val="21"/>
                    </w:rPr>
                  </w:pPr>
                  <w:r>
                    <w:rPr>
                      <w:color w:val="auto"/>
                      <w:szCs w:val="21"/>
                    </w:rPr>
                    <w:t>排放污染物应当符合国家、省规定的污染物排放标准</w:t>
                  </w:r>
                </w:p>
              </w:tc>
              <w:tc>
                <w:tcPr>
                  <w:tcW w:w="4760" w:type="dxa"/>
                  <w:noWrap/>
                  <w:vAlign w:val="center"/>
                </w:tcPr>
                <w:p w14:paraId="25868978">
                  <w:pPr>
                    <w:rPr>
                      <w:color w:val="auto"/>
                      <w:szCs w:val="21"/>
                    </w:rPr>
                  </w:pPr>
                  <w:r>
                    <w:rPr>
                      <w:color w:val="auto"/>
                      <w:szCs w:val="21"/>
                    </w:rPr>
                    <w:t>只要切实落实环评报告中提出的污染防治措施，</w:t>
                  </w:r>
                  <w:r>
                    <w:rPr>
                      <w:rFonts w:hint="eastAsia"/>
                      <w:color w:val="auto"/>
                      <w:szCs w:val="21"/>
                    </w:rPr>
                    <w:t>本项目</w:t>
                  </w:r>
                  <w:r>
                    <w:rPr>
                      <w:color w:val="auto"/>
                      <w:szCs w:val="21"/>
                    </w:rPr>
                    <w:t>废气、废水、噪声均可做到达标排放，固废可实现零排放，对所在区域环境影响不大。</w:t>
                  </w:r>
                </w:p>
              </w:tc>
              <w:tc>
                <w:tcPr>
                  <w:tcW w:w="1097" w:type="dxa"/>
                  <w:noWrap/>
                  <w:vAlign w:val="center"/>
                </w:tcPr>
                <w:p w14:paraId="4DB876FB">
                  <w:pPr>
                    <w:jc w:val="center"/>
                    <w:rPr>
                      <w:color w:val="auto"/>
                      <w:szCs w:val="21"/>
                    </w:rPr>
                  </w:pPr>
                  <w:r>
                    <w:rPr>
                      <w:rFonts w:hint="eastAsia"/>
                      <w:color w:val="auto"/>
                      <w:szCs w:val="21"/>
                    </w:rPr>
                    <w:t>符合</w:t>
                  </w:r>
                </w:p>
              </w:tc>
            </w:tr>
            <w:tr w14:paraId="3F74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5017CDF8">
                  <w:pPr>
                    <w:jc w:val="center"/>
                    <w:rPr>
                      <w:color w:val="auto"/>
                      <w:szCs w:val="21"/>
                    </w:rPr>
                  </w:pPr>
                  <w:r>
                    <w:rPr>
                      <w:color w:val="auto"/>
                      <w:szCs w:val="21"/>
                    </w:rPr>
                    <w:t>重点污染物排放总量控制要求</w:t>
                  </w:r>
                </w:p>
              </w:tc>
              <w:tc>
                <w:tcPr>
                  <w:tcW w:w="4760" w:type="dxa"/>
                  <w:noWrap/>
                  <w:vAlign w:val="center"/>
                </w:tcPr>
                <w:p w14:paraId="3E2EDA61">
                  <w:pPr>
                    <w:rPr>
                      <w:rFonts w:hint="default" w:eastAsiaTheme="minorEastAsia"/>
                      <w:color w:val="auto"/>
                      <w:szCs w:val="21"/>
                      <w:lang w:val="en-US" w:eastAsia="zh-CN"/>
                    </w:rPr>
                  </w:pPr>
                  <w:r>
                    <w:rPr>
                      <w:rFonts w:hint="eastAsia" w:ascii="Times New Roman" w:hAnsi="Times New Roman" w:cs="Times New Roman"/>
                      <w:color w:val="auto"/>
                      <w:szCs w:val="21"/>
                      <w:lang w:val="en-US" w:eastAsia="zh-CN"/>
                    </w:rPr>
                    <w:t>本项目仅排放生活污水，COD、氨氮无需进行削减替代；挥发性有机物按照1:2进行区域削减替代，</w:t>
                  </w:r>
                  <w:r>
                    <w:rPr>
                      <w:rFonts w:ascii="Times New Roman" w:hAnsi="Times New Roman" w:cs="Times New Roman"/>
                      <w:color w:val="auto"/>
                      <w:szCs w:val="21"/>
                    </w:rPr>
                    <w:t>由当地生态环境部门予以区域平衡。</w:t>
                  </w:r>
                </w:p>
              </w:tc>
              <w:tc>
                <w:tcPr>
                  <w:tcW w:w="1097" w:type="dxa"/>
                  <w:noWrap/>
                  <w:vAlign w:val="center"/>
                </w:tcPr>
                <w:p w14:paraId="07BDA106">
                  <w:pPr>
                    <w:jc w:val="center"/>
                    <w:rPr>
                      <w:color w:val="auto"/>
                      <w:szCs w:val="21"/>
                    </w:rPr>
                  </w:pPr>
                  <w:r>
                    <w:rPr>
                      <w:rFonts w:hint="eastAsia"/>
                      <w:color w:val="auto"/>
                      <w:szCs w:val="21"/>
                    </w:rPr>
                    <w:t>符合</w:t>
                  </w:r>
                </w:p>
              </w:tc>
            </w:tr>
            <w:tr w14:paraId="4D7C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05D35267">
                  <w:pPr>
                    <w:jc w:val="center"/>
                    <w:rPr>
                      <w:color w:val="auto"/>
                      <w:szCs w:val="21"/>
                    </w:rPr>
                  </w:pPr>
                  <w:r>
                    <w:rPr>
                      <w:color w:val="auto"/>
                      <w:szCs w:val="21"/>
                    </w:rPr>
                    <w:t>国土空间规划的要求</w:t>
                  </w:r>
                </w:p>
              </w:tc>
              <w:tc>
                <w:tcPr>
                  <w:tcW w:w="4760" w:type="dxa"/>
                  <w:noWrap/>
                  <w:vAlign w:val="center"/>
                </w:tcPr>
                <w:p w14:paraId="1BF72CEC">
                  <w:pPr>
                    <w:rPr>
                      <w:rFonts w:ascii="Times New Roman" w:hAnsi="Times New Roman"/>
                      <w:color w:val="auto"/>
                      <w:szCs w:val="21"/>
                    </w:rPr>
                  </w:pPr>
                  <w:r>
                    <w:rPr>
                      <w:rFonts w:ascii="Times New Roman" w:hAnsi="Times New Roman"/>
                      <w:color w:val="auto"/>
                      <w:sz w:val="21"/>
                      <w:szCs w:val="21"/>
                      <w:highlight w:val="none"/>
                    </w:rPr>
                    <w:t>本项目</w:t>
                  </w:r>
                  <w:r>
                    <w:rPr>
                      <w:rFonts w:hint="eastAsia" w:ascii="Times New Roman" w:hAnsi="Times New Roman"/>
                      <w:color w:val="auto"/>
                      <w:sz w:val="21"/>
                      <w:szCs w:val="21"/>
                      <w:highlight w:val="none"/>
                      <w:lang w:val="en-US" w:eastAsia="zh-CN"/>
                    </w:rPr>
                    <w:t>购买工业区工业用地并新建厂房组织生产</w:t>
                  </w:r>
                  <w:r>
                    <w:rPr>
                      <w:rFonts w:hint="eastAsia" w:ascii="Times New Roman" w:hAnsi="Times New Roman" w:cs="Times New Roman"/>
                      <w:color w:val="auto"/>
                      <w:szCs w:val="21"/>
                    </w:rPr>
                    <w:t>，符合所在地城建规划和土地利用规划，符合总体规划。</w:t>
                  </w:r>
                </w:p>
              </w:tc>
              <w:tc>
                <w:tcPr>
                  <w:tcW w:w="1097" w:type="dxa"/>
                  <w:noWrap/>
                  <w:vAlign w:val="center"/>
                </w:tcPr>
                <w:p w14:paraId="79367D5A">
                  <w:pPr>
                    <w:jc w:val="center"/>
                    <w:rPr>
                      <w:color w:val="auto"/>
                      <w:szCs w:val="21"/>
                    </w:rPr>
                  </w:pPr>
                  <w:r>
                    <w:rPr>
                      <w:rFonts w:hint="eastAsia"/>
                      <w:color w:val="auto"/>
                      <w:szCs w:val="21"/>
                    </w:rPr>
                    <w:t>符合</w:t>
                  </w:r>
                </w:p>
              </w:tc>
            </w:tr>
            <w:tr w14:paraId="3289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7" w:type="dxa"/>
                  <w:noWrap/>
                  <w:vAlign w:val="center"/>
                </w:tcPr>
                <w:p w14:paraId="7BC9B83D">
                  <w:pPr>
                    <w:jc w:val="center"/>
                    <w:rPr>
                      <w:color w:val="auto"/>
                      <w:szCs w:val="21"/>
                    </w:rPr>
                  </w:pPr>
                  <w:r>
                    <w:rPr>
                      <w:color w:val="auto"/>
                      <w:szCs w:val="21"/>
                    </w:rPr>
                    <w:t>国家和省产业政策等要求</w:t>
                  </w:r>
                </w:p>
              </w:tc>
              <w:tc>
                <w:tcPr>
                  <w:tcW w:w="4760" w:type="dxa"/>
                  <w:noWrap/>
                  <w:vAlign w:val="center"/>
                </w:tcPr>
                <w:p w14:paraId="7C50F656">
                  <w:pPr>
                    <w:rPr>
                      <w:rFonts w:ascii="Times New Roman" w:hAnsi="Times New Roman"/>
                      <w:color w:val="auto"/>
                      <w:szCs w:val="21"/>
                    </w:rPr>
                  </w:pPr>
                  <w:r>
                    <w:rPr>
                      <w:rFonts w:ascii="Times New Roman" w:hAnsi="Times New Roman" w:cs="Times New Roman"/>
                      <w:color w:val="auto"/>
                      <w:szCs w:val="21"/>
                    </w:rPr>
                    <w:t>本项目不属于《产业结构调整指导目录（</w:t>
                  </w:r>
                  <w:r>
                    <w:rPr>
                      <w:rFonts w:hint="eastAsia" w:ascii="Times New Roman" w:hAnsi="Times New Roman" w:cs="Times New Roman"/>
                      <w:color w:val="auto"/>
                      <w:szCs w:val="21"/>
                      <w:lang w:val="en-US" w:eastAsia="zh-CN"/>
                    </w:rPr>
                    <w:t>2024年本</w:t>
                  </w:r>
                  <w:r>
                    <w:rPr>
                      <w:rFonts w:ascii="Times New Roman" w:hAnsi="Times New Roman" w:cs="Times New Roman"/>
                      <w:color w:val="auto"/>
                      <w:szCs w:val="21"/>
                    </w:rPr>
                    <w:t>）》、</w:t>
                  </w:r>
                  <w:r>
                    <w:rPr>
                      <w:rFonts w:hint="eastAsia" w:ascii="Times New Roman" w:hAnsi="Times New Roman" w:cs="Times New Roman"/>
                      <w:color w:val="auto"/>
                      <w:szCs w:val="21"/>
                    </w:rPr>
                    <w:t>《市场准入负面清单（2022年版）》、</w:t>
                  </w:r>
                  <w:r>
                    <w:rPr>
                      <w:rFonts w:ascii="Times New Roman" w:hAnsi="Times New Roman" w:cs="Times New Roman"/>
                      <w:color w:val="auto"/>
                      <w:szCs w:val="21"/>
                    </w:rPr>
                    <w:t>《湖州市产业发展导向目录（2012年本）》限制或禁止实施之列</w:t>
                  </w:r>
                  <w:r>
                    <w:rPr>
                      <w:rFonts w:hint="eastAsia" w:ascii="Times New Roman" w:hAnsi="Times New Roman" w:cs="Times New Roman"/>
                      <w:color w:val="auto"/>
                      <w:szCs w:val="21"/>
                    </w:rPr>
                    <w:t>。</w:t>
                  </w:r>
                </w:p>
              </w:tc>
              <w:tc>
                <w:tcPr>
                  <w:tcW w:w="1097" w:type="dxa"/>
                  <w:noWrap/>
                  <w:vAlign w:val="center"/>
                </w:tcPr>
                <w:p w14:paraId="1E2B61D5">
                  <w:pPr>
                    <w:jc w:val="center"/>
                    <w:rPr>
                      <w:color w:val="auto"/>
                      <w:szCs w:val="21"/>
                    </w:rPr>
                  </w:pPr>
                  <w:r>
                    <w:rPr>
                      <w:rFonts w:hint="eastAsia"/>
                      <w:color w:val="auto"/>
                      <w:szCs w:val="21"/>
                    </w:rPr>
                    <w:t>符合</w:t>
                  </w:r>
                </w:p>
              </w:tc>
            </w:tr>
          </w:tbl>
          <w:p w14:paraId="626FE1F3">
            <w:pPr>
              <w:autoSpaceDE w:val="0"/>
              <w:autoSpaceDN w:val="0"/>
              <w:adjustRightInd w:val="0"/>
              <w:snapToGrid w:val="0"/>
              <w:spacing w:line="500" w:lineRule="exact"/>
              <w:ind w:firstLine="480" w:firstLineChars="200"/>
              <w:rPr>
                <w:rFonts w:hint="eastAsia"/>
                <w:color w:val="auto"/>
                <w:sz w:val="24"/>
                <w:szCs w:val="40"/>
              </w:rPr>
            </w:pPr>
            <w:r>
              <w:rPr>
                <w:rFonts w:hint="eastAsia"/>
                <w:color w:val="auto"/>
                <w:sz w:val="24"/>
                <w:szCs w:val="40"/>
              </w:rPr>
              <w:t>综上所述，</w:t>
            </w:r>
            <w:r>
              <w:rPr>
                <w:rFonts w:hint="eastAsia"/>
                <w:color w:val="auto"/>
                <w:sz w:val="24"/>
                <w:szCs w:val="32"/>
              </w:rPr>
              <w:t>项目</w:t>
            </w:r>
            <w:r>
              <w:rPr>
                <w:color w:val="auto"/>
                <w:sz w:val="24"/>
                <w:szCs w:val="32"/>
              </w:rPr>
              <w:t>符合《浙江省建设项目环境保护管理办法》（浙江省人民政府令第</w:t>
            </w:r>
            <w:r>
              <w:rPr>
                <w:rFonts w:ascii="Times New Roman" w:hAnsi="Times New Roman"/>
                <w:color w:val="auto"/>
                <w:sz w:val="24"/>
                <w:szCs w:val="32"/>
              </w:rPr>
              <w:t>388</w:t>
            </w:r>
            <w:r>
              <w:rPr>
                <w:color w:val="auto"/>
                <w:sz w:val="24"/>
                <w:szCs w:val="32"/>
              </w:rPr>
              <w:t>号</w:t>
            </w:r>
            <w:r>
              <w:rPr>
                <w:rFonts w:hint="eastAsia" w:ascii="宋体" w:hAnsi="宋体"/>
                <w:color w:val="auto"/>
                <w:sz w:val="24"/>
                <w:szCs w:val="32"/>
              </w:rPr>
              <w:t>）要求</w:t>
            </w:r>
            <w:r>
              <w:rPr>
                <w:rFonts w:hint="eastAsia"/>
                <w:color w:val="auto"/>
                <w:sz w:val="24"/>
                <w:szCs w:val="40"/>
              </w:rPr>
              <w:t>。</w:t>
            </w:r>
          </w:p>
          <w:p w14:paraId="68008D1A">
            <w:pPr>
              <w:autoSpaceDE w:val="0"/>
              <w:autoSpaceDN w:val="0"/>
              <w:adjustRightInd w:val="0"/>
              <w:snapToGrid w:val="0"/>
              <w:spacing w:line="500" w:lineRule="exact"/>
              <w:ind w:firstLine="480" w:firstLineChars="200"/>
              <w:rPr>
                <w:rFonts w:hint="eastAsia"/>
                <w:color w:val="auto"/>
                <w:sz w:val="24"/>
                <w:szCs w:val="40"/>
              </w:rPr>
            </w:pPr>
          </w:p>
          <w:p w14:paraId="18CB2E6B">
            <w:pPr>
              <w:autoSpaceDE w:val="0"/>
              <w:autoSpaceDN w:val="0"/>
              <w:adjustRightInd w:val="0"/>
              <w:snapToGrid w:val="0"/>
              <w:spacing w:line="500" w:lineRule="exact"/>
              <w:ind w:firstLine="480" w:firstLineChars="200"/>
              <w:rPr>
                <w:rFonts w:hint="eastAsia"/>
                <w:color w:val="auto"/>
                <w:sz w:val="24"/>
                <w:szCs w:val="40"/>
              </w:rPr>
            </w:pPr>
          </w:p>
          <w:p w14:paraId="4FD4B6F9">
            <w:pPr>
              <w:autoSpaceDE w:val="0"/>
              <w:autoSpaceDN w:val="0"/>
              <w:adjustRightInd w:val="0"/>
              <w:snapToGrid w:val="0"/>
              <w:spacing w:line="500" w:lineRule="exact"/>
              <w:ind w:firstLine="480" w:firstLineChars="200"/>
              <w:rPr>
                <w:rFonts w:hint="eastAsia"/>
                <w:color w:val="auto"/>
                <w:sz w:val="24"/>
                <w:szCs w:val="40"/>
              </w:rPr>
            </w:pPr>
          </w:p>
          <w:p w14:paraId="770F2C1D">
            <w:pPr>
              <w:autoSpaceDE w:val="0"/>
              <w:autoSpaceDN w:val="0"/>
              <w:adjustRightInd w:val="0"/>
              <w:snapToGrid w:val="0"/>
              <w:spacing w:line="500" w:lineRule="exact"/>
              <w:ind w:firstLine="480" w:firstLineChars="200"/>
              <w:rPr>
                <w:rFonts w:hint="eastAsia"/>
                <w:color w:val="auto"/>
                <w:sz w:val="24"/>
                <w:szCs w:val="40"/>
              </w:rPr>
            </w:pPr>
          </w:p>
          <w:p w14:paraId="22411FEC">
            <w:pPr>
              <w:autoSpaceDE w:val="0"/>
              <w:autoSpaceDN w:val="0"/>
              <w:adjustRightInd w:val="0"/>
              <w:snapToGrid w:val="0"/>
              <w:spacing w:line="500" w:lineRule="exact"/>
              <w:ind w:firstLine="480" w:firstLineChars="200"/>
              <w:rPr>
                <w:rFonts w:hint="eastAsia"/>
                <w:color w:val="auto"/>
                <w:sz w:val="24"/>
                <w:szCs w:val="40"/>
              </w:rPr>
            </w:pPr>
          </w:p>
          <w:p w14:paraId="24D88544">
            <w:pPr>
              <w:autoSpaceDE w:val="0"/>
              <w:autoSpaceDN w:val="0"/>
              <w:adjustRightInd w:val="0"/>
              <w:snapToGrid w:val="0"/>
              <w:spacing w:line="500" w:lineRule="exact"/>
              <w:ind w:firstLine="480" w:firstLineChars="200"/>
              <w:rPr>
                <w:rFonts w:hint="eastAsia"/>
                <w:color w:val="auto"/>
                <w:sz w:val="24"/>
                <w:szCs w:val="40"/>
              </w:rPr>
            </w:pPr>
          </w:p>
          <w:p w14:paraId="30A3F1ED">
            <w:pPr>
              <w:autoSpaceDE w:val="0"/>
              <w:autoSpaceDN w:val="0"/>
              <w:adjustRightInd w:val="0"/>
              <w:snapToGrid w:val="0"/>
              <w:spacing w:line="500" w:lineRule="exact"/>
              <w:ind w:firstLine="480" w:firstLineChars="200"/>
              <w:rPr>
                <w:rFonts w:hint="eastAsia"/>
                <w:color w:val="auto"/>
                <w:sz w:val="24"/>
                <w:szCs w:val="40"/>
              </w:rPr>
            </w:pPr>
          </w:p>
          <w:p w14:paraId="22EBBCFC">
            <w:pPr>
              <w:autoSpaceDE w:val="0"/>
              <w:autoSpaceDN w:val="0"/>
              <w:adjustRightInd w:val="0"/>
              <w:snapToGrid w:val="0"/>
              <w:spacing w:line="500" w:lineRule="exact"/>
              <w:ind w:firstLine="480" w:firstLineChars="200"/>
              <w:rPr>
                <w:rFonts w:hint="eastAsia"/>
                <w:color w:val="auto"/>
                <w:sz w:val="24"/>
                <w:szCs w:val="40"/>
              </w:rPr>
            </w:pPr>
          </w:p>
          <w:p w14:paraId="7A3472DC">
            <w:pPr>
              <w:autoSpaceDE w:val="0"/>
              <w:autoSpaceDN w:val="0"/>
              <w:adjustRightInd w:val="0"/>
              <w:snapToGrid w:val="0"/>
              <w:spacing w:line="500" w:lineRule="exact"/>
              <w:rPr>
                <w:rFonts w:hint="eastAsia"/>
                <w:color w:val="auto"/>
                <w:sz w:val="24"/>
                <w:szCs w:val="40"/>
              </w:rPr>
            </w:pPr>
          </w:p>
        </w:tc>
      </w:tr>
    </w:tbl>
    <w:p w14:paraId="7C0C60F2">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lang w:eastAsia="zh-CN"/>
        </w:rPr>
      </w:pPr>
      <w:bookmarkStart w:id="2" w:name="_Toc422"/>
      <w:r>
        <w:rPr>
          <w:rFonts w:hint="eastAsia" w:ascii="黑体" w:hAnsi="黑体" w:eastAsia="黑体" w:cs="黑体"/>
          <w:b w:val="0"/>
          <w:bCs/>
          <w:color w:val="auto"/>
          <w:sz w:val="30"/>
          <w:szCs w:val="30"/>
        </w:rPr>
        <w:t>二、建设项目工程分析</w:t>
      </w:r>
      <w:bookmarkEnd w:id="2"/>
    </w:p>
    <w:tbl>
      <w:tblPr>
        <w:tblStyle w:val="23"/>
        <w:tblW w:w="9071" w:type="dxa"/>
        <w:jc w:val="center"/>
        <w:tblLayout w:type="fixed"/>
        <w:tblCellMar>
          <w:top w:w="0" w:type="dxa"/>
          <w:left w:w="0" w:type="dxa"/>
          <w:bottom w:w="0" w:type="dxa"/>
          <w:right w:w="0" w:type="dxa"/>
        </w:tblCellMar>
      </w:tblPr>
      <w:tblGrid>
        <w:gridCol w:w="9071"/>
      </w:tblGrid>
      <w:tr w14:paraId="5C783EEC">
        <w:tblPrEx>
          <w:tblCellMar>
            <w:top w:w="0" w:type="dxa"/>
            <w:left w:w="0" w:type="dxa"/>
            <w:bottom w:w="0" w:type="dxa"/>
            <w:right w:w="0" w:type="dxa"/>
          </w:tblCellMar>
        </w:tblPrEx>
        <w:trPr>
          <w:trHeight w:val="638"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49AEBC">
            <w:pPr>
              <w:pStyle w:val="35"/>
              <w:keepNext w:val="0"/>
              <w:keepLines w:val="0"/>
              <w:pageBreakBefore w:val="0"/>
              <w:widowControl w:val="0"/>
              <w:kinsoku/>
              <w:wordWrap/>
              <w:overflowPunct/>
              <w:topLinePunct w:val="0"/>
              <w:bidi w:val="0"/>
              <w:snapToGrid/>
              <w:spacing w:line="360" w:lineRule="auto"/>
              <w:jc w:val="left"/>
              <w:textAlignment w:val="auto"/>
              <w:rPr>
                <w:rFonts w:hint="eastAsia" w:ascii="Times New Roman" w:cs="Times New Roman"/>
                <w:b/>
                <w:bCs/>
                <w:color w:val="auto"/>
                <w:sz w:val="24"/>
                <w:szCs w:val="24"/>
                <w:lang w:val="en-US" w:eastAsia="zh-CN"/>
              </w:rPr>
            </w:pPr>
            <w:r>
              <w:rPr>
                <w:rFonts w:hint="eastAsia" w:ascii="Times New Roman" w:cs="Times New Roman"/>
                <w:b/>
                <w:bCs/>
                <w:color w:val="auto"/>
                <w:sz w:val="24"/>
                <w:szCs w:val="24"/>
                <w:lang w:val="en-US" w:eastAsia="zh-CN"/>
              </w:rPr>
              <w:t>2.1 建设内容</w:t>
            </w:r>
          </w:p>
          <w:p w14:paraId="6D93DA21">
            <w:pPr>
              <w:spacing w:line="360" w:lineRule="auto"/>
              <w:ind w:firstLine="480" w:firstLineChars="200"/>
              <w:rPr>
                <w:rFonts w:hint="default" w:ascii="Times New Roman" w:hAnsi="Times New Roman" w:eastAsia="宋体" w:cs="Times New Roman"/>
                <w:color w:val="FF0000"/>
                <w:kern w:val="0"/>
                <w:sz w:val="24"/>
                <w:szCs w:val="24"/>
                <w:highlight w:val="none"/>
                <w:lang w:val="en-US" w:eastAsia="zh-CN"/>
              </w:rPr>
            </w:pPr>
            <w:r>
              <w:rPr>
                <w:rFonts w:hint="eastAsia" w:ascii="Times New Roman" w:hAnsi="Times New Roman" w:cs="Times New Roman"/>
                <w:color w:val="auto"/>
                <w:sz w:val="24"/>
                <w:szCs w:val="24"/>
                <w:lang w:val="en-US" w:eastAsia="zh-CN"/>
              </w:rPr>
              <w:t>基于良好的市场前景，自然人姜文耀出资成立浙江桃园智能科技有限公司</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拟投资18000万元，新增土地32.7亩，新建厂房39300平方米，购置全自动生产线、贴片流水线、高精度注塑机等设备，投产后形成</w:t>
            </w:r>
            <w:r>
              <w:rPr>
                <w:rFonts w:hint="eastAsia" w:ascii="Times New Roman" w:hAnsi="Times New Roman" w:eastAsia="宋体" w:cs="Times New Roman"/>
                <w:color w:val="auto"/>
                <w:kern w:val="0"/>
                <w:sz w:val="24"/>
                <w:szCs w:val="24"/>
                <w:highlight w:val="none"/>
                <w:lang w:eastAsia="zh-CN"/>
              </w:rPr>
              <w:t>年产400万片电磁阀智能芯片及2万台高端电磁阀</w:t>
            </w:r>
            <w:r>
              <w:rPr>
                <w:rFonts w:hint="eastAsia" w:ascii="Times New Roman" w:hAnsi="Times New Roman" w:cs="Times New Roman"/>
                <w:color w:val="auto"/>
                <w:sz w:val="24"/>
                <w:szCs w:val="24"/>
                <w:lang w:val="en-US" w:eastAsia="zh-CN"/>
              </w:rPr>
              <w:t>的生产能力</w:t>
            </w:r>
            <w:r>
              <w:rPr>
                <w:rFonts w:hint="eastAsia" w:ascii="Times New Roman" w:cs="Times New Roman"/>
                <w:color w:val="auto"/>
                <w:sz w:val="24"/>
                <w:szCs w:val="24"/>
                <w:lang w:val="en-US" w:eastAsia="zh-CN"/>
              </w:rPr>
              <w:t>，本项目建设性质为新建。</w:t>
            </w:r>
          </w:p>
          <w:p w14:paraId="3A2E380F">
            <w:pPr>
              <w:spacing w:line="360" w:lineRule="auto"/>
              <w:ind w:firstLine="480" w:firstLineChars="200"/>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auto"/>
                <w:sz w:val="24"/>
                <w:szCs w:val="20"/>
                <w:highlight w:val="none"/>
              </w:rPr>
              <w:t>本</w:t>
            </w:r>
            <w:r>
              <w:rPr>
                <w:rFonts w:hint="eastAsia" w:ascii="Times New Roman" w:hAnsi="Times New Roman" w:eastAsia="宋体" w:cs="Times New Roman"/>
                <w:color w:val="auto"/>
                <w:sz w:val="24"/>
                <w:szCs w:val="24"/>
                <w:highlight w:val="none"/>
              </w:rPr>
              <w:t>项目已经</w:t>
            </w:r>
            <w:r>
              <w:rPr>
                <w:rFonts w:hint="eastAsia" w:ascii="宋体" w:hAnsi="宋体" w:eastAsia="宋体" w:cs="宋体"/>
                <w:color w:val="auto"/>
                <w:kern w:val="0"/>
                <w:sz w:val="24"/>
                <w:szCs w:val="24"/>
                <w:highlight w:val="none"/>
                <w:lang w:val="en-US" w:eastAsia="zh-CN"/>
              </w:rPr>
              <w:t>德清县湖州莫干山高新技术产业开发区管理委员会</w:t>
            </w:r>
            <w:r>
              <w:rPr>
                <w:rFonts w:hint="eastAsia" w:ascii="Times New Roman" w:hAnsi="Times New Roman" w:eastAsia="宋体" w:cs="Times New Roman"/>
                <w:color w:val="auto"/>
                <w:sz w:val="24"/>
                <w:szCs w:val="24"/>
                <w:highlight w:val="none"/>
                <w:lang w:val="en-US" w:eastAsia="zh-CN"/>
              </w:rPr>
              <w:t>备案</w:t>
            </w:r>
            <w:r>
              <w:rPr>
                <w:rFonts w:hint="eastAsia" w:ascii="Times New Roman" w:hAnsi="Times New Roman" w:eastAsia="宋体" w:cs="Times New Roman"/>
                <w:color w:val="auto"/>
                <w:sz w:val="24"/>
                <w:szCs w:val="24"/>
                <w:highlight w:val="none"/>
              </w:rPr>
              <w:t>，项目代码：</w:t>
            </w:r>
            <w:r>
              <w:rPr>
                <w:rFonts w:hint="eastAsia" w:ascii="Times New Roman" w:hAnsi="Times New Roman" w:eastAsia="宋体" w:cs="Times New Roman"/>
                <w:color w:val="auto"/>
                <w:sz w:val="24"/>
                <w:szCs w:val="24"/>
                <w:highlight w:val="none"/>
                <w:lang w:val="en-US" w:eastAsia="zh-CN"/>
              </w:rPr>
              <w:t>2110-330521-07-01-301573</w:t>
            </w:r>
            <w:r>
              <w:rPr>
                <w:rFonts w:hint="eastAsia" w:ascii="Times New Roman" w:hAnsi="Times New Roman" w:eastAsia="宋体" w:cs="Times New Roman"/>
                <w:color w:val="auto"/>
                <w:sz w:val="24"/>
                <w:szCs w:val="24"/>
                <w:highlight w:val="none"/>
              </w:rPr>
              <w:t>。</w:t>
            </w:r>
          </w:p>
          <w:p w14:paraId="26F4A3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4"/>
                <w:szCs w:val="24"/>
                <w:lang w:val="en-US" w:eastAsia="zh-CN"/>
              </w:rPr>
              <w:t>2.1.1</w:t>
            </w:r>
            <w:r>
              <w:rPr>
                <w:rFonts w:hint="default" w:ascii="Times New Roman" w:hAnsi="Times New Roman" w:eastAsia="宋体" w:cs="Times New Roman"/>
                <w:b/>
                <w:bCs/>
                <w:color w:val="auto"/>
                <w:sz w:val="24"/>
                <w:szCs w:val="24"/>
                <w:lang w:val="en-US" w:eastAsia="zh-CN"/>
              </w:rPr>
              <w:t>建设项目工程组成</w:t>
            </w:r>
          </w:p>
          <w:p w14:paraId="562CF890">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 xml:space="preserve">2-1 </w:t>
            </w:r>
            <w:r>
              <w:rPr>
                <w:rFonts w:hint="default" w:ascii="Times New Roman" w:hAnsi="Times New Roman" w:eastAsia="宋体" w:cs="Times New Roman"/>
                <w:b/>
                <w:bCs/>
                <w:color w:val="auto"/>
                <w:sz w:val="21"/>
                <w:szCs w:val="21"/>
                <w:highlight w:val="none"/>
                <w:lang w:val="en-US" w:eastAsia="zh-CN"/>
              </w:rPr>
              <w:t xml:space="preserve"> 建设项目工程组成一览表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17"/>
              <w:gridCol w:w="6088"/>
            </w:tblGrid>
            <w:tr w14:paraId="277A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noWrap w:val="0"/>
                  <w:vAlign w:val="center"/>
                </w:tcPr>
                <w:p w14:paraId="6B3047AE">
                  <w:pPr>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类别</w:t>
                  </w:r>
                </w:p>
              </w:tc>
              <w:tc>
                <w:tcPr>
                  <w:tcW w:w="1717" w:type="dxa"/>
                  <w:noWrap w:val="0"/>
                  <w:vAlign w:val="center"/>
                </w:tcPr>
                <w:p w14:paraId="5C089925">
                  <w:pPr>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工程名称</w:t>
                  </w:r>
                </w:p>
              </w:tc>
              <w:tc>
                <w:tcPr>
                  <w:tcW w:w="6088" w:type="dxa"/>
                  <w:noWrap w:val="0"/>
                  <w:vAlign w:val="center"/>
                </w:tcPr>
                <w:p w14:paraId="4C9B562B">
                  <w:pPr>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内容</w:t>
                  </w:r>
                </w:p>
              </w:tc>
            </w:tr>
            <w:tr w14:paraId="13C8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noWrap w:val="0"/>
                  <w:vAlign w:val="center"/>
                </w:tcPr>
                <w:p w14:paraId="21A4DB57">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主体工程</w:t>
                  </w:r>
                </w:p>
              </w:tc>
              <w:tc>
                <w:tcPr>
                  <w:tcW w:w="1717" w:type="dxa"/>
                  <w:noWrap w:val="0"/>
                  <w:vAlign w:val="center"/>
                </w:tcPr>
                <w:p w14:paraId="6D3B9A54">
                  <w:pPr>
                    <w:jc w:val="center"/>
                    <w:rPr>
                      <w:rFonts w:hint="eastAsia" w:ascii="Times New Roman" w:hAnsi="Times New Roman" w:cs="Times New Roman" w:eastAsiaTheme="minorEastAsia"/>
                      <w:bCs/>
                      <w:color w:val="auto"/>
                      <w:sz w:val="21"/>
                      <w:szCs w:val="21"/>
                      <w:lang w:eastAsia="zh-CN"/>
                    </w:rPr>
                  </w:pPr>
                  <w:r>
                    <w:rPr>
                      <w:rFonts w:hint="eastAsia" w:ascii="Times New Roman" w:hAnsi="Times New Roman" w:cs="Times New Roman"/>
                      <w:bCs/>
                      <w:color w:val="auto"/>
                      <w:kern w:val="0"/>
                      <w:sz w:val="21"/>
                      <w:szCs w:val="21"/>
                      <w:lang w:val="en-US" w:eastAsia="zh-CN"/>
                    </w:rPr>
                    <w:t>主体厂房</w:t>
                  </w:r>
                </w:p>
              </w:tc>
              <w:tc>
                <w:tcPr>
                  <w:tcW w:w="6088" w:type="dxa"/>
                  <w:noWrap w:val="0"/>
                  <w:vAlign w:val="center"/>
                </w:tcPr>
                <w:p w14:paraId="6A8A3E4C">
                  <w:pPr>
                    <w:widowControl/>
                    <w:rPr>
                      <w:rFonts w:hint="default" w:ascii="Times New Roman" w:hAnsi="Times New Roman" w:cs="Times New Roman" w:eastAsiaTheme="minorEastAsia"/>
                      <w:color w:val="FF0000"/>
                      <w:sz w:val="21"/>
                      <w:szCs w:val="21"/>
                      <w:highlight w:val="none"/>
                      <w:lang w:val="en-US" w:eastAsia="zh-CN"/>
                    </w:rPr>
                  </w:pPr>
                  <w:r>
                    <w:rPr>
                      <w:rFonts w:hint="eastAsia" w:ascii="Times New Roman" w:hAnsi="Times New Roman" w:cs="Times New Roman"/>
                      <w:color w:val="auto"/>
                      <w:sz w:val="21"/>
                      <w:szCs w:val="21"/>
                      <w:highlight w:val="none"/>
                      <w:lang w:val="en-US" w:eastAsia="zh-CN"/>
                    </w:rPr>
                    <w:t>主要生产区域为2#车间，其中一楼作为塑封、焊接、绕线、插针等生产区域，3楼为刷锡、贴装、测试等生产区域</w:t>
                  </w:r>
                </w:p>
              </w:tc>
            </w:tr>
            <w:tr w14:paraId="5056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noWrap w:val="0"/>
                  <w:vAlign w:val="center"/>
                </w:tcPr>
                <w:p w14:paraId="404964B5">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辅助工程</w:t>
                  </w:r>
                </w:p>
              </w:tc>
              <w:tc>
                <w:tcPr>
                  <w:tcW w:w="1717" w:type="dxa"/>
                  <w:noWrap w:val="0"/>
                  <w:vAlign w:val="center"/>
                </w:tcPr>
                <w:p w14:paraId="6CEE64A3">
                  <w:pPr>
                    <w:widowControl/>
                    <w:ind w:right="57"/>
                    <w:jc w:val="center"/>
                    <w:rPr>
                      <w:rFonts w:hint="default" w:ascii="Times New Roman" w:hAnsi="Times New Roman" w:cs="Times New Roman" w:eastAsiaTheme="minorEastAsia"/>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办公区</w:t>
                  </w:r>
                </w:p>
              </w:tc>
              <w:tc>
                <w:tcPr>
                  <w:tcW w:w="6088" w:type="dxa"/>
                  <w:noWrap w:val="0"/>
                  <w:vAlign w:val="center"/>
                </w:tcPr>
                <w:p w14:paraId="61C2FF93">
                  <w:pPr>
                    <w:pStyle w:val="7"/>
                    <w:ind w:firstLine="0"/>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位于厂区西南侧的1#楼，用于办公及生活辅助用房</w:t>
                  </w:r>
                </w:p>
              </w:tc>
            </w:tr>
            <w:tr w14:paraId="1557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restart"/>
                  <w:noWrap w:val="0"/>
                  <w:vAlign w:val="center"/>
                </w:tcPr>
                <w:p w14:paraId="55438608">
                  <w:pPr>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bCs/>
                      <w:color w:val="auto"/>
                      <w:sz w:val="21"/>
                      <w:szCs w:val="21"/>
                      <w:lang w:eastAsia="zh-CN"/>
                    </w:rPr>
                    <w:t>储运工程</w:t>
                  </w:r>
                </w:p>
              </w:tc>
              <w:tc>
                <w:tcPr>
                  <w:tcW w:w="1717" w:type="dxa"/>
                  <w:noWrap w:val="0"/>
                  <w:vAlign w:val="center"/>
                </w:tcPr>
                <w:p w14:paraId="053D8AFE">
                  <w:pPr>
                    <w:jc w:val="center"/>
                    <w:rPr>
                      <w:rFonts w:hint="default" w:ascii="Times New Roman" w:hAnsi="Times New Roman" w:cs="Times New Roman" w:eastAsiaTheme="minorEastAsia"/>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仓库</w:t>
                  </w:r>
                </w:p>
              </w:tc>
              <w:tc>
                <w:tcPr>
                  <w:tcW w:w="6088" w:type="dxa"/>
                  <w:noWrap w:val="0"/>
                  <w:vAlign w:val="center"/>
                </w:tcPr>
                <w:p w14:paraId="56530D0C">
                  <w:pPr>
                    <w:widowControl/>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车间内划定区域作为原料及产品仓库</w:t>
                  </w:r>
                </w:p>
              </w:tc>
            </w:tr>
            <w:tr w14:paraId="0391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continue"/>
                  <w:noWrap w:val="0"/>
                  <w:vAlign w:val="center"/>
                </w:tcPr>
                <w:p w14:paraId="13FE8582">
                  <w:pPr>
                    <w:jc w:val="center"/>
                    <w:rPr>
                      <w:rFonts w:hint="default" w:ascii="Times New Roman" w:hAnsi="Times New Roman" w:cs="Times New Roman"/>
                      <w:bCs/>
                      <w:color w:val="auto"/>
                      <w:sz w:val="21"/>
                      <w:szCs w:val="21"/>
                      <w:lang w:eastAsia="zh-CN"/>
                    </w:rPr>
                  </w:pPr>
                </w:p>
              </w:tc>
              <w:tc>
                <w:tcPr>
                  <w:tcW w:w="1717" w:type="dxa"/>
                  <w:noWrap w:val="0"/>
                  <w:vAlign w:val="center"/>
                </w:tcPr>
                <w:p w14:paraId="1BC44A20">
                  <w:pPr>
                    <w:jc w:val="center"/>
                    <w:rPr>
                      <w:rFonts w:hint="default" w:ascii="Times New Roman" w:hAnsi="Times New Roman"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运输</w:t>
                  </w:r>
                </w:p>
              </w:tc>
              <w:tc>
                <w:tcPr>
                  <w:tcW w:w="6088" w:type="dxa"/>
                  <w:noWrap w:val="0"/>
                  <w:vAlign w:val="center"/>
                </w:tcPr>
                <w:p w14:paraId="549892B5">
                  <w:pPr>
                    <w:widowControl/>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货物采用货车运输，厂区门口直抵车间</w:t>
                  </w:r>
                </w:p>
              </w:tc>
            </w:tr>
            <w:tr w14:paraId="3039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restart"/>
                  <w:noWrap w:val="0"/>
                  <w:vAlign w:val="center"/>
                </w:tcPr>
                <w:p w14:paraId="1A06FED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717" w:type="dxa"/>
                  <w:noWrap w:val="0"/>
                  <w:vAlign w:val="center"/>
                </w:tcPr>
                <w:p w14:paraId="608BF128">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给水</w:t>
                  </w:r>
                </w:p>
              </w:tc>
              <w:tc>
                <w:tcPr>
                  <w:tcW w:w="6088" w:type="dxa"/>
                  <w:noWrap w:val="0"/>
                  <w:vAlign w:val="center"/>
                </w:tcPr>
                <w:p w14:paraId="2DA37651">
                  <w:pPr>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由德清县水务公司供应，年用水量为</w:t>
                  </w:r>
                  <w:r>
                    <w:rPr>
                      <w:rFonts w:hint="eastAsia" w:ascii="Times New Roman" w:hAnsi="Times New Roman" w:cs="Times New Roman"/>
                      <w:color w:val="auto"/>
                      <w:sz w:val="21"/>
                      <w:szCs w:val="21"/>
                      <w:lang w:val="en-US" w:eastAsia="zh-CN"/>
                    </w:rPr>
                    <w:t>2120</w:t>
                  </w:r>
                  <w:r>
                    <w:rPr>
                      <w:rFonts w:hint="default" w:ascii="Times New Roman" w:hAnsi="Times New Roman" w:cs="Times New Roman"/>
                      <w:color w:val="auto"/>
                      <w:sz w:val="21"/>
                      <w:szCs w:val="21"/>
                    </w:rPr>
                    <w:t>t</w:t>
                  </w:r>
                </w:p>
              </w:tc>
            </w:tr>
            <w:tr w14:paraId="2C76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continue"/>
                  <w:noWrap w:val="0"/>
                  <w:vAlign w:val="center"/>
                </w:tcPr>
                <w:p w14:paraId="70B583FD">
                  <w:pPr>
                    <w:jc w:val="center"/>
                    <w:rPr>
                      <w:rFonts w:hint="default" w:ascii="Times New Roman" w:hAnsi="Times New Roman" w:cs="Times New Roman"/>
                      <w:color w:val="auto"/>
                      <w:sz w:val="21"/>
                      <w:szCs w:val="21"/>
                    </w:rPr>
                  </w:pPr>
                </w:p>
              </w:tc>
              <w:tc>
                <w:tcPr>
                  <w:tcW w:w="1717" w:type="dxa"/>
                  <w:noWrap w:val="0"/>
                  <w:vAlign w:val="center"/>
                </w:tcPr>
                <w:p w14:paraId="1A5223F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6088" w:type="dxa"/>
                  <w:noWrap w:val="0"/>
                  <w:vAlign w:val="center"/>
                </w:tcPr>
                <w:p w14:paraId="381638F6">
                  <w:pPr>
                    <w:rPr>
                      <w:rFonts w:hint="default" w:ascii="Times New Roman" w:hAnsi="Times New Roman" w:cs="Times New Roman"/>
                      <w:color w:val="auto"/>
                      <w:sz w:val="21"/>
                      <w:szCs w:val="21"/>
                    </w:rPr>
                  </w:pPr>
                  <w:r>
                    <w:rPr>
                      <w:rFonts w:hint="eastAsia" w:ascii="Times New Roman" w:hAnsi="Times New Roman"/>
                      <w:color w:val="auto"/>
                      <w:sz w:val="21"/>
                      <w:szCs w:val="21"/>
                      <w:highlight w:val="none"/>
                      <w:lang w:val="en-US" w:eastAsia="zh-CN"/>
                    </w:rPr>
                    <w:t>本项目所在厂区设置</w:t>
                  </w:r>
                  <w:r>
                    <w:rPr>
                      <w:rFonts w:ascii="Times New Roman" w:hAnsi="Times New Roman"/>
                      <w:color w:val="auto"/>
                      <w:sz w:val="21"/>
                      <w:szCs w:val="21"/>
                      <w:highlight w:val="none"/>
                    </w:rPr>
                    <w:t>雨污分流</w:t>
                  </w:r>
                  <w:r>
                    <w:rPr>
                      <w:rFonts w:hint="eastAsia" w:ascii="Times New Roman" w:hAnsi="Times New Roman"/>
                      <w:color w:val="auto"/>
                      <w:sz w:val="21"/>
                      <w:szCs w:val="21"/>
                      <w:highlight w:val="none"/>
                    </w:rPr>
                    <w:t>。</w:t>
                  </w:r>
                  <w:r>
                    <w:rPr>
                      <w:rFonts w:hint="eastAsia" w:ascii="Times New Roman" w:hAnsi="Times New Roman"/>
                      <w:bCs/>
                      <w:color w:val="auto"/>
                      <w:sz w:val="21"/>
                      <w:szCs w:val="21"/>
                      <w:highlight w:val="none"/>
                    </w:rPr>
                    <w:t>生活污水</w:t>
                  </w:r>
                  <w:r>
                    <w:rPr>
                      <w:rFonts w:hint="eastAsia" w:ascii="Times New Roman" w:hAnsi="Times New Roman"/>
                      <w:bCs/>
                      <w:color w:val="auto"/>
                      <w:sz w:val="21"/>
                      <w:szCs w:val="21"/>
                      <w:highlight w:val="none"/>
                      <w:lang w:val="en-US" w:eastAsia="zh-CN"/>
                    </w:rPr>
                    <w:t>经隔油池、化粪池预处理后</w:t>
                  </w:r>
                  <w:r>
                    <w:rPr>
                      <w:rFonts w:hint="eastAsia" w:ascii="Times New Roman" w:hAnsi="Times New Roman"/>
                      <w:color w:val="auto"/>
                      <w:sz w:val="21"/>
                      <w:szCs w:val="21"/>
                      <w:highlight w:val="none"/>
                    </w:rPr>
                    <w:t>纳管至德清县恒丰污水处理有限公司及湖州碧水源环境科技有限公司</w:t>
                  </w:r>
                  <w:r>
                    <w:rPr>
                      <w:rFonts w:ascii="Times New Roman" w:hAnsi="Times New Roman"/>
                      <w:color w:val="auto"/>
                      <w:sz w:val="21"/>
                      <w:szCs w:val="21"/>
                      <w:highlight w:val="none"/>
                    </w:rPr>
                    <w:t>集中处理；雨水经厂区内雨水管网排入市政雨水管网</w:t>
                  </w:r>
                </w:p>
              </w:tc>
            </w:tr>
            <w:tr w14:paraId="0FDB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continue"/>
                  <w:noWrap w:val="0"/>
                  <w:vAlign w:val="center"/>
                </w:tcPr>
                <w:p w14:paraId="055C61ED">
                  <w:pPr>
                    <w:jc w:val="center"/>
                    <w:rPr>
                      <w:rFonts w:hint="default" w:ascii="Times New Roman" w:hAnsi="Times New Roman" w:cs="Times New Roman"/>
                      <w:b/>
                      <w:color w:val="auto"/>
                      <w:sz w:val="21"/>
                      <w:szCs w:val="21"/>
                    </w:rPr>
                  </w:pPr>
                </w:p>
              </w:tc>
              <w:tc>
                <w:tcPr>
                  <w:tcW w:w="1717" w:type="dxa"/>
                  <w:noWrap w:val="0"/>
                  <w:vAlign w:val="center"/>
                </w:tcPr>
                <w:p w14:paraId="7F07468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6088" w:type="dxa"/>
                  <w:noWrap w:val="0"/>
                  <w:vAlign w:val="center"/>
                </w:tcPr>
                <w:p w14:paraId="235984AE">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由国网德清供电公司供应，</w:t>
                  </w:r>
                  <w:r>
                    <w:rPr>
                      <w:rFonts w:hint="default" w:ascii="Times New Roman" w:hAnsi="Times New Roman" w:cs="Times New Roman"/>
                      <w:color w:val="auto"/>
                      <w:sz w:val="21"/>
                      <w:szCs w:val="21"/>
                      <w:highlight w:val="none"/>
                    </w:rPr>
                    <w:t>年用电量</w:t>
                  </w:r>
                  <w:r>
                    <w:rPr>
                      <w:rFonts w:hint="eastAsia" w:ascii="Times New Roman" w:hAnsi="Times New Roman" w:cs="Times New Roman"/>
                      <w:color w:val="auto"/>
                      <w:sz w:val="21"/>
                      <w:szCs w:val="21"/>
                      <w:highlight w:val="none"/>
                      <w:lang w:val="en-US" w:eastAsia="zh-CN"/>
                    </w:rPr>
                    <w:t>50</w:t>
                  </w:r>
                  <w:r>
                    <w:rPr>
                      <w:rFonts w:hint="default" w:ascii="Times New Roman" w:hAnsi="Times New Roman" w:cs="Times New Roman"/>
                      <w:color w:val="auto"/>
                      <w:sz w:val="21"/>
                      <w:szCs w:val="21"/>
                      <w:highlight w:val="none"/>
                    </w:rPr>
                    <w:t>万kwh</w:t>
                  </w:r>
                </w:p>
              </w:tc>
            </w:tr>
            <w:tr w14:paraId="5726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restart"/>
                  <w:noWrap w:val="0"/>
                  <w:vAlign w:val="center"/>
                </w:tcPr>
                <w:p w14:paraId="6B7B3715">
                  <w:pPr>
                    <w:jc w:val="center"/>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环保工程</w:t>
                  </w:r>
                </w:p>
              </w:tc>
              <w:tc>
                <w:tcPr>
                  <w:tcW w:w="1717" w:type="dxa"/>
                  <w:noWrap w:val="0"/>
                  <w:vAlign w:val="center"/>
                </w:tcPr>
                <w:p w14:paraId="5F2B8B4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废气处理</w:t>
                  </w:r>
                </w:p>
              </w:tc>
              <w:tc>
                <w:tcPr>
                  <w:tcW w:w="6088" w:type="dxa"/>
                  <w:noWrap w:val="0"/>
                  <w:vAlign w:val="center"/>
                </w:tcPr>
                <w:p w14:paraId="291F6ABC">
                  <w:pPr>
                    <w:pStyle w:val="7"/>
                    <w:ind w:left="0" w:leftChars="0" w:firstLine="0" w:firstLineChars="0"/>
                    <w:rPr>
                      <w:rFonts w:hint="eastAsia" w:ascii="Times New Roman" w:hAnsi="Times New Roman" w:eastAsia="宋体" w:cs="Times New Roman"/>
                      <w:color w:val="FF0000"/>
                      <w:sz w:val="21"/>
                      <w:szCs w:val="21"/>
                      <w:lang w:val="en-US" w:eastAsia="zh-CN"/>
                    </w:rPr>
                  </w:pPr>
                  <w:r>
                    <w:rPr>
                      <w:rFonts w:hint="eastAsia" w:ascii="Times New Roman" w:hAnsi="Times New Roman" w:cs="Times New Roman"/>
                      <w:color w:val="auto"/>
                      <w:sz w:val="21"/>
                      <w:szCs w:val="21"/>
                      <w:lang w:val="en-US" w:eastAsia="zh-CN"/>
                    </w:rPr>
                    <w:t>焊锡废气、清洗废气：每个焊锡工位及超声波清洗机上方均设置一个吸风罩，废气经收集后通过过滤棉+活性炭吸附装置处理，尾气通过不低于15m排气筒（DA001）排放</w:t>
                  </w:r>
                </w:p>
                <w:p w14:paraId="66B97D7B">
                  <w:pPr>
                    <w:rPr>
                      <w:rFonts w:hint="eastAsia" w:ascii="Times New Roman" w:hAnsi="Times New Roman" w:eastAsia="宋体" w:cs="Times New Roman"/>
                      <w:color w:val="FF0000"/>
                      <w:sz w:val="21"/>
                      <w:szCs w:val="21"/>
                      <w:lang w:val="en-US" w:eastAsia="zh-CN"/>
                    </w:rPr>
                  </w:pPr>
                  <w:r>
                    <w:rPr>
                      <w:rFonts w:hint="eastAsia" w:ascii="Times New Roman" w:hAnsi="Times New Roman" w:cs="Times New Roman"/>
                      <w:color w:val="auto"/>
                      <w:sz w:val="21"/>
                      <w:szCs w:val="21"/>
                      <w:lang w:val="en-US" w:eastAsia="zh-CN"/>
                    </w:rPr>
                    <w:t>塑封废气：企业设置单独密闭车间，对车间采用整体微负压换风形式，废气收集后通过一套活性炭吸附装置处理，尾气通过一根不低于15m排气筒（DA002）排放</w:t>
                  </w:r>
                </w:p>
                <w:p w14:paraId="6BC0D5E4">
                  <w:pPr>
                    <w:pStyle w:val="7"/>
                    <w:ind w:left="0" w:leftChars="0" w:firstLine="0" w:firstLineChars="0"/>
                    <w:rPr>
                      <w:rFonts w:hint="default"/>
                      <w:color w:val="FF0000"/>
                      <w:sz w:val="21"/>
                      <w:szCs w:val="21"/>
                      <w:lang w:val="en-US" w:eastAsia="zh-CN"/>
                    </w:rPr>
                  </w:pPr>
                  <w:r>
                    <w:rPr>
                      <w:rFonts w:hint="eastAsia" w:ascii="Times New Roman" w:hAnsi="Times New Roman" w:cs="Times New Roman"/>
                      <w:color w:val="auto"/>
                      <w:sz w:val="21"/>
                      <w:szCs w:val="21"/>
                      <w:lang w:val="en-US" w:eastAsia="zh-CN"/>
                    </w:rPr>
                    <w:t>食堂油烟废气：经油烟净化器处理后于屋顶排放</w:t>
                  </w:r>
                </w:p>
              </w:tc>
            </w:tr>
            <w:tr w14:paraId="4EEC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continue"/>
                  <w:noWrap w:val="0"/>
                  <w:vAlign w:val="center"/>
                </w:tcPr>
                <w:p w14:paraId="1B9254CF">
                  <w:pPr>
                    <w:jc w:val="center"/>
                    <w:rPr>
                      <w:rFonts w:hint="default" w:ascii="Times New Roman" w:hAnsi="Times New Roman" w:cs="Times New Roman"/>
                      <w:color w:val="FF0000"/>
                      <w:sz w:val="21"/>
                      <w:szCs w:val="21"/>
                    </w:rPr>
                  </w:pPr>
                </w:p>
              </w:tc>
              <w:tc>
                <w:tcPr>
                  <w:tcW w:w="1717" w:type="dxa"/>
                  <w:noWrap w:val="0"/>
                  <w:vAlign w:val="center"/>
                </w:tcPr>
                <w:p w14:paraId="09958BF9">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废水处理</w:t>
                  </w:r>
                </w:p>
              </w:tc>
              <w:tc>
                <w:tcPr>
                  <w:tcW w:w="6088" w:type="dxa"/>
                  <w:noWrap w:val="0"/>
                  <w:vAlign w:val="center"/>
                </w:tcPr>
                <w:p w14:paraId="32BE5421">
                  <w:pPr>
                    <w:rPr>
                      <w:rFonts w:hint="eastAsia" w:ascii="Times New Roman" w:hAnsi="Times New Roman" w:eastAsia="宋体" w:cs="Times New Roman"/>
                      <w:color w:val="FF0000"/>
                      <w:sz w:val="21"/>
                      <w:szCs w:val="21"/>
                      <w:lang w:eastAsia="zh-CN"/>
                    </w:rPr>
                  </w:pPr>
                  <w:r>
                    <w:rPr>
                      <w:rFonts w:hint="default" w:ascii="Times New Roman" w:hAnsi="Times New Roman" w:cs="Times New Roman"/>
                      <w:color w:val="auto"/>
                      <w:sz w:val="21"/>
                      <w:szCs w:val="21"/>
                    </w:rPr>
                    <w:t>生活污水：生活污水经</w:t>
                  </w:r>
                  <w:r>
                    <w:rPr>
                      <w:rFonts w:hint="default" w:ascii="Times New Roman" w:hAnsi="Times New Roman" w:cs="Times New Roman"/>
                      <w:color w:val="auto"/>
                      <w:sz w:val="21"/>
                      <w:szCs w:val="21"/>
                      <w:lang w:val="en-US" w:eastAsia="zh-CN"/>
                    </w:rPr>
                    <w:t>隔油池、化粪池预处理后</w:t>
                  </w:r>
                  <w:r>
                    <w:rPr>
                      <w:rFonts w:hint="default" w:ascii="Times New Roman" w:hAnsi="Times New Roman" w:cs="Times New Roman"/>
                      <w:color w:val="auto"/>
                      <w:sz w:val="21"/>
                      <w:szCs w:val="21"/>
                    </w:rPr>
                    <w:t>，纳管排入</w:t>
                  </w:r>
                  <w:r>
                    <w:rPr>
                      <w:rFonts w:hint="default" w:ascii="Times New Roman" w:hAnsi="Times New Roman" w:cs="Times New Roman"/>
                      <w:color w:val="auto"/>
                      <w:sz w:val="21"/>
                      <w:szCs w:val="21"/>
                      <w:lang w:val="en-US" w:eastAsia="zh-CN"/>
                    </w:rPr>
                    <w:t>德清县恒丰污水处理有限公司及湖州碧水源环境科技有限公司</w:t>
                  </w:r>
                  <w:r>
                    <w:rPr>
                      <w:rFonts w:hint="default" w:ascii="Times New Roman" w:hAnsi="Times New Roman" w:cs="Times New Roman"/>
                      <w:color w:val="auto"/>
                      <w:sz w:val="21"/>
                      <w:szCs w:val="21"/>
                    </w:rPr>
                    <w:t>集中处理，达标排放</w:t>
                  </w:r>
                </w:p>
                <w:p w14:paraId="225B7479">
                  <w:pPr>
                    <w:pStyle w:val="7"/>
                    <w:ind w:left="0" w:leftChars="0" w:firstLine="0" w:firstLineChars="0"/>
                    <w:rPr>
                      <w:rFonts w:hint="default"/>
                      <w:color w:val="FF0000"/>
                      <w:sz w:val="21"/>
                      <w:szCs w:val="21"/>
                      <w:lang w:val="en-US" w:eastAsia="zh-CN"/>
                    </w:rPr>
                  </w:pPr>
                  <w:r>
                    <w:rPr>
                      <w:rFonts w:hint="eastAsia"/>
                      <w:color w:val="auto"/>
                      <w:sz w:val="21"/>
                      <w:szCs w:val="21"/>
                      <w:lang w:val="en-US" w:eastAsia="zh-CN"/>
                    </w:rPr>
                    <w:t>冷却水：</w:t>
                  </w:r>
                  <w:r>
                    <w:rPr>
                      <w:rFonts w:hint="eastAsia" w:ascii="Times New Roman" w:hAnsi="Times New Roman" w:eastAsia="宋体" w:cs="Times New Roman"/>
                      <w:color w:val="auto"/>
                      <w:sz w:val="21"/>
                      <w:szCs w:val="21"/>
                      <w:lang w:val="en-US" w:eastAsia="zh-CN"/>
                    </w:rPr>
                    <w:t>循环使用不排放，定期补充损耗即可</w:t>
                  </w:r>
                </w:p>
              </w:tc>
            </w:tr>
            <w:tr w14:paraId="5F90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continue"/>
                  <w:noWrap w:val="0"/>
                  <w:vAlign w:val="top"/>
                </w:tcPr>
                <w:p w14:paraId="2A648818">
                  <w:pPr>
                    <w:jc w:val="center"/>
                    <w:rPr>
                      <w:rFonts w:hint="default" w:ascii="Times New Roman" w:hAnsi="Times New Roman" w:cs="Times New Roman"/>
                      <w:color w:val="FF0000"/>
                      <w:sz w:val="21"/>
                      <w:szCs w:val="21"/>
                    </w:rPr>
                  </w:pPr>
                </w:p>
              </w:tc>
              <w:tc>
                <w:tcPr>
                  <w:tcW w:w="1717" w:type="dxa"/>
                  <w:noWrap w:val="0"/>
                  <w:vAlign w:val="center"/>
                </w:tcPr>
                <w:p w14:paraId="1D0B5087">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固废处置</w:t>
                  </w:r>
                </w:p>
              </w:tc>
              <w:tc>
                <w:tcPr>
                  <w:tcW w:w="6088" w:type="dxa"/>
                  <w:noWrap w:val="0"/>
                  <w:vAlign w:val="center"/>
                </w:tcPr>
                <w:p w14:paraId="46C57916">
                  <w:pPr>
                    <w:pStyle w:val="35"/>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危废仓库：</w:t>
                  </w:r>
                  <w:r>
                    <w:rPr>
                      <w:rFonts w:hint="default" w:ascii="Times New Roman" w:hAnsi="Times New Roman" w:cs="Times New Roman"/>
                      <w:color w:val="auto"/>
                      <w:sz w:val="21"/>
                      <w:szCs w:val="21"/>
                    </w:rPr>
                    <w:t>面积约</w:t>
                  </w:r>
                  <w:r>
                    <w:rPr>
                      <w:rFonts w:hint="eastAsia" w:ascii="Times New Roman" w:cs="Times New Roman"/>
                      <w:color w:val="auto"/>
                      <w:sz w:val="21"/>
                      <w:szCs w:val="21"/>
                      <w:lang w:val="en-US" w:eastAsia="zh-CN"/>
                    </w:rPr>
                    <w:t>20</w:t>
                  </w:r>
                  <w:r>
                    <w:rPr>
                      <w:rFonts w:hint="default" w:ascii="Times New Roman" w:hAnsi="Times New Roman" w:cs="Times New Roman"/>
                      <w:bCs/>
                      <w:color w:val="auto"/>
                      <w:kern w:val="0"/>
                      <w:sz w:val="21"/>
                      <w:szCs w:val="21"/>
                    </w:rPr>
                    <w:t>m</w:t>
                  </w:r>
                  <w:r>
                    <w:rPr>
                      <w:rFonts w:hint="default" w:ascii="Times New Roman" w:hAnsi="Times New Roman" w:cs="Times New Roman"/>
                      <w:bCs/>
                      <w:color w:val="auto"/>
                      <w:kern w:val="0"/>
                      <w:sz w:val="21"/>
                      <w:szCs w:val="21"/>
                      <w:vertAlign w:val="superscript"/>
                    </w:rPr>
                    <w:t>2</w:t>
                  </w:r>
                  <w:r>
                    <w:rPr>
                      <w:rFonts w:hint="default" w:ascii="Times New Roman" w:hAnsi="Times New Roman" w:cs="Times New Roman"/>
                      <w:color w:val="auto"/>
                      <w:sz w:val="21"/>
                      <w:szCs w:val="21"/>
                    </w:rPr>
                    <w:t>，位于</w:t>
                  </w:r>
                  <w:r>
                    <w:rPr>
                      <w:rFonts w:hint="default" w:ascii="Times New Roman" w:hAnsi="Times New Roman" w:cs="Times New Roman"/>
                      <w:color w:val="auto"/>
                      <w:sz w:val="21"/>
                      <w:szCs w:val="21"/>
                      <w:lang w:val="en-US" w:eastAsia="zh-CN"/>
                    </w:rPr>
                    <w:t>2#车间1楼东侧</w:t>
                  </w:r>
                </w:p>
                <w:p w14:paraId="49B41967">
                  <w:pPr>
                    <w:pStyle w:val="35"/>
                    <w:jc w:val="left"/>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eastAsia="zh-CN"/>
                    </w:rPr>
                    <w:t>一般固废仓库：</w:t>
                  </w:r>
                  <w:r>
                    <w:rPr>
                      <w:rFonts w:hint="eastAsia" w:ascii="Times New Roman" w:cs="Times New Roman"/>
                      <w:color w:val="auto"/>
                      <w:sz w:val="21"/>
                      <w:szCs w:val="21"/>
                      <w:lang w:val="en-US" w:eastAsia="zh-CN"/>
                    </w:rPr>
                    <w:t>车间内划线区域</w:t>
                  </w:r>
                </w:p>
              </w:tc>
            </w:tr>
            <w:tr w14:paraId="0F6F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continue"/>
                  <w:noWrap w:val="0"/>
                  <w:vAlign w:val="top"/>
                </w:tcPr>
                <w:p w14:paraId="04333919">
                  <w:pPr>
                    <w:jc w:val="center"/>
                    <w:rPr>
                      <w:rFonts w:hint="default" w:ascii="Times New Roman" w:hAnsi="Times New Roman" w:cs="Times New Roman"/>
                      <w:color w:val="FF0000"/>
                      <w:sz w:val="21"/>
                      <w:szCs w:val="21"/>
                    </w:rPr>
                  </w:pPr>
                </w:p>
              </w:tc>
              <w:tc>
                <w:tcPr>
                  <w:tcW w:w="1717" w:type="dxa"/>
                  <w:noWrap w:val="0"/>
                  <w:vAlign w:val="center"/>
                </w:tcPr>
                <w:p w14:paraId="7D6CEC1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噪声防治</w:t>
                  </w:r>
                </w:p>
              </w:tc>
              <w:tc>
                <w:tcPr>
                  <w:tcW w:w="6088" w:type="dxa"/>
                  <w:noWrap w:val="0"/>
                  <w:vAlign w:val="center"/>
                </w:tcPr>
                <w:p w14:paraId="364ED357">
                  <w:pPr>
                    <w:pStyle w:val="1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合理布置设备位置，选用噪声低、振动小的设备；安装隔声门窗。</w:t>
                  </w:r>
                </w:p>
              </w:tc>
            </w:tr>
            <w:tr w14:paraId="5E1E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continue"/>
                  <w:noWrap w:val="0"/>
                  <w:vAlign w:val="top"/>
                </w:tcPr>
                <w:p w14:paraId="266F602F">
                  <w:pPr>
                    <w:jc w:val="center"/>
                    <w:rPr>
                      <w:rFonts w:hint="default" w:ascii="Times New Roman" w:hAnsi="Times New Roman" w:cs="Times New Roman"/>
                      <w:color w:val="FF0000"/>
                      <w:sz w:val="21"/>
                      <w:szCs w:val="21"/>
                    </w:rPr>
                  </w:pPr>
                </w:p>
              </w:tc>
              <w:tc>
                <w:tcPr>
                  <w:tcW w:w="1717" w:type="dxa"/>
                  <w:noWrap w:val="0"/>
                  <w:vAlign w:val="center"/>
                </w:tcPr>
                <w:p w14:paraId="0561759A">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环境风险</w:t>
                  </w:r>
                </w:p>
              </w:tc>
              <w:tc>
                <w:tcPr>
                  <w:tcW w:w="6088" w:type="dxa"/>
                  <w:noWrap w:val="0"/>
                  <w:vAlign w:val="center"/>
                </w:tcPr>
                <w:p w14:paraId="74BE3EDE">
                  <w:pPr>
                    <w:pStyle w:val="1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将配备相应防范措施；并加强危险废物暂存间的收集和防渗措施。</w:t>
                  </w:r>
                </w:p>
              </w:tc>
            </w:tr>
            <w:tr w14:paraId="258A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noWrap w:val="0"/>
                  <w:vAlign w:val="top"/>
                </w:tcPr>
                <w:p w14:paraId="1FF31D57">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依托工程</w:t>
                  </w:r>
                </w:p>
              </w:tc>
              <w:tc>
                <w:tcPr>
                  <w:tcW w:w="7805" w:type="dxa"/>
                  <w:gridSpan w:val="2"/>
                  <w:noWrap w:val="0"/>
                  <w:vAlign w:val="center"/>
                </w:tcPr>
                <w:p w14:paraId="10E5C89D">
                  <w:pPr>
                    <w:pStyle w:val="13"/>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当地污水管网</w:t>
                  </w:r>
                </w:p>
              </w:tc>
            </w:tr>
          </w:tbl>
          <w:p w14:paraId="0B7ABBB4">
            <w:pPr>
              <w:keepNext w:val="0"/>
              <w:keepLines w:val="0"/>
              <w:pageBreakBefore w:val="0"/>
              <w:widowControl w:val="0"/>
              <w:kinsoku/>
              <w:wordWrap/>
              <w:overflowPunct/>
              <w:topLinePunct w:val="0"/>
              <w:autoSpaceDE/>
              <w:autoSpaceDN/>
              <w:bidi w:val="0"/>
              <w:adjustRightInd/>
              <w:snapToGrid/>
              <w:spacing w:line="500" w:lineRule="exact"/>
              <w:textAlignment w:val="center"/>
              <w:outlineLvl w:val="9"/>
              <w:rPr>
                <w:rFonts w:hint="default" w:ascii="Times New Roman" w:hAnsi="Times New Roman" w:eastAsia="宋体" w:cs="Times New Roman"/>
                <w:b/>
                <w:color w:val="FF0000"/>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2.1.2</w:t>
            </w:r>
            <w:r>
              <w:rPr>
                <w:rFonts w:hint="default" w:ascii="Times New Roman" w:hAnsi="Times New Roman" w:eastAsia="宋体" w:cs="Times New Roman"/>
                <w:b/>
                <w:color w:val="auto"/>
                <w:sz w:val="24"/>
                <w:szCs w:val="24"/>
                <w:highlight w:val="none"/>
                <w:lang w:val="en-US" w:eastAsia="zh-CN"/>
              </w:rPr>
              <w:t>产品方案</w:t>
            </w:r>
          </w:p>
          <w:p w14:paraId="590DD00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113" w:rightChars="0" w:firstLine="480" w:firstLineChars="200"/>
              <w:jc w:val="both"/>
              <w:textAlignment w:val="center"/>
              <w:outlineLvl w:val="9"/>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eastAsia="zh-CN"/>
              </w:rPr>
              <w:t>本项目产品方案详见表</w:t>
            </w:r>
            <w:r>
              <w:rPr>
                <w:rFonts w:hint="eastAsia" w:ascii="Times New Roman" w:hAnsi="Times New Roman" w:eastAsia="宋体" w:cs="Times New Roman"/>
                <w:b w:val="0"/>
                <w:bCs/>
                <w:color w:val="auto"/>
                <w:sz w:val="24"/>
                <w:szCs w:val="24"/>
                <w:highlight w:val="none"/>
                <w:lang w:val="en-US" w:eastAsia="zh-CN"/>
              </w:rPr>
              <w:t>2-2</w:t>
            </w:r>
            <w:r>
              <w:rPr>
                <w:rFonts w:hint="default" w:ascii="Times New Roman" w:hAnsi="Times New Roman" w:eastAsia="宋体" w:cs="Times New Roman"/>
                <w:b w:val="0"/>
                <w:bCs/>
                <w:color w:val="auto"/>
                <w:sz w:val="24"/>
                <w:szCs w:val="24"/>
                <w:highlight w:val="none"/>
                <w:lang w:val="en-US" w:eastAsia="zh-CN"/>
              </w:rPr>
              <w:t>。</w:t>
            </w:r>
          </w:p>
          <w:p w14:paraId="7E3BF5CD">
            <w:pPr>
              <w:pStyle w:val="3"/>
              <w:keepNext/>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center"/>
              <w:outlineLvl w:val="1"/>
              <w:rPr>
                <w:rFonts w:hint="default" w:ascii="Times New Roman" w:hAnsi="Times New Roman" w:eastAsia="宋体" w:cs="Times New Roman"/>
                <w:b/>
                <w:bCs/>
                <w:color w:val="FF0000"/>
                <w:sz w:val="21"/>
                <w:szCs w:val="21"/>
                <w:highlight w:val="none"/>
                <w:lang w:val="en-US" w:eastAsia="zh-CN"/>
              </w:rPr>
            </w:pPr>
            <w:bookmarkStart w:id="3" w:name="_Toc9978"/>
            <w:bookmarkStart w:id="4" w:name="_Toc15268"/>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cs="Times New Roman"/>
                <w:b/>
                <w:bCs/>
                <w:color w:val="auto"/>
                <w:sz w:val="21"/>
                <w:szCs w:val="21"/>
                <w:highlight w:val="none"/>
                <w:lang w:val="en-US" w:eastAsia="zh-CN"/>
              </w:rPr>
              <w:t>2-2</w:t>
            </w:r>
            <w:r>
              <w:rPr>
                <w:rFonts w:hint="default" w:ascii="Times New Roman" w:hAnsi="Times New Roman" w:eastAsia="宋体" w:cs="Times New Roman"/>
                <w:b/>
                <w:bCs/>
                <w:color w:val="auto"/>
                <w:sz w:val="21"/>
                <w:szCs w:val="21"/>
                <w:highlight w:val="none"/>
                <w:lang w:val="en-US" w:eastAsia="zh-CN"/>
              </w:rPr>
              <w:t xml:space="preserve">  建设项目主体工程及产品方案一览表</w:t>
            </w:r>
            <w:bookmarkEnd w:id="3"/>
            <w:bookmarkEnd w:id="4"/>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715"/>
              <w:gridCol w:w="1024"/>
              <w:gridCol w:w="1370"/>
              <w:gridCol w:w="1534"/>
              <w:gridCol w:w="1217"/>
            </w:tblGrid>
            <w:tr w14:paraId="2561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noWrap w:val="0"/>
                  <w:vAlign w:val="center"/>
                </w:tcPr>
                <w:p w14:paraId="1EB89F75">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2715" w:type="dxa"/>
                  <w:noWrap w:val="0"/>
                  <w:vAlign w:val="center"/>
                </w:tcPr>
                <w:p w14:paraId="42741785">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工程名称（车间、生产装置或生产线）</w:t>
                  </w:r>
                </w:p>
              </w:tc>
              <w:tc>
                <w:tcPr>
                  <w:tcW w:w="2394" w:type="dxa"/>
                  <w:gridSpan w:val="2"/>
                  <w:noWrap w:val="0"/>
                  <w:vAlign w:val="center"/>
                </w:tcPr>
                <w:p w14:paraId="5AF0947A">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产品名称</w:t>
                  </w:r>
                </w:p>
              </w:tc>
              <w:tc>
                <w:tcPr>
                  <w:tcW w:w="1534" w:type="dxa"/>
                  <w:noWrap w:val="0"/>
                  <w:vAlign w:val="center"/>
                </w:tcPr>
                <w:p w14:paraId="49F51199">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设计年生产能力</w:t>
                  </w:r>
                </w:p>
              </w:tc>
              <w:tc>
                <w:tcPr>
                  <w:tcW w:w="1217" w:type="dxa"/>
                  <w:noWrap w:val="0"/>
                  <w:vAlign w:val="center"/>
                </w:tcPr>
                <w:p w14:paraId="294E70DB">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年运行时</w:t>
                  </w:r>
                  <w:r>
                    <w:rPr>
                      <w:rFonts w:hint="default" w:ascii="Times New Roman" w:hAnsi="Times New Roman" w:cs="Times New Roman"/>
                      <w:b/>
                      <w:color w:val="auto"/>
                      <w:szCs w:val="21"/>
                      <w:highlight w:val="none"/>
                    </w:rPr>
                    <w:cr/>
                  </w:r>
                  <w:r>
                    <w:rPr>
                      <w:rFonts w:hint="default" w:ascii="Times New Roman" w:hAnsi="Times New Roman" w:cs="Times New Roman"/>
                      <w:b/>
                      <w:color w:val="auto"/>
                      <w:szCs w:val="21"/>
                      <w:highlight w:val="none"/>
                    </w:rPr>
                    <w:t>间</w:t>
                  </w:r>
                </w:p>
              </w:tc>
            </w:tr>
            <w:tr w14:paraId="31D8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4" w:type="dxa"/>
                  <w:vMerge w:val="restart"/>
                  <w:noWrap w:val="0"/>
                  <w:vAlign w:val="center"/>
                </w:tcPr>
                <w:p w14:paraId="6AA1E98B">
                  <w:pPr>
                    <w:jc w:val="center"/>
                    <w:rPr>
                      <w:rFonts w:hint="eastAsia" w:ascii="Times New Roman" w:hAnsi="Times New Roman" w:cs="Times New Roman" w:eastAsiaTheme="minorEastAsia"/>
                      <w:color w:val="FF0000"/>
                      <w:szCs w:val="21"/>
                      <w:highlight w:val="none"/>
                      <w:lang w:val="en-US" w:eastAsia="zh-CN"/>
                    </w:rPr>
                  </w:pPr>
                  <w:r>
                    <w:rPr>
                      <w:rFonts w:hint="eastAsia" w:ascii="Times New Roman" w:hAnsi="Times New Roman" w:cs="Times New Roman"/>
                      <w:color w:val="auto"/>
                      <w:szCs w:val="21"/>
                      <w:highlight w:val="none"/>
                      <w:lang w:val="en-US" w:eastAsia="zh-CN"/>
                    </w:rPr>
                    <w:t>1</w:t>
                  </w:r>
                </w:p>
              </w:tc>
              <w:tc>
                <w:tcPr>
                  <w:tcW w:w="2715" w:type="dxa"/>
                  <w:vMerge w:val="restart"/>
                  <w:noWrap w:val="0"/>
                  <w:vAlign w:val="center"/>
                </w:tcPr>
                <w:p w14:paraId="39018F50">
                  <w:pPr>
                    <w:jc w:val="center"/>
                    <w:rPr>
                      <w:rFonts w:hint="default" w:ascii="Times New Roman" w:hAnsi="Times New Roman" w:cs="Times New Roman"/>
                      <w:bCs/>
                      <w:color w:val="FF0000"/>
                      <w:kern w:val="0"/>
                      <w:szCs w:val="21"/>
                      <w:highlight w:val="none"/>
                    </w:rPr>
                  </w:pPr>
                  <w:r>
                    <w:rPr>
                      <w:rFonts w:hint="eastAsia" w:ascii="Times New Roman" w:hAnsi="Times New Roman" w:cs="Times New Roman"/>
                      <w:bCs/>
                      <w:color w:val="auto"/>
                      <w:kern w:val="0"/>
                      <w:szCs w:val="21"/>
                      <w:highlight w:val="none"/>
                      <w:vertAlign w:val="baseline"/>
                      <w:lang w:val="en-US" w:eastAsia="zh-CN"/>
                    </w:rPr>
                    <w:t>38838m</w:t>
                  </w:r>
                  <w:r>
                    <w:rPr>
                      <w:rFonts w:hint="eastAsia" w:ascii="Times New Roman" w:hAnsi="Times New Roman" w:cs="Times New Roman"/>
                      <w:bCs/>
                      <w:color w:val="auto"/>
                      <w:kern w:val="0"/>
                      <w:szCs w:val="21"/>
                      <w:highlight w:val="none"/>
                      <w:vertAlign w:val="superscript"/>
                      <w:lang w:val="en-US" w:eastAsia="zh-CN"/>
                    </w:rPr>
                    <w:t>2</w:t>
                  </w:r>
                  <w:r>
                    <w:rPr>
                      <w:rFonts w:hint="eastAsia" w:ascii="Times New Roman" w:hAnsi="Times New Roman" w:cs="Times New Roman"/>
                      <w:bCs/>
                      <w:color w:val="auto"/>
                      <w:kern w:val="0"/>
                      <w:szCs w:val="21"/>
                      <w:highlight w:val="none"/>
                      <w:vertAlign w:val="baseline"/>
                      <w:lang w:val="en-US" w:eastAsia="zh-CN"/>
                    </w:rPr>
                    <w:t>生产</w:t>
                  </w:r>
                  <w:r>
                    <w:rPr>
                      <w:rFonts w:hint="default" w:ascii="Times New Roman" w:hAnsi="Times New Roman" w:cs="Times New Roman"/>
                      <w:bCs/>
                      <w:color w:val="auto"/>
                      <w:kern w:val="0"/>
                      <w:szCs w:val="21"/>
                      <w:highlight w:val="none"/>
                    </w:rPr>
                    <w:t>车间</w:t>
                  </w:r>
                </w:p>
              </w:tc>
              <w:tc>
                <w:tcPr>
                  <w:tcW w:w="2394" w:type="dxa"/>
                  <w:gridSpan w:val="2"/>
                  <w:noWrap w:val="0"/>
                  <w:vAlign w:val="center"/>
                </w:tcPr>
                <w:p w14:paraId="35F43E6C">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电磁阀智能芯片</w:t>
                  </w:r>
                </w:p>
              </w:tc>
              <w:tc>
                <w:tcPr>
                  <w:tcW w:w="1534" w:type="dxa"/>
                  <w:noWrap w:val="0"/>
                  <w:vAlign w:val="center"/>
                </w:tcPr>
                <w:p w14:paraId="1E2330EA">
                  <w:pPr>
                    <w:jc w:val="center"/>
                    <w:rPr>
                      <w:rFonts w:hint="default" w:ascii="Times New Roman" w:hAnsi="Times New Roman" w:cs="Times New Roman"/>
                      <w:color w:val="auto"/>
                      <w:szCs w:val="21"/>
                      <w:highlight w:val="none"/>
                      <w:lang w:val="en-US"/>
                    </w:rPr>
                  </w:pPr>
                  <w:r>
                    <w:rPr>
                      <w:rFonts w:hint="eastAsia" w:ascii="Times New Roman" w:hAnsi="Times New Roman" w:cs="Times New Roman"/>
                      <w:color w:val="auto"/>
                      <w:szCs w:val="21"/>
                      <w:highlight w:val="none"/>
                      <w:lang w:val="en-US" w:eastAsia="zh-CN"/>
                    </w:rPr>
                    <w:t>400万片</w:t>
                  </w:r>
                </w:p>
              </w:tc>
              <w:tc>
                <w:tcPr>
                  <w:tcW w:w="1217" w:type="dxa"/>
                  <w:vMerge w:val="restart"/>
                  <w:noWrap w:val="0"/>
                  <w:vAlign w:val="center"/>
                </w:tcPr>
                <w:p w14:paraId="696C7F4A">
                  <w:pPr>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300</w:t>
                  </w:r>
                  <w:r>
                    <w:rPr>
                      <w:rFonts w:hint="default" w:ascii="Times New Roman" w:hAnsi="Times New Roman" w:cs="Times New Roman"/>
                      <w:color w:val="auto"/>
                      <w:szCs w:val="21"/>
                      <w:highlight w:val="none"/>
                    </w:rPr>
                    <w:t>d</w:t>
                  </w:r>
                </w:p>
              </w:tc>
            </w:tr>
            <w:tr w14:paraId="7D83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4" w:type="dxa"/>
                  <w:vMerge w:val="continue"/>
                  <w:noWrap w:val="0"/>
                  <w:vAlign w:val="center"/>
                </w:tcPr>
                <w:p w14:paraId="182F4AEF">
                  <w:pPr>
                    <w:jc w:val="center"/>
                    <w:rPr>
                      <w:rFonts w:hint="eastAsia" w:ascii="Times New Roman" w:hAnsi="Times New Roman" w:cs="Times New Roman"/>
                      <w:color w:val="FF0000"/>
                      <w:szCs w:val="21"/>
                      <w:highlight w:val="none"/>
                      <w:lang w:val="en-US" w:eastAsia="zh-CN"/>
                    </w:rPr>
                  </w:pPr>
                </w:p>
              </w:tc>
              <w:tc>
                <w:tcPr>
                  <w:tcW w:w="2715" w:type="dxa"/>
                  <w:vMerge w:val="continue"/>
                  <w:noWrap w:val="0"/>
                  <w:vAlign w:val="center"/>
                </w:tcPr>
                <w:p w14:paraId="528D1951">
                  <w:pPr>
                    <w:jc w:val="center"/>
                    <w:rPr>
                      <w:rFonts w:hint="eastAsia" w:ascii="Times New Roman" w:hAnsi="Times New Roman" w:cs="Times New Roman"/>
                      <w:bCs/>
                      <w:color w:val="FF0000"/>
                      <w:kern w:val="0"/>
                      <w:szCs w:val="21"/>
                      <w:highlight w:val="none"/>
                      <w:lang w:val="en-US" w:eastAsia="zh-CN"/>
                    </w:rPr>
                  </w:pPr>
                </w:p>
              </w:tc>
              <w:tc>
                <w:tcPr>
                  <w:tcW w:w="1024" w:type="dxa"/>
                  <w:vMerge w:val="restart"/>
                  <w:noWrap w:val="0"/>
                  <w:vAlign w:val="center"/>
                </w:tcPr>
                <w:p w14:paraId="7F2B592F">
                  <w:pPr>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高端电磁阀</w:t>
                  </w:r>
                </w:p>
              </w:tc>
              <w:tc>
                <w:tcPr>
                  <w:tcW w:w="1370" w:type="dxa"/>
                  <w:noWrap w:val="0"/>
                  <w:vAlign w:val="center"/>
                </w:tcPr>
                <w:p w14:paraId="012E2A83">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无塑封盖</w:t>
                  </w:r>
                </w:p>
              </w:tc>
              <w:tc>
                <w:tcPr>
                  <w:tcW w:w="1534" w:type="dxa"/>
                  <w:noWrap w:val="0"/>
                  <w:vAlign w:val="center"/>
                </w:tcPr>
                <w:p w14:paraId="56379489">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0.5万台</w:t>
                  </w:r>
                </w:p>
              </w:tc>
              <w:tc>
                <w:tcPr>
                  <w:tcW w:w="1217" w:type="dxa"/>
                  <w:vMerge w:val="continue"/>
                  <w:noWrap w:val="0"/>
                  <w:vAlign w:val="center"/>
                </w:tcPr>
                <w:p w14:paraId="0D5FE769">
                  <w:pPr>
                    <w:jc w:val="center"/>
                    <w:rPr>
                      <w:rFonts w:hint="eastAsia" w:ascii="Times New Roman" w:hAnsi="Times New Roman" w:cs="Times New Roman"/>
                      <w:color w:val="FF0000"/>
                      <w:szCs w:val="21"/>
                      <w:highlight w:val="none"/>
                      <w:lang w:val="en-US" w:eastAsia="zh-CN"/>
                    </w:rPr>
                  </w:pPr>
                </w:p>
              </w:tc>
            </w:tr>
            <w:tr w14:paraId="4414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4" w:type="dxa"/>
                  <w:vMerge w:val="continue"/>
                  <w:noWrap w:val="0"/>
                  <w:vAlign w:val="center"/>
                </w:tcPr>
                <w:p w14:paraId="7322E4CE">
                  <w:pPr>
                    <w:jc w:val="center"/>
                    <w:rPr>
                      <w:rFonts w:hint="eastAsia" w:ascii="Times New Roman" w:hAnsi="Times New Roman" w:cs="Times New Roman"/>
                      <w:color w:val="FF0000"/>
                      <w:szCs w:val="21"/>
                      <w:highlight w:val="none"/>
                      <w:lang w:val="en-US" w:eastAsia="zh-CN"/>
                    </w:rPr>
                  </w:pPr>
                </w:p>
              </w:tc>
              <w:tc>
                <w:tcPr>
                  <w:tcW w:w="2715" w:type="dxa"/>
                  <w:vMerge w:val="continue"/>
                  <w:noWrap w:val="0"/>
                  <w:vAlign w:val="center"/>
                </w:tcPr>
                <w:p w14:paraId="45C6E3A5">
                  <w:pPr>
                    <w:jc w:val="center"/>
                    <w:rPr>
                      <w:rFonts w:hint="eastAsia" w:ascii="Times New Roman" w:hAnsi="Times New Roman" w:cs="Times New Roman"/>
                      <w:bCs/>
                      <w:color w:val="FF0000"/>
                      <w:kern w:val="0"/>
                      <w:szCs w:val="21"/>
                      <w:highlight w:val="none"/>
                      <w:lang w:val="en-US" w:eastAsia="zh-CN"/>
                    </w:rPr>
                  </w:pPr>
                </w:p>
              </w:tc>
              <w:tc>
                <w:tcPr>
                  <w:tcW w:w="1024" w:type="dxa"/>
                  <w:vMerge w:val="continue"/>
                  <w:noWrap w:val="0"/>
                  <w:vAlign w:val="center"/>
                </w:tcPr>
                <w:p w14:paraId="4BF4A625">
                  <w:pPr>
                    <w:jc w:val="center"/>
                    <w:rPr>
                      <w:rFonts w:hint="default" w:ascii="Times New Roman" w:hAnsi="Times New Roman" w:cs="Times New Roman"/>
                      <w:color w:val="FF0000"/>
                      <w:szCs w:val="21"/>
                      <w:highlight w:val="none"/>
                      <w:lang w:val="en-US" w:eastAsia="zh-CN"/>
                    </w:rPr>
                  </w:pPr>
                </w:p>
              </w:tc>
              <w:tc>
                <w:tcPr>
                  <w:tcW w:w="1370" w:type="dxa"/>
                  <w:noWrap w:val="0"/>
                  <w:vAlign w:val="center"/>
                </w:tcPr>
                <w:p w14:paraId="623C2EF4">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有塑封盖</w:t>
                  </w:r>
                </w:p>
              </w:tc>
              <w:tc>
                <w:tcPr>
                  <w:tcW w:w="1534" w:type="dxa"/>
                  <w:noWrap w:val="0"/>
                  <w:vAlign w:val="center"/>
                </w:tcPr>
                <w:p w14:paraId="30BA73FC">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1.5万台</w:t>
                  </w:r>
                </w:p>
              </w:tc>
              <w:tc>
                <w:tcPr>
                  <w:tcW w:w="1217" w:type="dxa"/>
                  <w:vMerge w:val="continue"/>
                  <w:noWrap w:val="0"/>
                  <w:vAlign w:val="center"/>
                </w:tcPr>
                <w:p w14:paraId="2CAFBAFC">
                  <w:pPr>
                    <w:jc w:val="center"/>
                    <w:rPr>
                      <w:rFonts w:hint="eastAsia" w:ascii="Times New Roman" w:hAnsi="Times New Roman" w:cs="Times New Roman"/>
                      <w:color w:val="FF0000"/>
                      <w:szCs w:val="21"/>
                      <w:highlight w:val="none"/>
                      <w:lang w:val="en-US" w:eastAsia="zh-CN"/>
                    </w:rPr>
                  </w:pPr>
                </w:p>
              </w:tc>
            </w:tr>
            <w:tr w14:paraId="68E4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4" w:type="dxa"/>
                  <w:vMerge w:val="continue"/>
                  <w:noWrap w:val="0"/>
                  <w:vAlign w:val="center"/>
                </w:tcPr>
                <w:p w14:paraId="274411E7">
                  <w:pPr>
                    <w:jc w:val="center"/>
                    <w:rPr>
                      <w:rFonts w:hint="eastAsia" w:ascii="Times New Roman" w:hAnsi="Times New Roman" w:cs="Times New Roman"/>
                      <w:color w:val="FF0000"/>
                      <w:szCs w:val="21"/>
                      <w:highlight w:val="none"/>
                      <w:lang w:val="en-US" w:eastAsia="zh-CN"/>
                    </w:rPr>
                  </w:pPr>
                </w:p>
              </w:tc>
              <w:tc>
                <w:tcPr>
                  <w:tcW w:w="2715" w:type="dxa"/>
                  <w:vMerge w:val="continue"/>
                  <w:noWrap w:val="0"/>
                  <w:vAlign w:val="center"/>
                </w:tcPr>
                <w:p w14:paraId="062FBB41">
                  <w:pPr>
                    <w:jc w:val="center"/>
                    <w:rPr>
                      <w:rFonts w:hint="eastAsia" w:ascii="Times New Roman" w:hAnsi="Times New Roman" w:cs="Times New Roman"/>
                      <w:bCs/>
                      <w:color w:val="FF0000"/>
                      <w:kern w:val="0"/>
                      <w:szCs w:val="21"/>
                      <w:highlight w:val="none"/>
                      <w:lang w:val="en-US" w:eastAsia="zh-CN"/>
                    </w:rPr>
                  </w:pPr>
                </w:p>
              </w:tc>
              <w:tc>
                <w:tcPr>
                  <w:tcW w:w="1024" w:type="dxa"/>
                  <w:vMerge w:val="continue"/>
                  <w:noWrap w:val="0"/>
                  <w:vAlign w:val="center"/>
                </w:tcPr>
                <w:p w14:paraId="62798CA8">
                  <w:pPr>
                    <w:jc w:val="center"/>
                    <w:rPr>
                      <w:rFonts w:hint="default" w:ascii="Times New Roman" w:hAnsi="Times New Roman" w:cs="Times New Roman"/>
                      <w:color w:val="FF0000"/>
                      <w:szCs w:val="21"/>
                      <w:highlight w:val="none"/>
                      <w:lang w:val="en-US" w:eastAsia="zh-CN"/>
                    </w:rPr>
                  </w:pPr>
                </w:p>
              </w:tc>
              <w:tc>
                <w:tcPr>
                  <w:tcW w:w="1370" w:type="dxa"/>
                  <w:noWrap w:val="0"/>
                  <w:vAlign w:val="center"/>
                </w:tcPr>
                <w:p w14:paraId="050E1A97">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合计</w:t>
                  </w:r>
                </w:p>
              </w:tc>
              <w:tc>
                <w:tcPr>
                  <w:tcW w:w="1534" w:type="dxa"/>
                  <w:noWrap w:val="0"/>
                  <w:vAlign w:val="center"/>
                </w:tcPr>
                <w:p w14:paraId="40688E6D">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2万台</w:t>
                  </w:r>
                </w:p>
              </w:tc>
              <w:tc>
                <w:tcPr>
                  <w:tcW w:w="1217" w:type="dxa"/>
                  <w:vMerge w:val="continue"/>
                  <w:noWrap w:val="0"/>
                  <w:vAlign w:val="center"/>
                </w:tcPr>
                <w:p w14:paraId="337D603B">
                  <w:pPr>
                    <w:jc w:val="center"/>
                    <w:rPr>
                      <w:rFonts w:hint="eastAsia" w:ascii="Times New Roman" w:hAnsi="Times New Roman" w:cs="Times New Roman"/>
                      <w:color w:val="FF0000"/>
                      <w:szCs w:val="21"/>
                      <w:highlight w:val="none"/>
                      <w:lang w:val="en-US" w:eastAsia="zh-CN"/>
                    </w:rPr>
                  </w:pPr>
                </w:p>
              </w:tc>
            </w:tr>
          </w:tbl>
          <w:p w14:paraId="4226F43E">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center"/>
              <w:outlineLvl w:val="9"/>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auto"/>
                <w:sz w:val="24"/>
                <w:szCs w:val="24"/>
                <w:lang w:val="en-US" w:eastAsia="zh-CN"/>
              </w:rPr>
              <w:t>2.1.3</w:t>
            </w:r>
            <w:r>
              <w:rPr>
                <w:rFonts w:hint="default" w:ascii="Times New Roman" w:hAnsi="Times New Roman" w:eastAsia="宋体" w:cs="Times New Roman"/>
                <w:b/>
                <w:bCs/>
                <w:color w:val="auto"/>
                <w:sz w:val="24"/>
                <w:szCs w:val="24"/>
                <w:lang w:eastAsia="zh-CN"/>
              </w:rPr>
              <w:t>主要生产设备及原辅材料、能源消耗</w:t>
            </w:r>
          </w:p>
          <w:p w14:paraId="5EC8E3FE">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FF0000"/>
                <w:sz w:val="21"/>
                <w:szCs w:val="21"/>
                <w:highlight w:val="none"/>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highlight w:val="none"/>
                <w:lang w:val="en-US" w:eastAsia="zh-CN"/>
              </w:rPr>
              <w:t>2-3</w:t>
            </w:r>
            <w:r>
              <w:rPr>
                <w:rFonts w:hint="default" w:ascii="Times New Roman" w:hAnsi="Times New Roman" w:eastAsia="宋体" w:cs="Times New Roman"/>
                <w:b/>
                <w:bCs/>
                <w:color w:val="auto"/>
                <w:sz w:val="21"/>
                <w:szCs w:val="21"/>
                <w:highlight w:val="none"/>
                <w:lang w:val="en-US" w:eastAsia="zh-CN"/>
              </w:rPr>
              <w:t xml:space="preserve">  建设项目主要生产设备设施一览表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1"/>
              <w:gridCol w:w="1179"/>
              <w:gridCol w:w="977"/>
              <w:gridCol w:w="1681"/>
              <w:gridCol w:w="1378"/>
              <w:gridCol w:w="1392"/>
              <w:gridCol w:w="1186"/>
            </w:tblGrid>
            <w:tr w14:paraId="3D0E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711" w:type="dxa"/>
                  <w:noWrap w:val="0"/>
                  <w:vAlign w:val="center"/>
                </w:tcPr>
                <w:p w14:paraId="36191389">
                  <w:pPr>
                    <w:pStyle w:val="60"/>
                    <w:rPr>
                      <w:rFonts w:hint="default" w:ascii="Times New Roman" w:hAnsi="Times New Roman" w:eastAsia="宋体" w:cs="Times New Roman"/>
                      <w:b/>
                      <w:bCs w:val="0"/>
                      <w:snapToGrid w:val="0"/>
                      <w:color w:val="auto"/>
                      <w:szCs w:val="21"/>
                    </w:rPr>
                  </w:pPr>
                  <w:r>
                    <w:rPr>
                      <w:rFonts w:hint="default" w:ascii="Times New Roman" w:hAnsi="Times New Roman" w:eastAsia="宋体" w:cs="Times New Roman"/>
                      <w:b/>
                      <w:bCs w:val="0"/>
                      <w:snapToGrid w:val="0"/>
                      <w:color w:val="auto"/>
                      <w:szCs w:val="21"/>
                    </w:rPr>
                    <w:t>序号</w:t>
                  </w:r>
                </w:p>
              </w:tc>
              <w:tc>
                <w:tcPr>
                  <w:tcW w:w="1179" w:type="dxa"/>
                  <w:noWrap w:val="0"/>
                  <w:vAlign w:val="center"/>
                </w:tcPr>
                <w:p w14:paraId="5A69FBEE">
                  <w:pPr>
                    <w:pStyle w:val="60"/>
                    <w:rPr>
                      <w:rFonts w:hint="default" w:ascii="Times New Roman" w:hAnsi="Times New Roman" w:eastAsia="宋体" w:cs="Times New Roman"/>
                      <w:b/>
                      <w:bCs w:val="0"/>
                      <w:snapToGrid w:val="0"/>
                      <w:color w:val="auto"/>
                      <w:szCs w:val="21"/>
                    </w:rPr>
                  </w:pPr>
                  <w:r>
                    <w:rPr>
                      <w:rFonts w:hint="default" w:ascii="Times New Roman" w:hAnsi="Times New Roman" w:eastAsia="宋体" w:cs="Times New Roman"/>
                      <w:b/>
                      <w:bCs w:val="0"/>
                      <w:snapToGrid w:val="0"/>
                      <w:color w:val="auto"/>
                      <w:szCs w:val="21"/>
                    </w:rPr>
                    <w:t>主要生产单元</w:t>
                  </w:r>
                </w:p>
              </w:tc>
              <w:tc>
                <w:tcPr>
                  <w:tcW w:w="977" w:type="dxa"/>
                  <w:noWrap w:val="0"/>
                  <w:vAlign w:val="center"/>
                </w:tcPr>
                <w:p w14:paraId="1FB9E471">
                  <w:pPr>
                    <w:pStyle w:val="60"/>
                    <w:rPr>
                      <w:rFonts w:hint="default" w:ascii="Times New Roman" w:hAnsi="Times New Roman" w:eastAsia="宋体" w:cs="Times New Roman"/>
                      <w:b/>
                      <w:bCs w:val="0"/>
                      <w:snapToGrid w:val="0"/>
                      <w:color w:val="auto"/>
                      <w:szCs w:val="21"/>
                    </w:rPr>
                  </w:pPr>
                  <w:r>
                    <w:rPr>
                      <w:rFonts w:hint="default" w:ascii="Times New Roman" w:hAnsi="Times New Roman" w:eastAsia="宋体" w:cs="Times New Roman"/>
                      <w:b/>
                      <w:bCs w:val="0"/>
                      <w:snapToGrid w:val="0"/>
                      <w:color w:val="auto"/>
                      <w:szCs w:val="21"/>
                    </w:rPr>
                    <w:t>主要</w:t>
                  </w:r>
                </w:p>
                <w:p w14:paraId="3A322F3A">
                  <w:pPr>
                    <w:pStyle w:val="60"/>
                    <w:rPr>
                      <w:rFonts w:hint="default" w:ascii="Times New Roman" w:hAnsi="Times New Roman" w:eastAsia="宋体" w:cs="Times New Roman"/>
                      <w:b/>
                      <w:bCs w:val="0"/>
                      <w:snapToGrid w:val="0"/>
                      <w:color w:val="auto"/>
                      <w:szCs w:val="21"/>
                    </w:rPr>
                  </w:pPr>
                  <w:r>
                    <w:rPr>
                      <w:rFonts w:hint="default" w:ascii="Times New Roman" w:hAnsi="Times New Roman" w:eastAsia="宋体" w:cs="Times New Roman"/>
                      <w:b/>
                      <w:bCs w:val="0"/>
                      <w:snapToGrid w:val="0"/>
                      <w:color w:val="auto"/>
                      <w:szCs w:val="21"/>
                    </w:rPr>
                    <w:t>工艺</w:t>
                  </w:r>
                </w:p>
              </w:tc>
              <w:tc>
                <w:tcPr>
                  <w:tcW w:w="1681" w:type="dxa"/>
                  <w:noWrap w:val="0"/>
                  <w:vAlign w:val="center"/>
                </w:tcPr>
                <w:p w14:paraId="70E9E30A">
                  <w:pPr>
                    <w:pStyle w:val="60"/>
                    <w:rPr>
                      <w:rFonts w:hint="default" w:ascii="Times New Roman" w:hAnsi="Times New Roman" w:eastAsia="宋体" w:cs="Times New Roman"/>
                      <w:b/>
                      <w:bCs w:val="0"/>
                      <w:snapToGrid w:val="0"/>
                      <w:color w:val="auto"/>
                      <w:szCs w:val="21"/>
                    </w:rPr>
                  </w:pPr>
                  <w:r>
                    <w:rPr>
                      <w:rFonts w:hint="default" w:ascii="Times New Roman" w:hAnsi="Times New Roman" w:eastAsia="宋体" w:cs="Times New Roman"/>
                      <w:b/>
                      <w:bCs w:val="0"/>
                      <w:snapToGrid w:val="0"/>
                      <w:color w:val="auto"/>
                      <w:szCs w:val="21"/>
                      <w:lang w:val="en-US" w:eastAsia="zh-CN"/>
                    </w:rPr>
                    <w:t>生产</w:t>
                  </w:r>
                  <w:r>
                    <w:rPr>
                      <w:rFonts w:hint="default" w:ascii="Times New Roman" w:hAnsi="Times New Roman" w:eastAsia="宋体" w:cs="Times New Roman"/>
                      <w:b/>
                      <w:bCs w:val="0"/>
                      <w:snapToGrid w:val="0"/>
                      <w:color w:val="auto"/>
                      <w:szCs w:val="21"/>
                    </w:rPr>
                    <w:t>设施</w:t>
                  </w:r>
                </w:p>
              </w:tc>
              <w:tc>
                <w:tcPr>
                  <w:tcW w:w="1378" w:type="dxa"/>
                  <w:noWrap w:val="0"/>
                  <w:vAlign w:val="center"/>
                </w:tcPr>
                <w:p w14:paraId="79EA893D">
                  <w:pPr>
                    <w:pStyle w:val="60"/>
                    <w:rPr>
                      <w:rFonts w:hint="default" w:ascii="Times New Roman" w:hAnsi="Times New Roman" w:eastAsia="宋体" w:cs="Times New Roman"/>
                      <w:b/>
                      <w:bCs w:val="0"/>
                      <w:snapToGrid w:val="0"/>
                      <w:color w:val="auto"/>
                      <w:szCs w:val="21"/>
                    </w:rPr>
                  </w:pPr>
                  <w:r>
                    <w:rPr>
                      <w:rFonts w:hint="default" w:ascii="Times New Roman" w:hAnsi="Times New Roman" w:eastAsia="宋体" w:cs="Times New Roman"/>
                      <w:b/>
                      <w:snapToGrid w:val="0"/>
                      <w:color w:val="auto"/>
                      <w:szCs w:val="21"/>
                    </w:rPr>
                    <w:t>数量（台/套）</w:t>
                  </w:r>
                </w:p>
              </w:tc>
              <w:tc>
                <w:tcPr>
                  <w:tcW w:w="1392" w:type="dxa"/>
                  <w:noWrap w:val="0"/>
                  <w:vAlign w:val="center"/>
                </w:tcPr>
                <w:p w14:paraId="0978BF9A">
                  <w:pPr>
                    <w:pStyle w:val="60"/>
                    <w:rPr>
                      <w:rFonts w:hint="default" w:ascii="Times New Roman" w:hAnsi="Times New Roman" w:eastAsia="宋体" w:cs="Times New Roman"/>
                      <w:b/>
                      <w:bCs w:val="0"/>
                      <w:snapToGrid w:val="0"/>
                      <w:color w:val="auto"/>
                      <w:szCs w:val="21"/>
                      <w:lang w:val="en-US" w:eastAsia="zh-CN"/>
                    </w:rPr>
                  </w:pPr>
                  <w:r>
                    <w:rPr>
                      <w:rFonts w:hint="eastAsia" w:ascii="Times New Roman" w:hAnsi="Times New Roman" w:eastAsia="宋体" w:cs="Times New Roman"/>
                      <w:b/>
                      <w:bCs w:val="0"/>
                      <w:snapToGrid w:val="0"/>
                      <w:color w:val="auto"/>
                      <w:szCs w:val="21"/>
                      <w:lang w:val="en-US" w:eastAsia="zh-CN"/>
                    </w:rPr>
                    <w:t>规格型号</w:t>
                  </w:r>
                </w:p>
              </w:tc>
              <w:tc>
                <w:tcPr>
                  <w:tcW w:w="1186" w:type="dxa"/>
                  <w:noWrap w:val="0"/>
                  <w:vAlign w:val="center"/>
                </w:tcPr>
                <w:p w14:paraId="5D5014C3">
                  <w:pPr>
                    <w:pStyle w:val="60"/>
                    <w:rPr>
                      <w:rFonts w:hint="default" w:ascii="Times New Roman" w:hAnsi="Times New Roman" w:eastAsia="宋体" w:cs="Times New Roman"/>
                      <w:b/>
                      <w:bCs w:val="0"/>
                      <w:snapToGrid w:val="0"/>
                      <w:color w:val="auto"/>
                      <w:szCs w:val="21"/>
                      <w:lang w:eastAsia="zh-CN"/>
                    </w:rPr>
                  </w:pPr>
                  <w:r>
                    <w:rPr>
                      <w:rFonts w:hint="default" w:ascii="Times New Roman" w:hAnsi="Times New Roman" w:eastAsia="宋体" w:cs="Times New Roman"/>
                      <w:b/>
                      <w:bCs w:val="0"/>
                      <w:snapToGrid w:val="0"/>
                      <w:color w:val="auto"/>
                      <w:szCs w:val="21"/>
                      <w:lang w:val="en-US" w:eastAsia="zh-CN"/>
                    </w:rPr>
                    <w:t>备注</w:t>
                  </w:r>
                </w:p>
              </w:tc>
            </w:tr>
            <w:tr w14:paraId="2A4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023D29CD">
                  <w:pPr>
                    <w:pStyle w:val="60"/>
                    <w:rPr>
                      <w:rFonts w:hint="default" w:ascii="Times New Roman" w:hAnsi="Times New Roman" w:eastAsia="宋体" w:cs="Times New Roman"/>
                      <w:b w:val="0"/>
                      <w:bCs/>
                      <w:snapToGrid w:val="0"/>
                      <w:color w:val="auto"/>
                      <w:szCs w:val="21"/>
                    </w:rPr>
                  </w:pPr>
                  <w:r>
                    <w:rPr>
                      <w:rFonts w:hint="default" w:ascii="Times New Roman" w:hAnsi="Times New Roman" w:eastAsia="宋体" w:cs="Times New Roman"/>
                      <w:b w:val="0"/>
                      <w:bCs/>
                      <w:snapToGrid w:val="0"/>
                      <w:color w:val="auto"/>
                      <w:szCs w:val="21"/>
                    </w:rPr>
                    <w:t>1</w:t>
                  </w:r>
                </w:p>
              </w:tc>
              <w:tc>
                <w:tcPr>
                  <w:tcW w:w="1179" w:type="dxa"/>
                  <w:shd w:val="clear" w:color="auto" w:fill="auto"/>
                  <w:noWrap w:val="0"/>
                  <w:vAlign w:val="center"/>
                </w:tcPr>
                <w:p w14:paraId="4595FE8E">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插针单元</w:t>
                  </w:r>
                </w:p>
              </w:tc>
              <w:tc>
                <w:tcPr>
                  <w:tcW w:w="977" w:type="dxa"/>
                  <w:shd w:val="clear" w:color="auto" w:fill="auto"/>
                  <w:noWrap w:val="0"/>
                  <w:vAlign w:val="center"/>
                </w:tcPr>
                <w:p w14:paraId="2A945BA3">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插针</w:t>
                  </w:r>
                </w:p>
              </w:tc>
              <w:tc>
                <w:tcPr>
                  <w:tcW w:w="1681" w:type="dxa"/>
                  <w:shd w:val="clear" w:color="auto" w:fill="auto"/>
                  <w:noWrap w:val="0"/>
                  <w:vAlign w:val="center"/>
                </w:tcPr>
                <w:p w14:paraId="7A4A61DB">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骨架自动插针机</w:t>
                  </w:r>
                </w:p>
              </w:tc>
              <w:tc>
                <w:tcPr>
                  <w:tcW w:w="1378" w:type="dxa"/>
                  <w:shd w:val="clear" w:color="auto" w:fill="auto"/>
                  <w:noWrap w:val="0"/>
                  <w:vAlign w:val="center"/>
                </w:tcPr>
                <w:p w14:paraId="2A755A5D">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1</w:t>
                  </w:r>
                </w:p>
              </w:tc>
              <w:tc>
                <w:tcPr>
                  <w:tcW w:w="1392" w:type="dxa"/>
                  <w:shd w:val="clear" w:color="auto" w:fill="auto"/>
                  <w:noWrap w:val="0"/>
                  <w:vAlign w:val="center"/>
                </w:tcPr>
                <w:p w14:paraId="16DA6233">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HF-C30</w:t>
                  </w:r>
                </w:p>
              </w:tc>
              <w:tc>
                <w:tcPr>
                  <w:tcW w:w="1186" w:type="dxa"/>
                  <w:noWrap w:val="0"/>
                  <w:vAlign w:val="center"/>
                </w:tcPr>
                <w:p w14:paraId="458FCA94">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638D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584BF3DA">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2</w:t>
                  </w:r>
                </w:p>
              </w:tc>
              <w:tc>
                <w:tcPr>
                  <w:tcW w:w="1179" w:type="dxa"/>
                  <w:shd w:val="clear" w:color="auto" w:fill="auto"/>
                  <w:noWrap w:val="0"/>
                  <w:vAlign w:val="center"/>
                </w:tcPr>
                <w:p w14:paraId="61F7CE52">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绕制单元</w:t>
                  </w:r>
                </w:p>
              </w:tc>
              <w:tc>
                <w:tcPr>
                  <w:tcW w:w="977" w:type="dxa"/>
                  <w:shd w:val="clear" w:color="auto" w:fill="auto"/>
                  <w:noWrap w:val="0"/>
                  <w:vAlign w:val="center"/>
                </w:tcPr>
                <w:p w14:paraId="0DDDC61F">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绕制</w:t>
                  </w:r>
                </w:p>
              </w:tc>
              <w:tc>
                <w:tcPr>
                  <w:tcW w:w="1681" w:type="dxa"/>
                  <w:shd w:val="clear" w:color="auto" w:fill="auto"/>
                  <w:noWrap w:val="0"/>
                  <w:vAlign w:val="center"/>
                </w:tcPr>
                <w:p w14:paraId="0F3690DD">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飞达绕线机</w:t>
                  </w:r>
                </w:p>
              </w:tc>
              <w:tc>
                <w:tcPr>
                  <w:tcW w:w="1378" w:type="dxa"/>
                  <w:shd w:val="clear" w:color="auto" w:fill="auto"/>
                  <w:noWrap w:val="0"/>
                  <w:vAlign w:val="center"/>
                </w:tcPr>
                <w:p w14:paraId="07926C76">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11AFD74C">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FD-9010</w:t>
                  </w:r>
                </w:p>
              </w:tc>
              <w:tc>
                <w:tcPr>
                  <w:tcW w:w="1186" w:type="dxa"/>
                  <w:noWrap w:val="0"/>
                  <w:vAlign w:val="center"/>
                </w:tcPr>
                <w:p w14:paraId="6B360E6D">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44B3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7ED0D319">
                  <w:pPr>
                    <w:pStyle w:val="60"/>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3</w:t>
                  </w:r>
                </w:p>
              </w:tc>
              <w:tc>
                <w:tcPr>
                  <w:tcW w:w="1179" w:type="dxa"/>
                  <w:shd w:val="clear" w:color="auto" w:fill="auto"/>
                  <w:noWrap w:val="0"/>
                  <w:vAlign w:val="center"/>
                </w:tcPr>
                <w:p w14:paraId="485B8037">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清洗单元</w:t>
                  </w:r>
                </w:p>
              </w:tc>
              <w:tc>
                <w:tcPr>
                  <w:tcW w:w="977" w:type="dxa"/>
                  <w:shd w:val="clear" w:color="auto" w:fill="auto"/>
                  <w:noWrap w:val="0"/>
                  <w:vAlign w:val="center"/>
                </w:tcPr>
                <w:p w14:paraId="4BC497A2">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清洗</w:t>
                  </w:r>
                </w:p>
              </w:tc>
              <w:tc>
                <w:tcPr>
                  <w:tcW w:w="1681" w:type="dxa"/>
                  <w:shd w:val="clear" w:color="auto" w:fill="auto"/>
                  <w:noWrap w:val="0"/>
                  <w:vAlign w:val="center"/>
                </w:tcPr>
                <w:p w14:paraId="525B5262">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超声波清洗机</w:t>
                  </w:r>
                </w:p>
              </w:tc>
              <w:tc>
                <w:tcPr>
                  <w:tcW w:w="1378" w:type="dxa"/>
                  <w:shd w:val="clear" w:color="auto" w:fill="auto"/>
                  <w:noWrap w:val="0"/>
                  <w:vAlign w:val="center"/>
                </w:tcPr>
                <w:p w14:paraId="6B148DBA">
                  <w:pPr>
                    <w:jc w:val="center"/>
                    <w:rPr>
                      <w:rFonts w:hint="eastAsia"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50431A9F">
                  <w:pPr>
                    <w:jc w:val="center"/>
                    <w:rPr>
                      <w:rFonts w:hint="default" w:ascii="Times New Roman" w:hAnsi="Times New Roman" w:eastAsia="宋体" w:cs="Times New Roman"/>
                      <w:b w:val="0"/>
                      <w:bCs/>
                      <w:color w:val="auto"/>
                      <w:kern w:val="0"/>
                      <w:szCs w:val="21"/>
                    </w:rPr>
                  </w:pPr>
                  <w:r>
                    <w:rPr>
                      <w:rFonts w:hint="default" w:ascii="Times New Roman" w:hAnsi="Times New Roman" w:eastAsia="宋体" w:cs="Times New Roman"/>
                      <w:b w:val="0"/>
                      <w:bCs/>
                      <w:color w:val="auto"/>
                      <w:kern w:val="0"/>
                      <w:szCs w:val="21"/>
                    </w:rPr>
                    <w:t>F100:30L</w:t>
                  </w:r>
                </w:p>
              </w:tc>
              <w:tc>
                <w:tcPr>
                  <w:tcW w:w="1186" w:type="dxa"/>
                  <w:noWrap w:val="0"/>
                  <w:vAlign w:val="center"/>
                </w:tcPr>
                <w:p w14:paraId="00F0F236">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141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41121882">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4</w:t>
                  </w:r>
                </w:p>
              </w:tc>
              <w:tc>
                <w:tcPr>
                  <w:tcW w:w="1179" w:type="dxa"/>
                  <w:shd w:val="clear" w:color="auto" w:fill="auto"/>
                  <w:noWrap w:val="0"/>
                  <w:vAlign w:val="center"/>
                </w:tcPr>
                <w:p w14:paraId="071E64FD">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折弯单元</w:t>
                  </w:r>
                </w:p>
              </w:tc>
              <w:tc>
                <w:tcPr>
                  <w:tcW w:w="977" w:type="dxa"/>
                  <w:shd w:val="clear" w:color="auto" w:fill="auto"/>
                  <w:noWrap w:val="0"/>
                  <w:vAlign w:val="center"/>
                </w:tcPr>
                <w:p w14:paraId="5299531E">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折弯</w:t>
                  </w:r>
                </w:p>
              </w:tc>
              <w:tc>
                <w:tcPr>
                  <w:tcW w:w="1681" w:type="dxa"/>
                  <w:shd w:val="clear" w:color="auto" w:fill="auto"/>
                  <w:noWrap w:val="0"/>
                  <w:vAlign w:val="center"/>
                </w:tcPr>
                <w:p w14:paraId="64ED2128">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弯脚机</w:t>
                  </w:r>
                </w:p>
              </w:tc>
              <w:tc>
                <w:tcPr>
                  <w:tcW w:w="1378" w:type="dxa"/>
                  <w:shd w:val="clear" w:color="auto" w:fill="auto"/>
                  <w:noWrap w:val="0"/>
                  <w:vAlign w:val="center"/>
                </w:tcPr>
                <w:p w14:paraId="333C18CC">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78FE70B0">
                  <w:pPr>
                    <w:jc w:val="center"/>
                    <w:rPr>
                      <w:rFonts w:hint="default"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w:t>
                  </w:r>
                </w:p>
              </w:tc>
              <w:tc>
                <w:tcPr>
                  <w:tcW w:w="1186" w:type="dxa"/>
                  <w:noWrap w:val="0"/>
                  <w:vAlign w:val="center"/>
                </w:tcPr>
                <w:p w14:paraId="349B4106">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161B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64AFC3D4">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5</w:t>
                  </w:r>
                </w:p>
              </w:tc>
              <w:tc>
                <w:tcPr>
                  <w:tcW w:w="1179" w:type="dxa"/>
                  <w:vMerge w:val="restart"/>
                  <w:shd w:val="clear" w:color="auto" w:fill="auto"/>
                  <w:noWrap w:val="0"/>
                  <w:vAlign w:val="center"/>
                </w:tcPr>
                <w:p w14:paraId="3691863E">
                  <w:pPr>
                    <w:pStyle w:val="60"/>
                    <w:rPr>
                      <w:rFonts w:hint="default" w:ascii="Times New Roman" w:hAnsi="Times New Roman" w:eastAsia="宋体" w:cs="Times New Roman"/>
                      <w:b w:val="0"/>
                      <w:bCs/>
                      <w:snapToGrid w:val="0"/>
                      <w:color w:val="FF0000"/>
                      <w:szCs w:val="21"/>
                      <w:lang w:val="en-US" w:eastAsia="zh-CN"/>
                    </w:rPr>
                  </w:pPr>
                  <w:r>
                    <w:rPr>
                      <w:rFonts w:hint="eastAsia" w:cs="Times New Roman"/>
                      <w:b w:val="0"/>
                      <w:bCs/>
                      <w:snapToGrid w:val="0"/>
                      <w:color w:val="auto"/>
                      <w:szCs w:val="21"/>
                      <w:lang w:val="en-US" w:eastAsia="zh-CN"/>
                    </w:rPr>
                    <w:t>测试单元</w:t>
                  </w:r>
                </w:p>
              </w:tc>
              <w:tc>
                <w:tcPr>
                  <w:tcW w:w="977" w:type="dxa"/>
                  <w:vMerge w:val="restart"/>
                  <w:shd w:val="clear" w:color="auto" w:fill="auto"/>
                  <w:noWrap w:val="0"/>
                  <w:vAlign w:val="center"/>
                </w:tcPr>
                <w:p w14:paraId="0B0E1DCB">
                  <w:pPr>
                    <w:pStyle w:val="60"/>
                    <w:rPr>
                      <w:rFonts w:hint="default" w:ascii="Times New Roman" w:hAnsi="Times New Roman" w:eastAsia="宋体" w:cs="Times New Roman"/>
                      <w:b w:val="0"/>
                      <w:bCs/>
                      <w:snapToGrid w:val="0"/>
                      <w:color w:val="FF0000"/>
                      <w:szCs w:val="21"/>
                      <w:lang w:val="en-US" w:eastAsia="zh-CN"/>
                    </w:rPr>
                  </w:pPr>
                  <w:r>
                    <w:rPr>
                      <w:rFonts w:hint="eastAsia" w:cs="Times New Roman"/>
                      <w:b w:val="0"/>
                      <w:bCs/>
                      <w:snapToGrid w:val="0"/>
                      <w:color w:val="auto"/>
                      <w:szCs w:val="21"/>
                      <w:lang w:val="en-US" w:eastAsia="zh-CN"/>
                    </w:rPr>
                    <w:t>测试</w:t>
                  </w:r>
                </w:p>
              </w:tc>
              <w:tc>
                <w:tcPr>
                  <w:tcW w:w="1681" w:type="dxa"/>
                  <w:shd w:val="clear" w:color="auto" w:fill="auto"/>
                  <w:noWrap w:val="0"/>
                  <w:vAlign w:val="center"/>
                </w:tcPr>
                <w:p w14:paraId="0D5C5C42">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气动高精度泄漏测试系统</w:t>
                  </w:r>
                </w:p>
              </w:tc>
              <w:tc>
                <w:tcPr>
                  <w:tcW w:w="1378" w:type="dxa"/>
                  <w:shd w:val="clear" w:color="auto" w:fill="auto"/>
                  <w:noWrap w:val="0"/>
                  <w:vAlign w:val="center"/>
                </w:tcPr>
                <w:p w14:paraId="3E052DB6">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17ACC457">
                  <w:pPr>
                    <w:jc w:val="center"/>
                    <w:rPr>
                      <w:rFonts w:hint="default"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w:t>
                  </w:r>
                </w:p>
              </w:tc>
              <w:tc>
                <w:tcPr>
                  <w:tcW w:w="1186" w:type="dxa"/>
                  <w:noWrap w:val="0"/>
                  <w:vAlign w:val="center"/>
                </w:tcPr>
                <w:p w14:paraId="04FB5821">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4D09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6EAFD394">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6</w:t>
                  </w:r>
                </w:p>
              </w:tc>
              <w:tc>
                <w:tcPr>
                  <w:tcW w:w="1179" w:type="dxa"/>
                  <w:vMerge w:val="continue"/>
                  <w:shd w:val="clear" w:color="auto" w:fill="auto"/>
                  <w:noWrap w:val="0"/>
                  <w:vAlign w:val="center"/>
                </w:tcPr>
                <w:p w14:paraId="16AE60A9">
                  <w:pPr>
                    <w:pStyle w:val="60"/>
                    <w:rPr>
                      <w:rFonts w:hint="default" w:ascii="Times New Roman" w:hAnsi="Times New Roman" w:eastAsia="宋体" w:cs="Times New Roman"/>
                      <w:b w:val="0"/>
                      <w:bCs/>
                      <w:snapToGrid w:val="0"/>
                      <w:color w:val="FF0000"/>
                      <w:szCs w:val="21"/>
                      <w:lang w:val="en-US" w:eastAsia="zh-CN"/>
                    </w:rPr>
                  </w:pPr>
                </w:p>
              </w:tc>
              <w:tc>
                <w:tcPr>
                  <w:tcW w:w="977" w:type="dxa"/>
                  <w:vMerge w:val="continue"/>
                  <w:shd w:val="clear" w:color="auto" w:fill="auto"/>
                  <w:noWrap w:val="0"/>
                  <w:vAlign w:val="center"/>
                </w:tcPr>
                <w:p w14:paraId="2B13B3A4">
                  <w:pPr>
                    <w:pStyle w:val="60"/>
                    <w:rPr>
                      <w:rFonts w:hint="default" w:ascii="Times New Roman" w:hAnsi="Times New Roman" w:eastAsia="宋体" w:cs="Times New Roman"/>
                      <w:b w:val="0"/>
                      <w:bCs/>
                      <w:snapToGrid w:val="0"/>
                      <w:color w:val="FF0000"/>
                      <w:szCs w:val="21"/>
                      <w:lang w:val="en-US" w:eastAsia="zh-CN"/>
                    </w:rPr>
                  </w:pPr>
                </w:p>
              </w:tc>
              <w:tc>
                <w:tcPr>
                  <w:tcW w:w="1681" w:type="dxa"/>
                  <w:shd w:val="clear" w:color="auto" w:fill="auto"/>
                  <w:noWrap w:val="0"/>
                  <w:vAlign w:val="center"/>
                </w:tcPr>
                <w:p w14:paraId="28CC522C">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气动电磁阀响应时间、启动压力、启动电压测试系统</w:t>
                  </w:r>
                </w:p>
              </w:tc>
              <w:tc>
                <w:tcPr>
                  <w:tcW w:w="1378" w:type="dxa"/>
                  <w:shd w:val="clear" w:color="auto" w:fill="auto"/>
                  <w:noWrap w:val="0"/>
                  <w:vAlign w:val="center"/>
                </w:tcPr>
                <w:p w14:paraId="28E7A655">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71FD4E11">
                  <w:pPr>
                    <w:jc w:val="center"/>
                    <w:rPr>
                      <w:rFonts w:hint="default"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w:t>
                  </w:r>
                </w:p>
              </w:tc>
              <w:tc>
                <w:tcPr>
                  <w:tcW w:w="1186" w:type="dxa"/>
                  <w:noWrap w:val="0"/>
                  <w:vAlign w:val="center"/>
                </w:tcPr>
                <w:p w14:paraId="22265ADC">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5C96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69B269E0">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7</w:t>
                  </w:r>
                </w:p>
              </w:tc>
              <w:tc>
                <w:tcPr>
                  <w:tcW w:w="1179" w:type="dxa"/>
                  <w:vMerge w:val="continue"/>
                  <w:shd w:val="clear" w:color="auto" w:fill="auto"/>
                  <w:noWrap w:val="0"/>
                  <w:vAlign w:val="center"/>
                </w:tcPr>
                <w:p w14:paraId="1A3F2D5C">
                  <w:pPr>
                    <w:pStyle w:val="60"/>
                    <w:rPr>
                      <w:rFonts w:hint="default" w:ascii="Times New Roman" w:hAnsi="Times New Roman" w:eastAsia="宋体" w:cs="Times New Roman"/>
                      <w:b w:val="0"/>
                      <w:bCs/>
                      <w:snapToGrid w:val="0"/>
                      <w:color w:val="FF0000"/>
                      <w:szCs w:val="21"/>
                      <w:lang w:val="en-US" w:eastAsia="zh-CN"/>
                    </w:rPr>
                  </w:pPr>
                </w:p>
              </w:tc>
              <w:tc>
                <w:tcPr>
                  <w:tcW w:w="977" w:type="dxa"/>
                  <w:vMerge w:val="continue"/>
                  <w:shd w:val="clear" w:color="auto" w:fill="auto"/>
                  <w:noWrap w:val="0"/>
                  <w:vAlign w:val="center"/>
                </w:tcPr>
                <w:p w14:paraId="56F9D556">
                  <w:pPr>
                    <w:pStyle w:val="60"/>
                    <w:rPr>
                      <w:rFonts w:hint="default" w:ascii="Times New Roman" w:hAnsi="Times New Roman" w:eastAsia="宋体" w:cs="Times New Roman"/>
                      <w:b w:val="0"/>
                      <w:bCs/>
                      <w:snapToGrid w:val="0"/>
                      <w:color w:val="FF0000"/>
                      <w:szCs w:val="21"/>
                      <w:lang w:val="en-US" w:eastAsia="zh-CN"/>
                    </w:rPr>
                  </w:pPr>
                </w:p>
              </w:tc>
              <w:tc>
                <w:tcPr>
                  <w:tcW w:w="1681" w:type="dxa"/>
                  <w:shd w:val="clear" w:color="auto" w:fill="auto"/>
                  <w:noWrap w:val="0"/>
                  <w:vAlign w:val="center"/>
                </w:tcPr>
                <w:p w14:paraId="0D6A93C1">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气动高精度流量压力性能测试系统</w:t>
                  </w:r>
                </w:p>
              </w:tc>
              <w:tc>
                <w:tcPr>
                  <w:tcW w:w="1378" w:type="dxa"/>
                  <w:shd w:val="clear" w:color="auto" w:fill="auto"/>
                  <w:noWrap w:val="0"/>
                  <w:vAlign w:val="center"/>
                </w:tcPr>
                <w:p w14:paraId="31A85B52">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691A3F68">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w:t>
                  </w:r>
                </w:p>
              </w:tc>
              <w:tc>
                <w:tcPr>
                  <w:tcW w:w="1186" w:type="dxa"/>
                  <w:noWrap w:val="0"/>
                  <w:vAlign w:val="center"/>
                </w:tcPr>
                <w:p w14:paraId="28B2E95A">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73EB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4EC7F0DB">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8</w:t>
                  </w:r>
                </w:p>
              </w:tc>
              <w:tc>
                <w:tcPr>
                  <w:tcW w:w="1179" w:type="dxa"/>
                  <w:vMerge w:val="continue"/>
                  <w:shd w:val="clear" w:color="auto" w:fill="auto"/>
                  <w:noWrap w:val="0"/>
                  <w:vAlign w:val="center"/>
                </w:tcPr>
                <w:p w14:paraId="2963B3D8">
                  <w:pPr>
                    <w:pStyle w:val="60"/>
                    <w:rPr>
                      <w:rFonts w:hint="default" w:ascii="Times New Roman" w:hAnsi="Times New Roman" w:eastAsia="宋体" w:cs="Times New Roman"/>
                      <w:b w:val="0"/>
                      <w:bCs/>
                      <w:snapToGrid w:val="0"/>
                      <w:color w:val="FF0000"/>
                      <w:szCs w:val="21"/>
                      <w:lang w:val="en-US" w:eastAsia="zh-CN"/>
                    </w:rPr>
                  </w:pPr>
                </w:p>
              </w:tc>
              <w:tc>
                <w:tcPr>
                  <w:tcW w:w="977" w:type="dxa"/>
                  <w:vMerge w:val="continue"/>
                  <w:shd w:val="clear" w:color="auto" w:fill="auto"/>
                  <w:noWrap w:val="0"/>
                  <w:vAlign w:val="center"/>
                </w:tcPr>
                <w:p w14:paraId="180CA4DE">
                  <w:pPr>
                    <w:pStyle w:val="60"/>
                    <w:rPr>
                      <w:rFonts w:hint="default" w:ascii="Times New Roman" w:hAnsi="Times New Roman" w:eastAsia="宋体" w:cs="Times New Roman"/>
                      <w:b w:val="0"/>
                      <w:bCs/>
                      <w:snapToGrid w:val="0"/>
                      <w:color w:val="FF0000"/>
                      <w:szCs w:val="21"/>
                      <w:lang w:val="en-US" w:eastAsia="zh-CN"/>
                    </w:rPr>
                  </w:pPr>
                </w:p>
              </w:tc>
              <w:tc>
                <w:tcPr>
                  <w:tcW w:w="1681" w:type="dxa"/>
                  <w:shd w:val="clear" w:color="auto" w:fill="auto"/>
                  <w:noWrap w:val="0"/>
                  <w:vAlign w:val="center"/>
                </w:tcPr>
                <w:p w14:paraId="274B8550">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微型阀泄漏及响应测试台</w:t>
                  </w:r>
                </w:p>
              </w:tc>
              <w:tc>
                <w:tcPr>
                  <w:tcW w:w="1378" w:type="dxa"/>
                  <w:shd w:val="clear" w:color="auto" w:fill="auto"/>
                  <w:noWrap w:val="0"/>
                  <w:vAlign w:val="center"/>
                </w:tcPr>
                <w:p w14:paraId="01F13303">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76547F66">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w:t>
                  </w:r>
                </w:p>
              </w:tc>
              <w:tc>
                <w:tcPr>
                  <w:tcW w:w="1186" w:type="dxa"/>
                  <w:noWrap w:val="0"/>
                  <w:vAlign w:val="center"/>
                </w:tcPr>
                <w:p w14:paraId="4A82F586">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0425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29920205">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9</w:t>
                  </w:r>
                </w:p>
              </w:tc>
              <w:tc>
                <w:tcPr>
                  <w:tcW w:w="1179" w:type="dxa"/>
                  <w:shd w:val="clear" w:color="auto" w:fill="auto"/>
                  <w:noWrap w:val="0"/>
                  <w:vAlign w:val="center"/>
                </w:tcPr>
                <w:p w14:paraId="3112A836">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打标单元</w:t>
                  </w:r>
                </w:p>
              </w:tc>
              <w:tc>
                <w:tcPr>
                  <w:tcW w:w="977" w:type="dxa"/>
                  <w:shd w:val="clear" w:color="auto" w:fill="auto"/>
                  <w:noWrap w:val="0"/>
                  <w:vAlign w:val="center"/>
                </w:tcPr>
                <w:p w14:paraId="69B5E898">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打标签</w:t>
                  </w:r>
                </w:p>
              </w:tc>
              <w:tc>
                <w:tcPr>
                  <w:tcW w:w="1681" w:type="dxa"/>
                  <w:shd w:val="clear" w:color="auto" w:fill="auto"/>
                  <w:noWrap w:val="0"/>
                  <w:vAlign w:val="center"/>
                </w:tcPr>
                <w:p w14:paraId="15E13582">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激光打标机</w:t>
                  </w:r>
                </w:p>
              </w:tc>
              <w:tc>
                <w:tcPr>
                  <w:tcW w:w="1378" w:type="dxa"/>
                  <w:shd w:val="clear" w:color="auto" w:fill="auto"/>
                  <w:noWrap w:val="0"/>
                  <w:vAlign w:val="center"/>
                </w:tcPr>
                <w:p w14:paraId="2D510844">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602345D1">
                  <w:pPr>
                    <w:jc w:val="center"/>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val="0"/>
                      <w:bCs/>
                      <w:color w:val="auto"/>
                      <w:kern w:val="0"/>
                      <w:szCs w:val="21"/>
                      <w:lang w:val="en-US" w:eastAsia="zh-CN"/>
                    </w:rPr>
                    <w:t>DR-3ZW</w:t>
                  </w:r>
                </w:p>
              </w:tc>
              <w:tc>
                <w:tcPr>
                  <w:tcW w:w="1186" w:type="dxa"/>
                  <w:noWrap w:val="0"/>
                  <w:vAlign w:val="center"/>
                </w:tcPr>
                <w:p w14:paraId="0E3CD698">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03CB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1D29F482">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10</w:t>
                  </w:r>
                </w:p>
              </w:tc>
              <w:tc>
                <w:tcPr>
                  <w:tcW w:w="1179" w:type="dxa"/>
                  <w:vMerge w:val="restart"/>
                  <w:shd w:val="clear" w:color="auto" w:fill="auto"/>
                  <w:noWrap w:val="0"/>
                  <w:vAlign w:val="center"/>
                </w:tcPr>
                <w:p w14:paraId="63A8A6E6">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焊锡单元</w:t>
                  </w:r>
                </w:p>
              </w:tc>
              <w:tc>
                <w:tcPr>
                  <w:tcW w:w="977" w:type="dxa"/>
                  <w:vMerge w:val="restart"/>
                  <w:shd w:val="clear" w:color="auto" w:fill="auto"/>
                  <w:noWrap w:val="0"/>
                  <w:vAlign w:val="center"/>
                </w:tcPr>
                <w:p w14:paraId="564E396E">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焊锡</w:t>
                  </w:r>
                </w:p>
              </w:tc>
              <w:tc>
                <w:tcPr>
                  <w:tcW w:w="1681" w:type="dxa"/>
                  <w:shd w:val="clear" w:color="auto" w:fill="auto"/>
                  <w:noWrap w:val="0"/>
                  <w:vAlign w:val="center"/>
                </w:tcPr>
                <w:p w14:paraId="0FAA529F">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六轴自动焊锡机</w:t>
                  </w:r>
                </w:p>
              </w:tc>
              <w:tc>
                <w:tcPr>
                  <w:tcW w:w="1378" w:type="dxa"/>
                  <w:shd w:val="clear" w:color="auto" w:fill="auto"/>
                  <w:noWrap w:val="0"/>
                  <w:vAlign w:val="center"/>
                </w:tcPr>
                <w:p w14:paraId="7F5DEF28">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4</w:t>
                  </w:r>
                </w:p>
              </w:tc>
              <w:tc>
                <w:tcPr>
                  <w:tcW w:w="1392" w:type="dxa"/>
                  <w:shd w:val="clear" w:color="auto" w:fill="auto"/>
                  <w:noWrap w:val="0"/>
                  <w:vAlign w:val="center"/>
                </w:tcPr>
                <w:p w14:paraId="5B41FD08">
                  <w:pPr>
                    <w:jc w:val="center"/>
                    <w:rPr>
                      <w:rFonts w:hint="default"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BMZK</w:t>
                  </w:r>
                </w:p>
              </w:tc>
              <w:tc>
                <w:tcPr>
                  <w:tcW w:w="1186" w:type="dxa"/>
                  <w:noWrap w:val="0"/>
                  <w:vAlign w:val="center"/>
                </w:tcPr>
                <w:p w14:paraId="07756A9F">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56BE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7CD45D27">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11</w:t>
                  </w:r>
                </w:p>
              </w:tc>
              <w:tc>
                <w:tcPr>
                  <w:tcW w:w="1179" w:type="dxa"/>
                  <w:vMerge w:val="continue"/>
                  <w:shd w:val="clear" w:color="auto" w:fill="auto"/>
                  <w:noWrap w:val="0"/>
                  <w:vAlign w:val="center"/>
                </w:tcPr>
                <w:p w14:paraId="36D9336B">
                  <w:pPr>
                    <w:pStyle w:val="60"/>
                    <w:rPr>
                      <w:rFonts w:hint="eastAsia" w:cs="Times New Roman"/>
                      <w:b w:val="0"/>
                      <w:bCs/>
                      <w:snapToGrid w:val="0"/>
                      <w:color w:val="auto"/>
                      <w:szCs w:val="21"/>
                      <w:lang w:val="en-US" w:eastAsia="zh-CN"/>
                    </w:rPr>
                  </w:pPr>
                </w:p>
              </w:tc>
              <w:tc>
                <w:tcPr>
                  <w:tcW w:w="977" w:type="dxa"/>
                  <w:vMerge w:val="continue"/>
                  <w:shd w:val="clear" w:color="auto" w:fill="auto"/>
                  <w:noWrap w:val="0"/>
                  <w:vAlign w:val="center"/>
                </w:tcPr>
                <w:p w14:paraId="6D31BE6B">
                  <w:pPr>
                    <w:pStyle w:val="60"/>
                    <w:rPr>
                      <w:rFonts w:hint="default" w:ascii="Times New Roman" w:hAnsi="Times New Roman" w:eastAsia="宋体" w:cs="Times New Roman"/>
                      <w:b w:val="0"/>
                      <w:bCs/>
                      <w:snapToGrid w:val="0"/>
                      <w:color w:val="auto"/>
                      <w:szCs w:val="21"/>
                      <w:lang w:val="en-US" w:eastAsia="zh-CN"/>
                    </w:rPr>
                  </w:pPr>
                </w:p>
              </w:tc>
              <w:tc>
                <w:tcPr>
                  <w:tcW w:w="1681" w:type="dxa"/>
                  <w:shd w:val="clear" w:color="auto" w:fill="auto"/>
                  <w:noWrap w:val="0"/>
                  <w:vAlign w:val="center"/>
                </w:tcPr>
                <w:p w14:paraId="53875E1A">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锡炉</w:t>
                  </w:r>
                </w:p>
              </w:tc>
              <w:tc>
                <w:tcPr>
                  <w:tcW w:w="1378" w:type="dxa"/>
                  <w:shd w:val="clear" w:color="auto" w:fill="auto"/>
                  <w:noWrap w:val="0"/>
                  <w:vAlign w:val="center"/>
                </w:tcPr>
                <w:p w14:paraId="0B182361">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5F816714">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SS-551H</w:t>
                  </w:r>
                </w:p>
              </w:tc>
              <w:tc>
                <w:tcPr>
                  <w:tcW w:w="1186" w:type="dxa"/>
                  <w:noWrap w:val="0"/>
                  <w:vAlign w:val="center"/>
                </w:tcPr>
                <w:p w14:paraId="100BBEAC">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8A8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561E7C0F">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12</w:t>
                  </w:r>
                </w:p>
              </w:tc>
              <w:tc>
                <w:tcPr>
                  <w:tcW w:w="1179" w:type="dxa"/>
                  <w:vMerge w:val="continue"/>
                  <w:shd w:val="clear" w:color="auto" w:fill="auto"/>
                  <w:noWrap w:val="0"/>
                  <w:vAlign w:val="center"/>
                </w:tcPr>
                <w:p w14:paraId="7DC5A175">
                  <w:pPr>
                    <w:pStyle w:val="60"/>
                    <w:rPr>
                      <w:rFonts w:hint="eastAsia" w:cs="Times New Roman"/>
                      <w:b w:val="0"/>
                      <w:bCs/>
                      <w:snapToGrid w:val="0"/>
                      <w:color w:val="auto"/>
                      <w:szCs w:val="21"/>
                      <w:lang w:val="en-US" w:eastAsia="zh-CN"/>
                    </w:rPr>
                  </w:pPr>
                </w:p>
              </w:tc>
              <w:tc>
                <w:tcPr>
                  <w:tcW w:w="977" w:type="dxa"/>
                  <w:vMerge w:val="continue"/>
                  <w:shd w:val="clear" w:color="auto" w:fill="auto"/>
                  <w:noWrap w:val="0"/>
                  <w:vAlign w:val="center"/>
                </w:tcPr>
                <w:p w14:paraId="3BE8F719">
                  <w:pPr>
                    <w:pStyle w:val="60"/>
                    <w:rPr>
                      <w:rFonts w:hint="default" w:ascii="Times New Roman" w:hAnsi="Times New Roman" w:eastAsia="宋体" w:cs="Times New Roman"/>
                      <w:b w:val="0"/>
                      <w:bCs/>
                      <w:snapToGrid w:val="0"/>
                      <w:color w:val="auto"/>
                      <w:szCs w:val="21"/>
                      <w:lang w:val="en-US" w:eastAsia="zh-CN"/>
                    </w:rPr>
                  </w:pPr>
                </w:p>
              </w:tc>
              <w:tc>
                <w:tcPr>
                  <w:tcW w:w="1681" w:type="dxa"/>
                  <w:shd w:val="clear" w:color="auto" w:fill="auto"/>
                  <w:noWrap w:val="0"/>
                  <w:vAlign w:val="center"/>
                </w:tcPr>
                <w:p w14:paraId="3E6FE55E">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回流焊</w:t>
                  </w:r>
                </w:p>
              </w:tc>
              <w:tc>
                <w:tcPr>
                  <w:tcW w:w="1378" w:type="dxa"/>
                  <w:shd w:val="clear" w:color="auto" w:fill="auto"/>
                  <w:noWrap w:val="0"/>
                  <w:vAlign w:val="center"/>
                </w:tcPr>
                <w:p w14:paraId="2705149F">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2DABC11E">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SER-708A</w:t>
                  </w:r>
                </w:p>
              </w:tc>
              <w:tc>
                <w:tcPr>
                  <w:tcW w:w="1186" w:type="dxa"/>
                  <w:noWrap w:val="0"/>
                  <w:vAlign w:val="center"/>
                </w:tcPr>
                <w:p w14:paraId="36AE24B6">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0D83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7010B0B2">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13</w:t>
                  </w:r>
                </w:p>
              </w:tc>
              <w:tc>
                <w:tcPr>
                  <w:tcW w:w="1179" w:type="dxa"/>
                  <w:vMerge w:val="continue"/>
                  <w:shd w:val="clear" w:color="auto" w:fill="auto"/>
                  <w:noWrap w:val="0"/>
                  <w:vAlign w:val="center"/>
                </w:tcPr>
                <w:p w14:paraId="631DDA87">
                  <w:pPr>
                    <w:pStyle w:val="60"/>
                    <w:rPr>
                      <w:rFonts w:hint="eastAsia" w:cs="Times New Roman"/>
                      <w:b w:val="0"/>
                      <w:bCs/>
                      <w:snapToGrid w:val="0"/>
                      <w:color w:val="auto"/>
                      <w:szCs w:val="21"/>
                      <w:lang w:val="en-US" w:eastAsia="zh-CN"/>
                    </w:rPr>
                  </w:pPr>
                </w:p>
              </w:tc>
              <w:tc>
                <w:tcPr>
                  <w:tcW w:w="977" w:type="dxa"/>
                  <w:vMerge w:val="continue"/>
                  <w:shd w:val="clear" w:color="auto" w:fill="auto"/>
                  <w:noWrap w:val="0"/>
                  <w:vAlign w:val="center"/>
                </w:tcPr>
                <w:p w14:paraId="00A72ED8">
                  <w:pPr>
                    <w:pStyle w:val="60"/>
                    <w:rPr>
                      <w:rFonts w:hint="default" w:ascii="Times New Roman" w:hAnsi="Times New Roman" w:eastAsia="宋体" w:cs="Times New Roman"/>
                      <w:b w:val="0"/>
                      <w:bCs/>
                      <w:snapToGrid w:val="0"/>
                      <w:color w:val="auto"/>
                      <w:szCs w:val="21"/>
                      <w:lang w:val="en-US" w:eastAsia="zh-CN"/>
                    </w:rPr>
                  </w:pPr>
                </w:p>
              </w:tc>
              <w:tc>
                <w:tcPr>
                  <w:tcW w:w="1681" w:type="dxa"/>
                  <w:shd w:val="clear" w:color="auto" w:fill="auto"/>
                  <w:noWrap w:val="0"/>
                  <w:vAlign w:val="center"/>
                </w:tcPr>
                <w:p w14:paraId="0CB2630B">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点焊机</w:t>
                  </w:r>
                </w:p>
              </w:tc>
              <w:tc>
                <w:tcPr>
                  <w:tcW w:w="1378" w:type="dxa"/>
                  <w:shd w:val="clear" w:color="auto" w:fill="auto"/>
                  <w:noWrap w:val="0"/>
                  <w:vAlign w:val="center"/>
                </w:tcPr>
                <w:p w14:paraId="3203205F">
                  <w:pPr>
                    <w:jc w:val="center"/>
                    <w:rPr>
                      <w:rFonts w:hint="eastAsia"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662ED6B1">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BM-NHX-T600</w:t>
                  </w:r>
                </w:p>
              </w:tc>
              <w:tc>
                <w:tcPr>
                  <w:tcW w:w="1186" w:type="dxa"/>
                  <w:noWrap w:val="0"/>
                  <w:vAlign w:val="center"/>
                </w:tcPr>
                <w:p w14:paraId="0E5E30FE">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3784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41D48131">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14</w:t>
                  </w:r>
                </w:p>
              </w:tc>
              <w:tc>
                <w:tcPr>
                  <w:tcW w:w="1179" w:type="dxa"/>
                  <w:vMerge w:val="restart"/>
                  <w:shd w:val="clear" w:color="auto" w:fill="auto"/>
                  <w:noWrap w:val="0"/>
                  <w:vAlign w:val="center"/>
                </w:tcPr>
                <w:p w14:paraId="42D5BF43">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塑封单元</w:t>
                  </w:r>
                </w:p>
              </w:tc>
              <w:tc>
                <w:tcPr>
                  <w:tcW w:w="977" w:type="dxa"/>
                  <w:vMerge w:val="restart"/>
                  <w:shd w:val="clear" w:color="auto" w:fill="auto"/>
                  <w:noWrap w:val="0"/>
                  <w:vAlign w:val="center"/>
                </w:tcPr>
                <w:p w14:paraId="096CCFDC">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塑封</w:t>
                  </w:r>
                </w:p>
              </w:tc>
              <w:tc>
                <w:tcPr>
                  <w:tcW w:w="1681" w:type="dxa"/>
                  <w:shd w:val="clear" w:color="auto" w:fill="auto"/>
                  <w:noWrap w:val="0"/>
                  <w:vAlign w:val="center"/>
                </w:tcPr>
                <w:p w14:paraId="687B6C7C">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注塑机</w:t>
                  </w:r>
                </w:p>
              </w:tc>
              <w:tc>
                <w:tcPr>
                  <w:tcW w:w="1378" w:type="dxa"/>
                  <w:shd w:val="clear" w:color="auto" w:fill="auto"/>
                  <w:noWrap w:val="0"/>
                  <w:vAlign w:val="center"/>
                </w:tcPr>
                <w:p w14:paraId="4F609E1A">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7D87F3FE">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TK-700.2R.BMC.1</w:t>
                  </w:r>
                </w:p>
              </w:tc>
              <w:tc>
                <w:tcPr>
                  <w:tcW w:w="1186" w:type="dxa"/>
                  <w:noWrap w:val="0"/>
                  <w:vAlign w:val="center"/>
                </w:tcPr>
                <w:p w14:paraId="7F9D5C20">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3FFB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18AF00AF">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15</w:t>
                  </w:r>
                </w:p>
              </w:tc>
              <w:tc>
                <w:tcPr>
                  <w:tcW w:w="1179" w:type="dxa"/>
                  <w:vMerge w:val="continue"/>
                  <w:shd w:val="clear" w:color="auto" w:fill="auto"/>
                  <w:noWrap w:val="0"/>
                  <w:vAlign w:val="center"/>
                </w:tcPr>
                <w:p w14:paraId="77B74070">
                  <w:pPr>
                    <w:pStyle w:val="60"/>
                    <w:rPr>
                      <w:rFonts w:hint="eastAsia" w:cs="Times New Roman"/>
                      <w:b w:val="0"/>
                      <w:bCs/>
                      <w:snapToGrid w:val="0"/>
                      <w:color w:val="auto"/>
                      <w:szCs w:val="21"/>
                      <w:lang w:val="en-US" w:eastAsia="zh-CN"/>
                    </w:rPr>
                  </w:pPr>
                </w:p>
              </w:tc>
              <w:tc>
                <w:tcPr>
                  <w:tcW w:w="977" w:type="dxa"/>
                  <w:vMerge w:val="continue"/>
                  <w:shd w:val="clear" w:color="auto" w:fill="auto"/>
                  <w:noWrap w:val="0"/>
                  <w:vAlign w:val="center"/>
                </w:tcPr>
                <w:p w14:paraId="2F43D71C">
                  <w:pPr>
                    <w:pStyle w:val="60"/>
                    <w:rPr>
                      <w:rFonts w:hint="default" w:ascii="Times New Roman" w:hAnsi="Times New Roman" w:eastAsia="宋体" w:cs="Times New Roman"/>
                      <w:b w:val="0"/>
                      <w:bCs/>
                      <w:snapToGrid w:val="0"/>
                      <w:color w:val="auto"/>
                      <w:szCs w:val="21"/>
                      <w:lang w:val="en-US" w:eastAsia="zh-CN"/>
                    </w:rPr>
                  </w:pPr>
                </w:p>
              </w:tc>
              <w:tc>
                <w:tcPr>
                  <w:tcW w:w="1681" w:type="dxa"/>
                  <w:shd w:val="clear" w:color="auto" w:fill="auto"/>
                  <w:noWrap w:val="0"/>
                  <w:vAlign w:val="center"/>
                </w:tcPr>
                <w:p w14:paraId="546BDF3E">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冷水机</w:t>
                  </w:r>
                </w:p>
              </w:tc>
              <w:tc>
                <w:tcPr>
                  <w:tcW w:w="1378" w:type="dxa"/>
                  <w:shd w:val="clear" w:color="auto" w:fill="auto"/>
                  <w:noWrap w:val="0"/>
                  <w:vAlign w:val="center"/>
                </w:tcPr>
                <w:p w14:paraId="7043DA11">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533D7B7A">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WSIA-5HP-P</w:t>
                  </w:r>
                </w:p>
              </w:tc>
              <w:tc>
                <w:tcPr>
                  <w:tcW w:w="1186" w:type="dxa"/>
                  <w:noWrap w:val="0"/>
                  <w:vAlign w:val="center"/>
                </w:tcPr>
                <w:p w14:paraId="7AB2BF30">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724D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1881F756">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16</w:t>
                  </w:r>
                </w:p>
              </w:tc>
              <w:tc>
                <w:tcPr>
                  <w:tcW w:w="1179" w:type="dxa"/>
                  <w:shd w:val="clear" w:color="auto" w:fill="auto"/>
                  <w:noWrap w:val="0"/>
                  <w:vAlign w:val="center"/>
                </w:tcPr>
                <w:p w14:paraId="239C13D2">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热缩管包裹单元</w:t>
                  </w:r>
                </w:p>
              </w:tc>
              <w:tc>
                <w:tcPr>
                  <w:tcW w:w="977" w:type="dxa"/>
                  <w:shd w:val="clear" w:color="auto" w:fill="auto"/>
                  <w:noWrap w:val="0"/>
                  <w:vAlign w:val="center"/>
                </w:tcPr>
                <w:p w14:paraId="408E154A">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热缩管包裹</w:t>
                  </w:r>
                </w:p>
              </w:tc>
              <w:tc>
                <w:tcPr>
                  <w:tcW w:w="1681" w:type="dxa"/>
                  <w:shd w:val="clear" w:color="auto" w:fill="auto"/>
                  <w:noWrap w:val="0"/>
                  <w:vAlign w:val="center"/>
                </w:tcPr>
                <w:p w14:paraId="402A4CE1">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热风枪</w:t>
                  </w:r>
                </w:p>
              </w:tc>
              <w:tc>
                <w:tcPr>
                  <w:tcW w:w="1378" w:type="dxa"/>
                  <w:shd w:val="clear" w:color="auto" w:fill="auto"/>
                  <w:noWrap w:val="0"/>
                  <w:vAlign w:val="center"/>
                </w:tcPr>
                <w:p w14:paraId="3BE568C1">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598C3E13">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SS-979H</w:t>
                  </w:r>
                </w:p>
              </w:tc>
              <w:tc>
                <w:tcPr>
                  <w:tcW w:w="1186" w:type="dxa"/>
                  <w:noWrap w:val="0"/>
                  <w:vAlign w:val="center"/>
                </w:tcPr>
                <w:p w14:paraId="2DFC892E">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01B5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645357DD">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17</w:t>
                  </w:r>
                </w:p>
              </w:tc>
              <w:tc>
                <w:tcPr>
                  <w:tcW w:w="1179" w:type="dxa"/>
                  <w:vMerge w:val="restart"/>
                  <w:shd w:val="clear" w:color="auto" w:fill="auto"/>
                  <w:noWrap w:val="0"/>
                  <w:vAlign w:val="center"/>
                </w:tcPr>
                <w:p w14:paraId="4BEC4EC9">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刷锡单元</w:t>
                  </w:r>
                </w:p>
              </w:tc>
              <w:tc>
                <w:tcPr>
                  <w:tcW w:w="977" w:type="dxa"/>
                  <w:shd w:val="clear" w:color="auto" w:fill="auto"/>
                  <w:noWrap w:val="0"/>
                  <w:vAlign w:val="center"/>
                </w:tcPr>
                <w:p w14:paraId="1D37BACC">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刷锡</w:t>
                  </w:r>
                </w:p>
              </w:tc>
              <w:tc>
                <w:tcPr>
                  <w:tcW w:w="1681" w:type="dxa"/>
                  <w:shd w:val="clear" w:color="auto" w:fill="auto"/>
                  <w:noWrap w:val="0"/>
                  <w:vAlign w:val="center"/>
                </w:tcPr>
                <w:p w14:paraId="71DDC482">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全自动丝印机</w:t>
                  </w:r>
                </w:p>
              </w:tc>
              <w:tc>
                <w:tcPr>
                  <w:tcW w:w="1378" w:type="dxa"/>
                  <w:shd w:val="clear" w:color="auto" w:fill="auto"/>
                  <w:noWrap w:val="0"/>
                  <w:vAlign w:val="center"/>
                </w:tcPr>
                <w:p w14:paraId="7BFB68E0">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73D01D28">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GS556T</w:t>
                  </w:r>
                </w:p>
              </w:tc>
              <w:tc>
                <w:tcPr>
                  <w:tcW w:w="1186" w:type="dxa"/>
                  <w:noWrap w:val="0"/>
                  <w:vAlign w:val="center"/>
                </w:tcPr>
                <w:p w14:paraId="56E7AE92">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6FBF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0AE09B17">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18</w:t>
                  </w:r>
                </w:p>
              </w:tc>
              <w:tc>
                <w:tcPr>
                  <w:tcW w:w="1179" w:type="dxa"/>
                  <w:vMerge w:val="continue"/>
                  <w:shd w:val="clear" w:color="auto" w:fill="auto"/>
                  <w:noWrap w:val="0"/>
                  <w:vAlign w:val="center"/>
                </w:tcPr>
                <w:p w14:paraId="193078F2">
                  <w:pPr>
                    <w:pStyle w:val="60"/>
                    <w:rPr>
                      <w:rFonts w:hint="eastAsia" w:cs="Times New Roman"/>
                      <w:b w:val="0"/>
                      <w:bCs/>
                      <w:snapToGrid w:val="0"/>
                      <w:color w:val="FF0000"/>
                      <w:szCs w:val="21"/>
                      <w:lang w:val="en-US" w:eastAsia="zh-CN"/>
                    </w:rPr>
                  </w:pPr>
                </w:p>
              </w:tc>
              <w:tc>
                <w:tcPr>
                  <w:tcW w:w="977" w:type="dxa"/>
                  <w:shd w:val="clear" w:color="auto" w:fill="auto"/>
                  <w:noWrap w:val="0"/>
                  <w:vAlign w:val="center"/>
                </w:tcPr>
                <w:p w14:paraId="646C6F85">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锡膏搅拌</w:t>
                  </w:r>
                </w:p>
              </w:tc>
              <w:tc>
                <w:tcPr>
                  <w:tcW w:w="1681" w:type="dxa"/>
                  <w:shd w:val="clear" w:color="auto" w:fill="auto"/>
                  <w:noWrap w:val="0"/>
                  <w:vAlign w:val="center"/>
                </w:tcPr>
                <w:p w14:paraId="27B24433">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锡膏搅拌机</w:t>
                  </w:r>
                </w:p>
              </w:tc>
              <w:tc>
                <w:tcPr>
                  <w:tcW w:w="1378" w:type="dxa"/>
                  <w:shd w:val="clear" w:color="auto" w:fill="auto"/>
                  <w:noWrap w:val="0"/>
                  <w:vAlign w:val="center"/>
                </w:tcPr>
                <w:p w14:paraId="39EF3BAF">
                  <w:pPr>
                    <w:jc w:val="center"/>
                    <w:rPr>
                      <w:rFonts w:hint="eastAsia"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40C1B8D5">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NSTAR-600</w:t>
                  </w:r>
                </w:p>
              </w:tc>
              <w:tc>
                <w:tcPr>
                  <w:tcW w:w="1186" w:type="dxa"/>
                  <w:noWrap w:val="0"/>
                  <w:vAlign w:val="center"/>
                </w:tcPr>
                <w:p w14:paraId="4FB1DC30">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52A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17AACAC6">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19</w:t>
                  </w:r>
                </w:p>
              </w:tc>
              <w:tc>
                <w:tcPr>
                  <w:tcW w:w="1179" w:type="dxa"/>
                  <w:vMerge w:val="restart"/>
                  <w:shd w:val="clear" w:color="auto" w:fill="auto"/>
                  <w:noWrap w:val="0"/>
                  <w:vAlign w:val="center"/>
                </w:tcPr>
                <w:p w14:paraId="7267BF0B">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贴装单元</w:t>
                  </w:r>
                </w:p>
              </w:tc>
              <w:tc>
                <w:tcPr>
                  <w:tcW w:w="977" w:type="dxa"/>
                  <w:vMerge w:val="restart"/>
                  <w:shd w:val="clear" w:color="auto" w:fill="auto"/>
                  <w:noWrap w:val="0"/>
                  <w:vAlign w:val="center"/>
                </w:tcPr>
                <w:p w14:paraId="29A49715">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贴装</w:t>
                  </w:r>
                </w:p>
              </w:tc>
              <w:tc>
                <w:tcPr>
                  <w:tcW w:w="1681" w:type="dxa"/>
                  <w:shd w:val="clear" w:color="auto" w:fill="auto"/>
                  <w:noWrap w:val="0"/>
                  <w:vAlign w:val="center"/>
                </w:tcPr>
                <w:p w14:paraId="2E20B155">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SMT贴片机</w:t>
                  </w:r>
                </w:p>
              </w:tc>
              <w:tc>
                <w:tcPr>
                  <w:tcW w:w="1378" w:type="dxa"/>
                  <w:shd w:val="clear" w:color="auto" w:fill="auto"/>
                  <w:noWrap w:val="0"/>
                  <w:vAlign w:val="center"/>
                </w:tcPr>
                <w:p w14:paraId="0B348F78">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00A7F3A9">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SM481PLUS</w:t>
                  </w:r>
                </w:p>
              </w:tc>
              <w:tc>
                <w:tcPr>
                  <w:tcW w:w="1186" w:type="dxa"/>
                  <w:noWrap w:val="0"/>
                  <w:vAlign w:val="center"/>
                </w:tcPr>
                <w:p w14:paraId="21A794F2">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58D9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1509D553">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20</w:t>
                  </w:r>
                </w:p>
              </w:tc>
              <w:tc>
                <w:tcPr>
                  <w:tcW w:w="1179" w:type="dxa"/>
                  <w:vMerge w:val="continue"/>
                  <w:shd w:val="clear" w:color="auto" w:fill="auto"/>
                  <w:noWrap w:val="0"/>
                  <w:vAlign w:val="center"/>
                </w:tcPr>
                <w:p w14:paraId="19EB9535">
                  <w:pPr>
                    <w:pStyle w:val="60"/>
                    <w:rPr>
                      <w:rFonts w:hint="eastAsia" w:cs="Times New Roman"/>
                      <w:b w:val="0"/>
                      <w:bCs/>
                      <w:snapToGrid w:val="0"/>
                      <w:color w:val="auto"/>
                      <w:szCs w:val="21"/>
                      <w:lang w:val="en-US" w:eastAsia="zh-CN"/>
                    </w:rPr>
                  </w:pPr>
                </w:p>
              </w:tc>
              <w:tc>
                <w:tcPr>
                  <w:tcW w:w="977" w:type="dxa"/>
                  <w:vMerge w:val="continue"/>
                  <w:shd w:val="clear" w:color="auto" w:fill="auto"/>
                  <w:noWrap w:val="0"/>
                  <w:vAlign w:val="center"/>
                </w:tcPr>
                <w:p w14:paraId="6BECC937">
                  <w:pPr>
                    <w:pStyle w:val="60"/>
                    <w:rPr>
                      <w:rFonts w:hint="default" w:ascii="Times New Roman" w:hAnsi="Times New Roman" w:eastAsia="宋体" w:cs="Times New Roman"/>
                      <w:b w:val="0"/>
                      <w:bCs/>
                      <w:snapToGrid w:val="0"/>
                      <w:color w:val="FF0000"/>
                      <w:szCs w:val="21"/>
                      <w:lang w:val="en-US" w:eastAsia="zh-CN"/>
                    </w:rPr>
                  </w:pPr>
                </w:p>
              </w:tc>
              <w:tc>
                <w:tcPr>
                  <w:tcW w:w="1681" w:type="dxa"/>
                  <w:shd w:val="clear" w:color="auto" w:fill="auto"/>
                  <w:noWrap w:val="0"/>
                  <w:vAlign w:val="center"/>
                </w:tcPr>
                <w:p w14:paraId="2817B114">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SMT点料机</w:t>
                  </w:r>
                </w:p>
              </w:tc>
              <w:tc>
                <w:tcPr>
                  <w:tcW w:w="1378" w:type="dxa"/>
                  <w:shd w:val="clear" w:color="auto" w:fill="auto"/>
                  <w:noWrap w:val="0"/>
                  <w:vAlign w:val="center"/>
                </w:tcPr>
                <w:p w14:paraId="5C12E52A">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43890529">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IH882</w:t>
                  </w:r>
                </w:p>
              </w:tc>
              <w:tc>
                <w:tcPr>
                  <w:tcW w:w="1186" w:type="dxa"/>
                  <w:noWrap w:val="0"/>
                  <w:vAlign w:val="center"/>
                </w:tcPr>
                <w:p w14:paraId="357503A4">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4B03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21A6ED0F">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21</w:t>
                  </w:r>
                </w:p>
              </w:tc>
              <w:tc>
                <w:tcPr>
                  <w:tcW w:w="1179" w:type="dxa"/>
                  <w:vMerge w:val="continue"/>
                  <w:shd w:val="clear" w:color="auto" w:fill="auto"/>
                  <w:noWrap w:val="0"/>
                  <w:vAlign w:val="center"/>
                </w:tcPr>
                <w:p w14:paraId="3C2DA7F5">
                  <w:pPr>
                    <w:pStyle w:val="60"/>
                    <w:rPr>
                      <w:rFonts w:hint="eastAsia" w:cs="Times New Roman"/>
                      <w:b w:val="0"/>
                      <w:bCs/>
                      <w:snapToGrid w:val="0"/>
                      <w:color w:val="auto"/>
                      <w:szCs w:val="21"/>
                      <w:lang w:val="en-US" w:eastAsia="zh-CN"/>
                    </w:rPr>
                  </w:pPr>
                </w:p>
              </w:tc>
              <w:tc>
                <w:tcPr>
                  <w:tcW w:w="977" w:type="dxa"/>
                  <w:vMerge w:val="continue"/>
                  <w:shd w:val="clear" w:color="auto" w:fill="auto"/>
                  <w:noWrap w:val="0"/>
                  <w:vAlign w:val="center"/>
                </w:tcPr>
                <w:p w14:paraId="25F335FA">
                  <w:pPr>
                    <w:pStyle w:val="60"/>
                    <w:rPr>
                      <w:rFonts w:hint="default" w:ascii="Times New Roman" w:hAnsi="Times New Roman" w:eastAsia="宋体" w:cs="Times New Roman"/>
                      <w:b w:val="0"/>
                      <w:bCs/>
                      <w:snapToGrid w:val="0"/>
                      <w:color w:val="FF0000"/>
                      <w:szCs w:val="21"/>
                      <w:lang w:val="en-US" w:eastAsia="zh-CN"/>
                    </w:rPr>
                  </w:pPr>
                </w:p>
              </w:tc>
              <w:tc>
                <w:tcPr>
                  <w:tcW w:w="1681" w:type="dxa"/>
                  <w:shd w:val="clear" w:color="auto" w:fill="auto"/>
                  <w:noWrap w:val="0"/>
                  <w:vAlign w:val="center"/>
                </w:tcPr>
                <w:p w14:paraId="1B3AD160">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上板机</w:t>
                  </w:r>
                </w:p>
              </w:tc>
              <w:tc>
                <w:tcPr>
                  <w:tcW w:w="1378" w:type="dxa"/>
                  <w:shd w:val="clear" w:color="auto" w:fill="auto"/>
                  <w:noWrap w:val="0"/>
                  <w:vAlign w:val="center"/>
                </w:tcPr>
                <w:p w14:paraId="154E3F23">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7BC1D00B">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LD-M-TN</w:t>
                  </w:r>
                </w:p>
              </w:tc>
              <w:tc>
                <w:tcPr>
                  <w:tcW w:w="1186" w:type="dxa"/>
                  <w:noWrap w:val="0"/>
                  <w:vAlign w:val="center"/>
                </w:tcPr>
                <w:p w14:paraId="1D1DC428">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0758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255AD7A8">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22</w:t>
                  </w:r>
                </w:p>
              </w:tc>
              <w:tc>
                <w:tcPr>
                  <w:tcW w:w="1179" w:type="dxa"/>
                  <w:vMerge w:val="continue"/>
                  <w:shd w:val="clear" w:color="auto" w:fill="auto"/>
                  <w:noWrap w:val="0"/>
                  <w:vAlign w:val="center"/>
                </w:tcPr>
                <w:p w14:paraId="2EBDBD8B">
                  <w:pPr>
                    <w:pStyle w:val="60"/>
                    <w:rPr>
                      <w:rFonts w:hint="eastAsia" w:cs="Times New Roman"/>
                      <w:b w:val="0"/>
                      <w:bCs/>
                      <w:snapToGrid w:val="0"/>
                      <w:color w:val="auto"/>
                      <w:szCs w:val="21"/>
                      <w:lang w:val="en-US" w:eastAsia="zh-CN"/>
                    </w:rPr>
                  </w:pPr>
                </w:p>
              </w:tc>
              <w:tc>
                <w:tcPr>
                  <w:tcW w:w="977" w:type="dxa"/>
                  <w:vMerge w:val="continue"/>
                  <w:shd w:val="clear" w:color="auto" w:fill="auto"/>
                  <w:noWrap w:val="0"/>
                  <w:vAlign w:val="center"/>
                </w:tcPr>
                <w:p w14:paraId="177BEB0C">
                  <w:pPr>
                    <w:pStyle w:val="60"/>
                    <w:rPr>
                      <w:rFonts w:hint="default" w:ascii="Times New Roman" w:hAnsi="Times New Roman" w:eastAsia="宋体" w:cs="Times New Roman"/>
                      <w:b w:val="0"/>
                      <w:bCs/>
                      <w:snapToGrid w:val="0"/>
                      <w:color w:val="FF0000"/>
                      <w:szCs w:val="21"/>
                      <w:lang w:val="en-US" w:eastAsia="zh-CN"/>
                    </w:rPr>
                  </w:pPr>
                </w:p>
              </w:tc>
              <w:tc>
                <w:tcPr>
                  <w:tcW w:w="1681" w:type="dxa"/>
                  <w:shd w:val="clear" w:color="auto" w:fill="auto"/>
                  <w:noWrap w:val="0"/>
                  <w:vAlign w:val="center"/>
                </w:tcPr>
                <w:p w14:paraId="7340523C">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下板机</w:t>
                  </w:r>
                </w:p>
              </w:tc>
              <w:tc>
                <w:tcPr>
                  <w:tcW w:w="1378" w:type="dxa"/>
                  <w:shd w:val="clear" w:color="auto" w:fill="auto"/>
                  <w:noWrap w:val="0"/>
                  <w:vAlign w:val="center"/>
                </w:tcPr>
                <w:p w14:paraId="247F6E43">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032727FA">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UL-M-TN</w:t>
                  </w:r>
                </w:p>
              </w:tc>
              <w:tc>
                <w:tcPr>
                  <w:tcW w:w="1186" w:type="dxa"/>
                  <w:noWrap w:val="0"/>
                  <w:vAlign w:val="center"/>
                </w:tcPr>
                <w:p w14:paraId="12C096D3">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938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6A144A74">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23</w:t>
                  </w:r>
                </w:p>
              </w:tc>
              <w:tc>
                <w:tcPr>
                  <w:tcW w:w="1179" w:type="dxa"/>
                  <w:shd w:val="clear" w:color="auto" w:fill="auto"/>
                  <w:noWrap w:val="0"/>
                  <w:vAlign w:val="center"/>
                </w:tcPr>
                <w:p w14:paraId="558F07A0">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分板单元</w:t>
                  </w:r>
                </w:p>
              </w:tc>
              <w:tc>
                <w:tcPr>
                  <w:tcW w:w="977" w:type="dxa"/>
                  <w:shd w:val="clear" w:color="auto" w:fill="auto"/>
                  <w:noWrap w:val="0"/>
                  <w:vAlign w:val="center"/>
                </w:tcPr>
                <w:p w14:paraId="4F792D67">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分割</w:t>
                  </w:r>
                </w:p>
              </w:tc>
              <w:tc>
                <w:tcPr>
                  <w:tcW w:w="1681" w:type="dxa"/>
                  <w:shd w:val="clear" w:color="auto" w:fill="auto"/>
                  <w:noWrap w:val="0"/>
                  <w:vAlign w:val="center"/>
                </w:tcPr>
                <w:p w14:paraId="23048005">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自动走板式基板裁板机</w:t>
                  </w:r>
                </w:p>
              </w:tc>
              <w:tc>
                <w:tcPr>
                  <w:tcW w:w="1378" w:type="dxa"/>
                  <w:shd w:val="clear" w:color="auto" w:fill="auto"/>
                  <w:noWrap w:val="0"/>
                  <w:vAlign w:val="center"/>
                </w:tcPr>
                <w:p w14:paraId="350AA3CA">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1F5342C0">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MRD-908S</w:t>
                  </w:r>
                </w:p>
              </w:tc>
              <w:tc>
                <w:tcPr>
                  <w:tcW w:w="1186" w:type="dxa"/>
                  <w:noWrap w:val="0"/>
                  <w:vAlign w:val="center"/>
                </w:tcPr>
                <w:p w14:paraId="62CC0010">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7FA4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5A7651C4">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24</w:t>
                  </w:r>
                </w:p>
              </w:tc>
              <w:tc>
                <w:tcPr>
                  <w:tcW w:w="1179" w:type="dxa"/>
                  <w:shd w:val="clear" w:color="auto" w:fill="auto"/>
                  <w:noWrap w:val="0"/>
                  <w:vAlign w:val="center"/>
                </w:tcPr>
                <w:p w14:paraId="047C62A4">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剪脚单元</w:t>
                  </w:r>
                </w:p>
              </w:tc>
              <w:tc>
                <w:tcPr>
                  <w:tcW w:w="977" w:type="dxa"/>
                  <w:shd w:val="clear" w:color="auto" w:fill="auto"/>
                  <w:noWrap w:val="0"/>
                  <w:vAlign w:val="center"/>
                </w:tcPr>
                <w:p w14:paraId="1E02C510">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剪脚</w:t>
                  </w:r>
                </w:p>
              </w:tc>
              <w:tc>
                <w:tcPr>
                  <w:tcW w:w="1681" w:type="dxa"/>
                  <w:shd w:val="clear" w:color="auto" w:fill="auto"/>
                  <w:noWrap w:val="0"/>
                  <w:vAlign w:val="center"/>
                </w:tcPr>
                <w:p w14:paraId="44C560C3">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散装电容电阻剪脚机</w:t>
                  </w:r>
                </w:p>
              </w:tc>
              <w:tc>
                <w:tcPr>
                  <w:tcW w:w="1378" w:type="dxa"/>
                  <w:shd w:val="clear" w:color="auto" w:fill="auto"/>
                  <w:noWrap w:val="0"/>
                  <w:vAlign w:val="center"/>
                </w:tcPr>
                <w:p w14:paraId="08FB5CC9">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1C19B8DA">
                  <w:pPr>
                    <w:jc w:val="center"/>
                    <w:rPr>
                      <w:rFonts w:hint="eastAsia"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RJ-202</w:t>
                  </w:r>
                </w:p>
              </w:tc>
              <w:tc>
                <w:tcPr>
                  <w:tcW w:w="1186" w:type="dxa"/>
                  <w:noWrap w:val="0"/>
                  <w:vAlign w:val="center"/>
                </w:tcPr>
                <w:p w14:paraId="7239EBE8">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3F6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034F6EA8">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25</w:t>
                  </w:r>
                </w:p>
              </w:tc>
              <w:tc>
                <w:tcPr>
                  <w:tcW w:w="1179" w:type="dxa"/>
                  <w:vMerge w:val="restart"/>
                  <w:shd w:val="clear" w:color="auto" w:fill="auto"/>
                  <w:noWrap w:val="0"/>
                  <w:vAlign w:val="center"/>
                </w:tcPr>
                <w:p w14:paraId="51CC7B62">
                  <w:pPr>
                    <w:pStyle w:val="60"/>
                    <w:rPr>
                      <w:rFonts w:hint="default" w:cs="Times New Roman"/>
                      <w:b w:val="0"/>
                      <w:bCs/>
                      <w:snapToGrid w:val="0"/>
                      <w:color w:val="FF0000"/>
                      <w:szCs w:val="21"/>
                      <w:lang w:val="en-US" w:eastAsia="zh-CN"/>
                    </w:rPr>
                  </w:pPr>
                  <w:r>
                    <w:rPr>
                      <w:rFonts w:hint="eastAsia" w:cs="Times New Roman"/>
                      <w:b w:val="0"/>
                      <w:bCs/>
                      <w:snapToGrid w:val="0"/>
                      <w:color w:val="auto"/>
                      <w:szCs w:val="21"/>
                      <w:lang w:val="en-US" w:eastAsia="zh-CN"/>
                    </w:rPr>
                    <w:t>检验单元</w:t>
                  </w:r>
                </w:p>
              </w:tc>
              <w:tc>
                <w:tcPr>
                  <w:tcW w:w="977" w:type="dxa"/>
                  <w:vMerge w:val="restart"/>
                  <w:shd w:val="clear" w:color="auto" w:fill="auto"/>
                  <w:noWrap w:val="0"/>
                  <w:vAlign w:val="center"/>
                </w:tcPr>
                <w:p w14:paraId="43285957">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成品检验</w:t>
                  </w:r>
                </w:p>
              </w:tc>
              <w:tc>
                <w:tcPr>
                  <w:tcW w:w="1681" w:type="dxa"/>
                  <w:shd w:val="clear" w:color="auto" w:fill="auto"/>
                  <w:noWrap w:val="0"/>
                  <w:vAlign w:val="center"/>
                </w:tcPr>
                <w:p w14:paraId="1EF16A60">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高低温湿热试验箱</w:t>
                  </w:r>
                </w:p>
              </w:tc>
              <w:tc>
                <w:tcPr>
                  <w:tcW w:w="1378" w:type="dxa"/>
                  <w:shd w:val="clear" w:color="auto" w:fill="auto"/>
                  <w:noWrap w:val="0"/>
                  <w:vAlign w:val="center"/>
                </w:tcPr>
                <w:p w14:paraId="5B710475">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562FA2CB">
                  <w:pPr>
                    <w:jc w:val="center"/>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val="0"/>
                      <w:bCs/>
                      <w:color w:val="auto"/>
                      <w:kern w:val="0"/>
                      <w:szCs w:val="21"/>
                      <w:lang w:val="en-US" w:eastAsia="zh-CN"/>
                    </w:rPr>
                    <w:t>M/THP120L</w:t>
                  </w:r>
                </w:p>
              </w:tc>
              <w:tc>
                <w:tcPr>
                  <w:tcW w:w="1186" w:type="dxa"/>
                  <w:noWrap w:val="0"/>
                  <w:vAlign w:val="center"/>
                </w:tcPr>
                <w:p w14:paraId="70A145F5">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5F34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4C87E3EB">
                  <w:pPr>
                    <w:pStyle w:val="60"/>
                    <w:rPr>
                      <w:rFonts w:hint="default" w:ascii="Times New Roman" w:hAnsi="Times New Roman" w:eastAsia="宋体" w:cs="Times New Roman"/>
                      <w:b w:val="0"/>
                      <w:bCs/>
                      <w:snapToGrid w:val="0"/>
                      <w:color w:val="auto"/>
                      <w:szCs w:val="21"/>
                      <w:lang w:val="en-US" w:eastAsia="zh-CN"/>
                    </w:rPr>
                  </w:pPr>
                  <w:r>
                    <w:rPr>
                      <w:rFonts w:hint="eastAsia" w:cs="Times New Roman"/>
                      <w:b w:val="0"/>
                      <w:bCs/>
                      <w:snapToGrid w:val="0"/>
                      <w:color w:val="auto"/>
                      <w:szCs w:val="21"/>
                      <w:lang w:val="en-US" w:eastAsia="zh-CN"/>
                    </w:rPr>
                    <w:t>26</w:t>
                  </w:r>
                </w:p>
              </w:tc>
              <w:tc>
                <w:tcPr>
                  <w:tcW w:w="1179" w:type="dxa"/>
                  <w:vMerge w:val="continue"/>
                  <w:shd w:val="clear" w:color="auto" w:fill="auto"/>
                  <w:noWrap w:val="0"/>
                  <w:vAlign w:val="center"/>
                </w:tcPr>
                <w:p w14:paraId="69160B06">
                  <w:pPr>
                    <w:pStyle w:val="60"/>
                    <w:rPr>
                      <w:rFonts w:hint="default" w:ascii="Times New Roman" w:hAnsi="Times New Roman" w:eastAsia="宋体" w:cs="Times New Roman"/>
                      <w:b w:val="0"/>
                      <w:bCs/>
                      <w:snapToGrid w:val="0"/>
                      <w:color w:val="FF0000"/>
                      <w:szCs w:val="21"/>
                      <w:lang w:val="en-US" w:eastAsia="zh-CN"/>
                    </w:rPr>
                  </w:pPr>
                </w:p>
              </w:tc>
              <w:tc>
                <w:tcPr>
                  <w:tcW w:w="977" w:type="dxa"/>
                  <w:vMerge w:val="continue"/>
                  <w:shd w:val="clear" w:color="auto" w:fill="auto"/>
                  <w:noWrap w:val="0"/>
                  <w:vAlign w:val="center"/>
                </w:tcPr>
                <w:p w14:paraId="5AD22EF4">
                  <w:pPr>
                    <w:pStyle w:val="60"/>
                    <w:rPr>
                      <w:rFonts w:hint="default" w:ascii="Times New Roman" w:hAnsi="Times New Roman" w:eastAsia="宋体" w:cs="Times New Roman"/>
                      <w:b w:val="0"/>
                      <w:bCs/>
                      <w:snapToGrid w:val="0"/>
                      <w:color w:val="FF0000"/>
                      <w:szCs w:val="21"/>
                      <w:lang w:val="en-US" w:eastAsia="zh-CN"/>
                    </w:rPr>
                  </w:pPr>
                </w:p>
              </w:tc>
              <w:tc>
                <w:tcPr>
                  <w:tcW w:w="1681" w:type="dxa"/>
                  <w:shd w:val="clear" w:color="auto" w:fill="auto"/>
                  <w:noWrap w:val="0"/>
                  <w:vAlign w:val="center"/>
                </w:tcPr>
                <w:p w14:paraId="5285EEEB">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老化测试平台</w:t>
                  </w:r>
                </w:p>
              </w:tc>
              <w:tc>
                <w:tcPr>
                  <w:tcW w:w="1378" w:type="dxa"/>
                  <w:shd w:val="clear" w:color="auto" w:fill="auto"/>
                  <w:noWrap w:val="0"/>
                  <w:vAlign w:val="center"/>
                </w:tcPr>
                <w:p w14:paraId="0C26FA4C">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0FA4860E">
                  <w:pPr>
                    <w:jc w:val="center"/>
                    <w:rPr>
                      <w:rFonts w:hint="default"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w:t>
                  </w:r>
                </w:p>
              </w:tc>
              <w:tc>
                <w:tcPr>
                  <w:tcW w:w="1186" w:type="dxa"/>
                  <w:noWrap w:val="0"/>
                  <w:vAlign w:val="center"/>
                </w:tcPr>
                <w:p w14:paraId="6158B446">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255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3A98C700">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27</w:t>
                  </w:r>
                </w:p>
              </w:tc>
              <w:tc>
                <w:tcPr>
                  <w:tcW w:w="1179" w:type="dxa"/>
                  <w:vMerge w:val="continue"/>
                  <w:shd w:val="clear" w:color="auto" w:fill="auto"/>
                  <w:noWrap w:val="0"/>
                  <w:vAlign w:val="center"/>
                </w:tcPr>
                <w:p w14:paraId="07FF9E6A">
                  <w:pPr>
                    <w:pStyle w:val="60"/>
                    <w:rPr>
                      <w:rFonts w:hint="default" w:cs="Times New Roman"/>
                      <w:b w:val="0"/>
                      <w:bCs/>
                      <w:snapToGrid w:val="0"/>
                      <w:color w:val="FF0000"/>
                      <w:szCs w:val="21"/>
                      <w:lang w:val="en-US" w:eastAsia="zh-CN"/>
                    </w:rPr>
                  </w:pPr>
                </w:p>
              </w:tc>
              <w:tc>
                <w:tcPr>
                  <w:tcW w:w="977" w:type="dxa"/>
                  <w:vMerge w:val="continue"/>
                  <w:shd w:val="clear" w:color="auto" w:fill="auto"/>
                  <w:noWrap w:val="0"/>
                  <w:vAlign w:val="center"/>
                </w:tcPr>
                <w:p w14:paraId="241C0FA2">
                  <w:pPr>
                    <w:pStyle w:val="60"/>
                    <w:rPr>
                      <w:rFonts w:hint="default" w:cs="Times New Roman"/>
                      <w:b w:val="0"/>
                      <w:bCs/>
                      <w:snapToGrid w:val="0"/>
                      <w:color w:val="FF0000"/>
                      <w:szCs w:val="21"/>
                      <w:lang w:val="en-US" w:eastAsia="zh-CN"/>
                    </w:rPr>
                  </w:pPr>
                </w:p>
              </w:tc>
              <w:tc>
                <w:tcPr>
                  <w:tcW w:w="1681" w:type="dxa"/>
                  <w:shd w:val="clear" w:color="auto" w:fill="auto"/>
                  <w:noWrap w:val="0"/>
                  <w:vAlign w:val="center"/>
                </w:tcPr>
                <w:p w14:paraId="226D7EF7">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电子数显弹簧拉压试验机</w:t>
                  </w:r>
                </w:p>
              </w:tc>
              <w:tc>
                <w:tcPr>
                  <w:tcW w:w="1378" w:type="dxa"/>
                  <w:shd w:val="clear" w:color="auto" w:fill="auto"/>
                  <w:noWrap w:val="0"/>
                  <w:vAlign w:val="center"/>
                </w:tcPr>
                <w:p w14:paraId="7E619BED">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251D7D39">
                  <w:pPr>
                    <w:jc w:val="center"/>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val="0"/>
                      <w:bCs/>
                      <w:color w:val="auto"/>
                      <w:kern w:val="0"/>
                      <w:szCs w:val="21"/>
                      <w:lang w:val="en-US" w:eastAsia="zh-CN"/>
                    </w:rPr>
                    <w:t>SD-10B</w:t>
                  </w:r>
                </w:p>
              </w:tc>
              <w:tc>
                <w:tcPr>
                  <w:tcW w:w="1186" w:type="dxa"/>
                  <w:noWrap w:val="0"/>
                  <w:vAlign w:val="center"/>
                </w:tcPr>
                <w:p w14:paraId="511626F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2#车间</w:t>
                  </w:r>
                </w:p>
              </w:tc>
            </w:tr>
            <w:tr w14:paraId="73C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3915F574">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28</w:t>
                  </w:r>
                </w:p>
              </w:tc>
              <w:tc>
                <w:tcPr>
                  <w:tcW w:w="1179" w:type="dxa"/>
                  <w:vMerge w:val="continue"/>
                  <w:shd w:val="clear" w:color="auto" w:fill="auto"/>
                  <w:noWrap w:val="0"/>
                  <w:vAlign w:val="center"/>
                </w:tcPr>
                <w:p w14:paraId="2FCC0D45">
                  <w:pPr>
                    <w:pStyle w:val="60"/>
                    <w:rPr>
                      <w:rFonts w:hint="eastAsia" w:cs="Times New Roman"/>
                      <w:b w:val="0"/>
                      <w:bCs/>
                      <w:snapToGrid w:val="0"/>
                      <w:color w:val="FF0000"/>
                      <w:szCs w:val="21"/>
                      <w:lang w:val="en-US" w:eastAsia="zh-CN"/>
                    </w:rPr>
                  </w:pPr>
                </w:p>
              </w:tc>
              <w:tc>
                <w:tcPr>
                  <w:tcW w:w="977" w:type="dxa"/>
                  <w:vMerge w:val="continue"/>
                  <w:shd w:val="clear" w:color="auto" w:fill="auto"/>
                  <w:noWrap w:val="0"/>
                  <w:vAlign w:val="center"/>
                </w:tcPr>
                <w:p w14:paraId="295B0DC2">
                  <w:pPr>
                    <w:pStyle w:val="60"/>
                    <w:rPr>
                      <w:rFonts w:hint="eastAsia" w:cs="Times New Roman"/>
                      <w:b w:val="0"/>
                      <w:bCs/>
                      <w:snapToGrid w:val="0"/>
                      <w:color w:val="FF0000"/>
                      <w:szCs w:val="21"/>
                      <w:lang w:val="en-US" w:eastAsia="zh-CN"/>
                    </w:rPr>
                  </w:pPr>
                </w:p>
              </w:tc>
              <w:tc>
                <w:tcPr>
                  <w:tcW w:w="1681" w:type="dxa"/>
                  <w:shd w:val="clear" w:color="auto" w:fill="auto"/>
                  <w:noWrap w:val="0"/>
                  <w:vAlign w:val="center"/>
                </w:tcPr>
                <w:p w14:paraId="303FFA6F">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电阻测试仪</w:t>
                  </w:r>
                </w:p>
              </w:tc>
              <w:tc>
                <w:tcPr>
                  <w:tcW w:w="1378" w:type="dxa"/>
                  <w:shd w:val="clear" w:color="auto" w:fill="auto"/>
                  <w:noWrap w:val="0"/>
                  <w:vAlign w:val="center"/>
                </w:tcPr>
                <w:p w14:paraId="11C76121">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71BAC102">
                  <w:pPr>
                    <w:jc w:val="center"/>
                    <w:rPr>
                      <w:rFonts w:hint="default" w:ascii="Times New Roman" w:hAnsi="Times New Roman" w:eastAsia="宋体" w:cs="Times New Roman"/>
                      <w:b w:val="0"/>
                      <w:bCs/>
                      <w:color w:val="auto"/>
                      <w:kern w:val="0"/>
                      <w:szCs w:val="21"/>
                    </w:rPr>
                  </w:pPr>
                  <w:r>
                    <w:rPr>
                      <w:rFonts w:hint="default" w:ascii="Times New Roman" w:hAnsi="Times New Roman" w:eastAsia="宋体" w:cs="Times New Roman"/>
                      <w:b w:val="0"/>
                      <w:bCs/>
                      <w:color w:val="auto"/>
                      <w:kern w:val="0"/>
                      <w:szCs w:val="21"/>
                    </w:rPr>
                    <w:t>JK2516A</w:t>
                  </w:r>
                </w:p>
              </w:tc>
              <w:tc>
                <w:tcPr>
                  <w:tcW w:w="1186" w:type="dxa"/>
                  <w:noWrap w:val="0"/>
                  <w:vAlign w:val="center"/>
                </w:tcPr>
                <w:p w14:paraId="05B9A4C0">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442D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3D241F38">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29</w:t>
                  </w:r>
                </w:p>
              </w:tc>
              <w:tc>
                <w:tcPr>
                  <w:tcW w:w="1179" w:type="dxa"/>
                  <w:vMerge w:val="continue"/>
                  <w:shd w:val="clear" w:color="auto" w:fill="auto"/>
                  <w:noWrap w:val="0"/>
                  <w:vAlign w:val="center"/>
                </w:tcPr>
                <w:p w14:paraId="338AA8F8">
                  <w:pPr>
                    <w:pStyle w:val="60"/>
                    <w:rPr>
                      <w:rFonts w:hint="eastAsia" w:cs="Times New Roman"/>
                      <w:b w:val="0"/>
                      <w:bCs/>
                      <w:snapToGrid w:val="0"/>
                      <w:color w:val="FF0000"/>
                      <w:szCs w:val="21"/>
                      <w:lang w:val="en-US" w:eastAsia="zh-CN"/>
                    </w:rPr>
                  </w:pPr>
                </w:p>
              </w:tc>
              <w:tc>
                <w:tcPr>
                  <w:tcW w:w="977" w:type="dxa"/>
                  <w:vMerge w:val="continue"/>
                  <w:shd w:val="clear" w:color="auto" w:fill="auto"/>
                  <w:noWrap w:val="0"/>
                  <w:vAlign w:val="center"/>
                </w:tcPr>
                <w:p w14:paraId="021C6A05">
                  <w:pPr>
                    <w:pStyle w:val="60"/>
                    <w:rPr>
                      <w:rFonts w:hint="eastAsia" w:cs="Times New Roman"/>
                      <w:b w:val="0"/>
                      <w:bCs/>
                      <w:snapToGrid w:val="0"/>
                      <w:color w:val="FF0000"/>
                      <w:szCs w:val="21"/>
                      <w:lang w:val="en-US" w:eastAsia="zh-CN"/>
                    </w:rPr>
                  </w:pPr>
                </w:p>
              </w:tc>
              <w:tc>
                <w:tcPr>
                  <w:tcW w:w="1681" w:type="dxa"/>
                  <w:shd w:val="clear" w:color="auto" w:fill="auto"/>
                  <w:noWrap w:val="0"/>
                  <w:vAlign w:val="center"/>
                </w:tcPr>
                <w:p w14:paraId="5599C683">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绝缘电阻测试仪</w:t>
                  </w:r>
                </w:p>
              </w:tc>
              <w:tc>
                <w:tcPr>
                  <w:tcW w:w="1378" w:type="dxa"/>
                  <w:shd w:val="clear" w:color="auto" w:fill="auto"/>
                  <w:noWrap w:val="0"/>
                  <w:vAlign w:val="center"/>
                </w:tcPr>
                <w:p w14:paraId="4960C375">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09852E4B">
                  <w:pPr>
                    <w:jc w:val="center"/>
                    <w:rPr>
                      <w:rFonts w:hint="default" w:ascii="Times New Roman" w:hAnsi="Times New Roman" w:eastAsia="宋体" w:cs="Times New Roman"/>
                      <w:b w:val="0"/>
                      <w:bCs/>
                      <w:color w:val="auto"/>
                      <w:kern w:val="0"/>
                      <w:szCs w:val="21"/>
                    </w:rPr>
                  </w:pPr>
                  <w:r>
                    <w:rPr>
                      <w:rFonts w:hint="default" w:ascii="Times New Roman" w:hAnsi="Times New Roman" w:eastAsia="宋体" w:cs="Times New Roman"/>
                      <w:b w:val="0"/>
                      <w:bCs/>
                      <w:color w:val="auto"/>
                      <w:kern w:val="0"/>
                      <w:szCs w:val="21"/>
                    </w:rPr>
                    <w:t>RK2682N</w:t>
                  </w:r>
                </w:p>
              </w:tc>
              <w:tc>
                <w:tcPr>
                  <w:tcW w:w="1186" w:type="dxa"/>
                  <w:noWrap w:val="0"/>
                  <w:vAlign w:val="center"/>
                </w:tcPr>
                <w:p w14:paraId="15B72E2C">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676F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721BB85E">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30</w:t>
                  </w:r>
                </w:p>
              </w:tc>
              <w:tc>
                <w:tcPr>
                  <w:tcW w:w="1179" w:type="dxa"/>
                  <w:vMerge w:val="continue"/>
                  <w:shd w:val="clear" w:color="auto" w:fill="auto"/>
                  <w:noWrap w:val="0"/>
                  <w:vAlign w:val="center"/>
                </w:tcPr>
                <w:p w14:paraId="7A0F2C73">
                  <w:pPr>
                    <w:pStyle w:val="60"/>
                    <w:rPr>
                      <w:rFonts w:hint="eastAsia" w:cs="Times New Roman"/>
                      <w:b w:val="0"/>
                      <w:bCs/>
                      <w:snapToGrid w:val="0"/>
                      <w:color w:val="FF0000"/>
                      <w:szCs w:val="21"/>
                      <w:lang w:val="en-US" w:eastAsia="zh-CN"/>
                    </w:rPr>
                  </w:pPr>
                </w:p>
              </w:tc>
              <w:tc>
                <w:tcPr>
                  <w:tcW w:w="977" w:type="dxa"/>
                  <w:vMerge w:val="continue"/>
                  <w:shd w:val="clear" w:color="auto" w:fill="auto"/>
                  <w:noWrap w:val="0"/>
                  <w:vAlign w:val="center"/>
                </w:tcPr>
                <w:p w14:paraId="1B842C18">
                  <w:pPr>
                    <w:pStyle w:val="60"/>
                    <w:rPr>
                      <w:rFonts w:hint="eastAsia" w:cs="Times New Roman"/>
                      <w:b w:val="0"/>
                      <w:bCs/>
                      <w:snapToGrid w:val="0"/>
                      <w:color w:val="FF0000"/>
                      <w:szCs w:val="21"/>
                      <w:lang w:val="en-US" w:eastAsia="zh-CN"/>
                    </w:rPr>
                  </w:pPr>
                </w:p>
              </w:tc>
              <w:tc>
                <w:tcPr>
                  <w:tcW w:w="1681" w:type="dxa"/>
                  <w:shd w:val="clear" w:color="auto" w:fill="auto"/>
                  <w:noWrap w:val="0"/>
                  <w:vAlign w:val="center"/>
                </w:tcPr>
                <w:p w14:paraId="063F34F2">
                  <w:pPr>
                    <w:jc w:val="center"/>
                    <w:rPr>
                      <w:rFonts w:hint="eastAsia"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耐压测试仪</w:t>
                  </w:r>
                </w:p>
              </w:tc>
              <w:tc>
                <w:tcPr>
                  <w:tcW w:w="1378" w:type="dxa"/>
                  <w:shd w:val="clear" w:color="auto" w:fill="auto"/>
                  <w:noWrap w:val="0"/>
                  <w:vAlign w:val="center"/>
                </w:tcPr>
                <w:p w14:paraId="12B11551">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6A2ECC65">
                  <w:pPr>
                    <w:jc w:val="center"/>
                    <w:rPr>
                      <w:rFonts w:hint="default" w:ascii="Times New Roman" w:hAnsi="Times New Roman" w:eastAsia="宋体" w:cs="Times New Roman"/>
                      <w:b w:val="0"/>
                      <w:bCs/>
                      <w:color w:val="auto"/>
                      <w:kern w:val="0"/>
                      <w:szCs w:val="21"/>
                    </w:rPr>
                  </w:pPr>
                  <w:r>
                    <w:rPr>
                      <w:rFonts w:hint="default" w:ascii="Times New Roman" w:hAnsi="Times New Roman" w:eastAsia="宋体" w:cs="Times New Roman"/>
                      <w:b w:val="0"/>
                      <w:bCs/>
                      <w:color w:val="auto"/>
                      <w:kern w:val="0"/>
                      <w:szCs w:val="21"/>
                    </w:rPr>
                    <w:t>RK2672AM型</w:t>
                  </w:r>
                </w:p>
              </w:tc>
              <w:tc>
                <w:tcPr>
                  <w:tcW w:w="1186" w:type="dxa"/>
                  <w:noWrap w:val="0"/>
                  <w:vAlign w:val="center"/>
                </w:tcPr>
                <w:p w14:paraId="6439C19B">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53C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315B3BC4">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31</w:t>
                  </w:r>
                </w:p>
              </w:tc>
              <w:tc>
                <w:tcPr>
                  <w:tcW w:w="1179" w:type="dxa"/>
                  <w:vMerge w:val="continue"/>
                  <w:shd w:val="clear" w:color="auto" w:fill="auto"/>
                  <w:noWrap w:val="0"/>
                  <w:vAlign w:val="center"/>
                </w:tcPr>
                <w:p w14:paraId="0440B615">
                  <w:pPr>
                    <w:pStyle w:val="60"/>
                    <w:rPr>
                      <w:rFonts w:hint="eastAsia" w:cs="Times New Roman"/>
                      <w:b w:val="0"/>
                      <w:bCs/>
                      <w:snapToGrid w:val="0"/>
                      <w:color w:val="FF0000"/>
                      <w:szCs w:val="21"/>
                      <w:lang w:val="en-US" w:eastAsia="zh-CN"/>
                    </w:rPr>
                  </w:pPr>
                </w:p>
              </w:tc>
              <w:tc>
                <w:tcPr>
                  <w:tcW w:w="977" w:type="dxa"/>
                  <w:vMerge w:val="continue"/>
                  <w:shd w:val="clear" w:color="auto" w:fill="auto"/>
                  <w:noWrap w:val="0"/>
                  <w:vAlign w:val="center"/>
                </w:tcPr>
                <w:p w14:paraId="2AA94E40">
                  <w:pPr>
                    <w:pStyle w:val="60"/>
                    <w:rPr>
                      <w:rFonts w:hint="default" w:cs="Times New Roman"/>
                      <w:b w:val="0"/>
                      <w:bCs/>
                      <w:snapToGrid w:val="0"/>
                      <w:color w:val="FF0000"/>
                      <w:szCs w:val="21"/>
                      <w:lang w:val="en-US" w:eastAsia="zh-CN"/>
                    </w:rPr>
                  </w:pPr>
                </w:p>
              </w:tc>
              <w:tc>
                <w:tcPr>
                  <w:tcW w:w="1681" w:type="dxa"/>
                  <w:shd w:val="clear" w:color="auto" w:fill="auto"/>
                  <w:noWrap w:val="0"/>
                  <w:vAlign w:val="center"/>
                </w:tcPr>
                <w:p w14:paraId="5700ED44">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电磁阀性能测试仪</w:t>
                  </w:r>
                </w:p>
              </w:tc>
              <w:tc>
                <w:tcPr>
                  <w:tcW w:w="1378" w:type="dxa"/>
                  <w:shd w:val="clear" w:color="auto" w:fill="auto"/>
                  <w:noWrap w:val="0"/>
                  <w:vAlign w:val="center"/>
                </w:tcPr>
                <w:p w14:paraId="5968AEE7">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600BBAB8">
                  <w:pPr>
                    <w:jc w:val="center"/>
                    <w:rPr>
                      <w:rFonts w:hint="default"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w:t>
                  </w:r>
                </w:p>
              </w:tc>
              <w:tc>
                <w:tcPr>
                  <w:tcW w:w="1186" w:type="dxa"/>
                  <w:noWrap w:val="0"/>
                  <w:vAlign w:val="center"/>
                </w:tcPr>
                <w:p w14:paraId="7033A7E3">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22B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681AC863">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32</w:t>
                  </w:r>
                </w:p>
              </w:tc>
              <w:tc>
                <w:tcPr>
                  <w:tcW w:w="1179" w:type="dxa"/>
                  <w:vMerge w:val="continue"/>
                  <w:shd w:val="clear" w:color="auto" w:fill="auto"/>
                  <w:noWrap w:val="0"/>
                  <w:vAlign w:val="center"/>
                </w:tcPr>
                <w:p w14:paraId="608977B4">
                  <w:pPr>
                    <w:pStyle w:val="60"/>
                    <w:rPr>
                      <w:rFonts w:hint="eastAsia" w:cs="Times New Roman"/>
                      <w:b w:val="0"/>
                      <w:bCs/>
                      <w:snapToGrid w:val="0"/>
                      <w:color w:val="FF0000"/>
                      <w:szCs w:val="21"/>
                      <w:lang w:val="en-US" w:eastAsia="zh-CN"/>
                    </w:rPr>
                  </w:pPr>
                </w:p>
              </w:tc>
              <w:tc>
                <w:tcPr>
                  <w:tcW w:w="977" w:type="dxa"/>
                  <w:vMerge w:val="continue"/>
                  <w:shd w:val="clear" w:color="auto" w:fill="auto"/>
                  <w:noWrap w:val="0"/>
                  <w:vAlign w:val="center"/>
                </w:tcPr>
                <w:p w14:paraId="2F221566">
                  <w:pPr>
                    <w:pStyle w:val="60"/>
                    <w:rPr>
                      <w:rFonts w:hint="eastAsia" w:cs="Times New Roman"/>
                      <w:b w:val="0"/>
                      <w:bCs/>
                      <w:snapToGrid w:val="0"/>
                      <w:color w:val="FF0000"/>
                      <w:szCs w:val="21"/>
                      <w:lang w:val="en-US" w:eastAsia="zh-CN"/>
                    </w:rPr>
                  </w:pPr>
                </w:p>
              </w:tc>
              <w:tc>
                <w:tcPr>
                  <w:tcW w:w="1681" w:type="dxa"/>
                  <w:shd w:val="clear" w:color="auto" w:fill="auto"/>
                  <w:noWrap w:val="0"/>
                  <w:vAlign w:val="center"/>
                </w:tcPr>
                <w:p w14:paraId="77AE643C">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电磁阀低功耗模块测试台</w:t>
                  </w:r>
                </w:p>
              </w:tc>
              <w:tc>
                <w:tcPr>
                  <w:tcW w:w="1378" w:type="dxa"/>
                  <w:shd w:val="clear" w:color="auto" w:fill="auto"/>
                  <w:noWrap w:val="0"/>
                  <w:vAlign w:val="center"/>
                </w:tcPr>
                <w:p w14:paraId="489B3F6D">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48E7C7E6">
                  <w:pPr>
                    <w:jc w:val="center"/>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val="0"/>
                      <w:bCs/>
                      <w:color w:val="auto"/>
                      <w:kern w:val="0"/>
                      <w:szCs w:val="21"/>
                      <w:lang w:val="en-US" w:eastAsia="zh-CN"/>
                    </w:rPr>
                    <w:t>TY-XP-001</w:t>
                  </w:r>
                </w:p>
              </w:tc>
              <w:tc>
                <w:tcPr>
                  <w:tcW w:w="1186" w:type="dxa"/>
                  <w:noWrap w:val="0"/>
                  <w:vAlign w:val="center"/>
                </w:tcPr>
                <w:p w14:paraId="597AA9A7">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ADF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6983CB6C">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33</w:t>
                  </w:r>
                </w:p>
              </w:tc>
              <w:tc>
                <w:tcPr>
                  <w:tcW w:w="1179" w:type="dxa"/>
                  <w:vMerge w:val="continue"/>
                  <w:shd w:val="clear" w:color="auto" w:fill="auto"/>
                  <w:noWrap w:val="0"/>
                  <w:vAlign w:val="center"/>
                </w:tcPr>
                <w:p w14:paraId="089E8860">
                  <w:pPr>
                    <w:pStyle w:val="60"/>
                    <w:rPr>
                      <w:rFonts w:hint="eastAsia" w:cs="Times New Roman"/>
                      <w:b w:val="0"/>
                      <w:bCs/>
                      <w:snapToGrid w:val="0"/>
                      <w:color w:val="FF0000"/>
                      <w:szCs w:val="21"/>
                      <w:lang w:val="en-US" w:eastAsia="zh-CN"/>
                    </w:rPr>
                  </w:pPr>
                </w:p>
              </w:tc>
              <w:tc>
                <w:tcPr>
                  <w:tcW w:w="977" w:type="dxa"/>
                  <w:vMerge w:val="continue"/>
                  <w:shd w:val="clear" w:color="auto" w:fill="auto"/>
                  <w:noWrap w:val="0"/>
                  <w:vAlign w:val="center"/>
                </w:tcPr>
                <w:p w14:paraId="51D3B0F9">
                  <w:pPr>
                    <w:pStyle w:val="60"/>
                    <w:rPr>
                      <w:rFonts w:hint="eastAsia" w:cs="Times New Roman"/>
                      <w:b w:val="0"/>
                      <w:bCs/>
                      <w:snapToGrid w:val="0"/>
                      <w:color w:val="FF0000"/>
                      <w:szCs w:val="21"/>
                      <w:lang w:val="en-US" w:eastAsia="zh-CN"/>
                    </w:rPr>
                  </w:pPr>
                </w:p>
              </w:tc>
              <w:tc>
                <w:tcPr>
                  <w:tcW w:w="1681" w:type="dxa"/>
                  <w:shd w:val="clear" w:color="auto" w:fill="auto"/>
                  <w:noWrap w:val="0"/>
                  <w:vAlign w:val="center"/>
                </w:tcPr>
                <w:p w14:paraId="2A205F7C">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AOI自动光学检测仪</w:t>
                  </w:r>
                </w:p>
              </w:tc>
              <w:tc>
                <w:tcPr>
                  <w:tcW w:w="1378" w:type="dxa"/>
                  <w:shd w:val="clear" w:color="auto" w:fill="auto"/>
                  <w:noWrap w:val="0"/>
                  <w:vAlign w:val="center"/>
                </w:tcPr>
                <w:p w14:paraId="72A7FF39">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7A8A6E35">
                  <w:pPr>
                    <w:jc w:val="center"/>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val="0"/>
                      <w:bCs/>
                      <w:color w:val="auto"/>
                      <w:kern w:val="0"/>
                      <w:szCs w:val="21"/>
                      <w:lang w:val="en-US" w:eastAsia="zh-CN"/>
                    </w:rPr>
                    <w:t>VCTA-Z5P</w:t>
                  </w:r>
                </w:p>
              </w:tc>
              <w:tc>
                <w:tcPr>
                  <w:tcW w:w="1186" w:type="dxa"/>
                  <w:noWrap w:val="0"/>
                  <w:vAlign w:val="center"/>
                </w:tcPr>
                <w:p w14:paraId="0042525F">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6D69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1362A0CC">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34</w:t>
                  </w:r>
                </w:p>
              </w:tc>
              <w:tc>
                <w:tcPr>
                  <w:tcW w:w="1179" w:type="dxa"/>
                  <w:vMerge w:val="restart"/>
                  <w:shd w:val="clear" w:color="auto" w:fill="auto"/>
                  <w:noWrap w:val="0"/>
                  <w:vAlign w:val="center"/>
                </w:tcPr>
                <w:p w14:paraId="3DF72400">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辅助单元</w:t>
                  </w:r>
                </w:p>
              </w:tc>
              <w:tc>
                <w:tcPr>
                  <w:tcW w:w="977" w:type="dxa"/>
                  <w:shd w:val="clear" w:color="auto" w:fill="auto"/>
                  <w:noWrap w:val="0"/>
                  <w:vAlign w:val="center"/>
                </w:tcPr>
                <w:p w14:paraId="749DBC50">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焊锡辅助</w:t>
                  </w:r>
                </w:p>
              </w:tc>
              <w:tc>
                <w:tcPr>
                  <w:tcW w:w="1681" w:type="dxa"/>
                  <w:shd w:val="clear" w:color="auto" w:fill="auto"/>
                  <w:noWrap w:val="0"/>
                  <w:vAlign w:val="center"/>
                </w:tcPr>
                <w:p w14:paraId="408437BC">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电烙铁</w:t>
                  </w:r>
                </w:p>
              </w:tc>
              <w:tc>
                <w:tcPr>
                  <w:tcW w:w="1378" w:type="dxa"/>
                  <w:shd w:val="clear" w:color="auto" w:fill="auto"/>
                  <w:noWrap w:val="0"/>
                  <w:vAlign w:val="center"/>
                </w:tcPr>
                <w:p w14:paraId="1014B48E">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7</w:t>
                  </w:r>
                </w:p>
              </w:tc>
              <w:tc>
                <w:tcPr>
                  <w:tcW w:w="1392" w:type="dxa"/>
                  <w:shd w:val="clear" w:color="auto" w:fill="auto"/>
                  <w:noWrap w:val="0"/>
                  <w:vAlign w:val="center"/>
                </w:tcPr>
                <w:p w14:paraId="3562A304">
                  <w:pPr>
                    <w:jc w:val="center"/>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val="0"/>
                      <w:bCs/>
                      <w:color w:val="auto"/>
                      <w:kern w:val="0"/>
                      <w:szCs w:val="21"/>
                      <w:lang w:val="en-US" w:eastAsia="zh-CN"/>
                    </w:rPr>
                    <w:t>AT-937A标配（65W)</w:t>
                  </w:r>
                </w:p>
              </w:tc>
              <w:tc>
                <w:tcPr>
                  <w:tcW w:w="1186" w:type="dxa"/>
                  <w:noWrap w:val="0"/>
                  <w:vAlign w:val="center"/>
                </w:tcPr>
                <w:p w14:paraId="320BC003">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1467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190C79CC">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35</w:t>
                  </w:r>
                </w:p>
              </w:tc>
              <w:tc>
                <w:tcPr>
                  <w:tcW w:w="1179" w:type="dxa"/>
                  <w:vMerge w:val="continue"/>
                  <w:shd w:val="clear" w:color="auto" w:fill="auto"/>
                  <w:noWrap w:val="0"/>
                  <w:vAlign w:val="center"/>
                </w:tcPr>
                <w:p w14:paraId="2894134E">
                  <w:pPr>
                    <w:pStyle w:val="60"/>
                    <w:rPr>
                      <w:rFonts w:hint="eastAsia" w:cs="Times New Roman"/>
                      <w:b w:val="0"/>
                      <w:bCs/>
                      <w:snapToGrid w:val="0"/>
                      <w:color w:val="auto"/>
                      <w:szCs w:val="21"/>
                      <w:lang w:val="en-US" w:eastAsia="zh-CN"/>
                    </w:rPr>
                  </w:pPr>
                </w:p>
              </w:tc>
              <w:tc>
                <w:tcPr>
                  <w:tcW w:w="977" w:type="dxa"/>
                  <w:shd w:val="clear" w:color="auto" w:fill="auto"/>
                  <w:noWrap w:val="0"/>
                  <w:vAlign w:val="center"/>
                </w:tcPr>
                <w:p w14:paraId="37887B37">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注塑机冷却</w:t>
                  </w:r>
                </w:p>
              </w:tc>
              <w:tc>
                <w:tcPr>
                  <w:tcW w:w="1681" w:type="dxa"/>
                  <w:shd w:val="clear" w:color="auto" w:fill="auto"/>
                  <w:noWrap w:val="0"/>
                  <w:vAlign w:val="center"/>
                </w:tcPr>
                <w:p w14:paraId="07E34CA6">
                  <w:pPr>
                    <w:jc w:val="center"/>
                    <w:rPr>
                      <w:rFonts w:hint="default" w:ascii="Times New Roman" w:hAnsi="Times New Roman" w:eastAsia="宋体" w:cs="Times New Roman"/>
                      <w:b w:val="0"/>
                      <w:bCs/>
                      <w:snapToGrid w:val="0"/>
                      <w:color w:val="FF0000"/>
                      <w:szCs w:val="21"/>
                      <w:lang w:val="en-US" w:eastAsia="zh-CN"/>
                    </w:rPr>
                  </w:pPr>
                  <w:r>
                    <w:rPr>
                      <w:rFonts w:hint="eastAsia" w:ascii="Times New Roman" w:hAnsi="Times New Roman" w:eastAsia="宋体" w:cs="Times New Roman"/>
                      <w:b w:val="0"/>
                      <w:bCs/>
                      <w:snapToGrid w:val="0"/>
                      <w:color w:val="auto"/>
                      <w:szCs w:val="21"/>
                      <w:lang w:val="en-US" w:eastAsia="zh-CN"/>
                    </w:rPr>
                    <w:t>冷水机</w:t>
                  </w:r>
                </w:p>
              </w:tc>
              <w:tc>
                <w:tcPr>
                  <w:tcW w:w="1378" w:type="dxa"/>
                  <w:shd w:val="clear" w:color="auto" w:fill="auto"/>
                  <w:noWrap w:val="0"/>
                  <w:vAlign w:val="center"/>
                </w:tcPr>
                <w:p w14:paraId="7A590814">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3A03511F">
                  <w:pPr>
                    <w:jc w:val="center"/>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val="0"/>
                      <w:bCs/>
                      <w:color w:val="auto"/>
                      <w:kern w:val="0"/>
                      <w:szCs w:val="21"/>
                      <w:lang w:val="en-US" w:eastAsia="zh-CN"/>
                    </w:rPr>
                    <w:t>CWUL-05AH</w:t>
                  </w:r>
                </w:p>
              </w:tc>
              <w:tc>
                <w:tcPr>
                  <w:tcW w:w="1186" w:type="dxa"/>
                  <w:noWrap w:val="0"/>
                  <w:vAlign w:val="center"/>
                </w:tcPr>
                <w:p w14:paraId="45B1D7F5">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6AA1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74E694E0">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36</w:t>
                  </w:r>
                </w:p>
              </w:tc>
              <w:tc>
                <w:tcPr>
                  <w:tcW w:w="1179" w:type="dxa"/>
                  <w:vMerge w:val="continue"/>
                  <w:shd w:val="clear" w:color="auto" w:fill="auto"/>
                  <w:noWrap w:val="0"/>
                  <w:vAlign w:val="center"/>
                </w:tcPr>
                <w:p w14:paraId="00FDAF18">
                  <w:pPr>
                    <w:pStyle w:val="60"/>
                    <w:rPr>
                      <w:rFonts w:hint="eastAsia" w:cs="Times New Roman"/>
                      <w:b w:val="0"/>
                      <w:bCs/>
                      <w:snapToGrid w:val="0"/>
                      <w:color w:val="auto"/>
                      <w:szCs w:val="21"/>
                      <w:lang w:val="en-US" w:eastAsia="zh-CN"/>
                    </w:rPr>
                  </w:pPr>
                </w:p>
              </w:tc>
              <w:tc>
                <w:tcPr>
                  <w:tcW w:w="977" w:type="dxa"/>
                  <w:shd w:val="clear" w:color="auto" w:fill="auto"/>
                  <w:noWrap w:val="0"/>
                  <w:vAlign w:val="center"/>
                </w:tcPr>
                <w:p w14:paraId="2D7FDFCA">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漆包线开线</w:t>
                  </w:r>
                </w:p>
              </w:tc>
              <w:tc>
                <w:tcPr>
                  <w:tcW w:w="1681" w:type="dxa"/>
                  <w:shd w:val="clear" w:color="auto" w:fill="auto"/>
                  <w:noWrap w:val="0"/>
                  <w:vAlign w:val="center"/>
                </w:tcPr>
                <w:p w14:paraId="69DA5E29">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漆包线打磨机</w:t>
                  </w:r>
                </w:p>
              </w:tc>
              <w:tc>
                <w:tcPr>
                  <w:tcW w:w="1378" w:type="dxa"/>
                  <w:shd w:val="clear" w:color="auto" w:fill="auto"/>
                  <w:noWrap w:val="0"/>
                  <w:vAlign w:val="center"/>
                </w:tcPr>
                <w:p w14:paraId="47FA6527">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2</w:t>
                  </w:r>
                </w:p>
              </w:tc>
              <w:tc>
                <w:tcPr>
                  <w:tcW w:w="1392" w:type="dxa"/>
                  <w:shd w:val="clear" w:color="auto" w:fill="auto"/>
                  <w:noWrap w:val="0"/>
                  <w:vAlign w:val="center"/>
                </w:tcPr>
                <w:p w14:paraId="5F95E02D">
                  <w:pPr>
                    <w:jc w:val="center"/>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val="0"/>
                      <w:bCs/>
                      <w:color w:val="auto"/>
                      <w:kern w:val="0"/>
                      <w:szCs w:val="21"/>
                      <w:lang w:val="en-US" w:eastAsia="zh-CN"/>
                    </w:rPr>
                    <w:t>DNB-1</w:t>
                  </w:r>
                </w:p>
              </w:tc>
              <w:tc>
                <w:tcPr>
                  <w:tcW w:w="1186" w:type="dxa"/>
                  <w:noWrap w:val="0"/>
                  <w:vAlign w:val="center"/>
                </w:tcPr>
                <w:p w14:paraId="39F861FA">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6E83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1882F4F0">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37</w:t>
                  </w:r>
                </w:p>
              </w:tc>
              <w:tc>
                <w:tcPr>
                  <w:tcW w:w="1179" w:type="dxa"/>
                  <w:vMerge w:val="continue"/>
                  <w:shd w:val="clear" w:color="auto" w:fill="auto"/>
                  <w:noWrap w:val="0"/>
                  <w:vAlign w:val="center"/>
                </w:tcPr>
                <w:p w14:paraId="57E7B35C">
                  <w:pPr>
                    <w:pStyle w:val="60"/>
                    <w:rPr>
                      <w:rFonts w:hint="eastAsia" w:cs="Times New Roman"/>
                      <w:b w:val="0"/>
                      <w:bCs/>
                      <w:snapToGrid w:val="0"/>
                      <w:color w:val="auto"/>
                      <w:szCs w:val="21"/>
                      <w:lang w:val="en-US" w:eastAsia="zh-CN"/>
                    </w:rPr>
                  </w:pPr>
                </w:p>
              </w:tc>
              <w:tc>
                <w:tcPr>
                  <w:tcW w:w="977" w:type="dxa"/>
                  <w:shd w:val="clear" w:color="auto" w:fill="auto"/>
                  <w:noWrap w:val="0"/>
                  <w:vAlign w:val="center"/>
                </w:tcPr>
                <w:p w14:paraId="582C3300">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提供压力</w:t>
                  </w:r>
                </w:p>
              </w:tc>
              <w:tc>
                <w:tcPr>
                  <w:tcW w:w="1681" w:type="dxa"/>
                  <w:shd w:val="clear" w:color="auto" w:fill="auto"/>
                  <w:noWrap w:val="0"/>
                  <w:vAlign w:val="center"/>
                </w:tcPr>
                <w:p w14:paraId="4ED8E350">
                  <w:pPr>
                    <w:jc w:val="center"/>
                    <w:rPr>
                      <w:rFonts w:hint="default" w:ascii="Times New Roman" w:hAnsi="Times New Roman" w:eastAsia="宋体" w:cs="Times New Roman"/>
                      <w:b w:val="0"/>
                      <w:bCs/>
                      <w:snapToGrid w:val="0"/>
                      <w:color w:val="auto"/>
                      <w:szCs w:val="21"/>
                      <w:lang w:val="en-US" w:eastAsia="zh-CN"/>
                    </w:rPr>
                  </w:pPr>
                  <w:r>
                    <w:rPr>
                      <w:rFonts w:hint="default" w:ascii="Times New Roman" w:hAnsi="Times New Roman" w:eastAsia="宋体" w:cs="Times New Roman"/>
                      <w:b w:val="0"/>
                      <w:bCs/>
                      <w:snapToGrid w:val="0"/>
                      <w:color w:val="auto"/>
                      <w:szCs w:val="21"/>
                      <w:lang w:val="en-US" w:eastAsia="zh-CN"/>
                    </w:rPr>
                    <w:t>气动压力机</w:t>
                  </w:r>
                </w:p>
              </w:tc>
              <w:tc>
                <w:tcPr>
                  <w:tcW w:w="1378" w:type="dxa"/>
                  <w:shd w:val="clear" w:color="auto" w:fill="auto"/>
                  <w:noWrap w:val="0"/>
                  <w:vAlign w:val="center"/>
                </w:tcPr>
                <w:p w14:paraId="59076144">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410CD3D6">
                  <w:pPr>
                    <w:jc w:val="center"/>
                    <w:rPr>
                      <w:rFonts w:hint="default" w:ascii="Times New Roman" w:hAnsi="Times New Roman" w:eastAsia="宋体" w:cs="Times New Roman"/>
                      <w:b w:val="0"/>
                      <w:bCs/>
                      <w:color w:val="auto"/>
                      <w:kern w:val="0"/>
                      <w:szCs w:val="21"/>
                      <w:lang w:val="en-US" w:eastAsia="zh-CN"/>
                    </w:rPr>
                  </w:pPr>
                  <w:r>
                    <w:rPr>
                      <w:rFonts w:hint="eastAsia" w:ascii="Times New Roman" w:hAnsi="Times New Roman" w:eastAsia="宋体" w:cs="Times New Roman"/>
                      <w:b w:val="0"/>
                      <w:bCs/>
                      <w:color w:val="auto"/>
                      <w:kern w:val="0"/>
                      <w:szCs w:val="21"/>
                      <w:lang w:val="en-US" w:eastAsia="zh-CN"/>
                    </w:rPr>
                    <w:t>/</w:t>
                  </w:r>
                </w:p>
              </w:tc>
              <w:tc>
                <w:tcPr>
                  <w:tcW w:w="1186" w:type="dxa"/>
                  <w:noWrap w:val="0"/>
                  <w:vAlign w:val="center"/>
                </w:tcPr>
                <w:p w14:paraId="7FD6FA11">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2#车间</w:t>
                  </w:r>
                </w:p>
              </w:tc>
            </w:tr>
            <w:tr w14:paraId="2476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4CC4AA44">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38</w:t>
                  </w:r>
                </w:p>
              </w:tc>
              <w:tc>
                <w:tcPr>
                  <w:tcW w:w="1179" w:type="dxa"/>
                  <w:vMerge w:val="restart"/>
                  <w:shd w:val="clear" w:color="auto" w:fill="auto"/>
                  <w:noWrap w:val="0"/>
                  <w:vAlign w:val="center"/>
                </w:tcPr>
                <w:p w14:paraId="55601D5D">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环保单元</w:t>
                  </w:r>
                </w:p>
              </w:tc>
              <w:tc>
                <w:tcPr>
                  <w:tcW w:w="977" w:type="dxa"/>
                  <w:shd w:val="clear" w:color="auto" w:fill="auto"/>
                  <w:noWrap w:val="0"/>
                  <w:vAlign w:val="center"/>
                </w:tcPr>
                <w:p w14:paraId="01E7C334">
                  <w:pPr>
                    <w:pStyle w:val="60"/>
                    <w:rPr>
                      <w:rFonts w:hint="default" w:cs="Times New Roman"/>
                      <w:b w:val="0"/>
                      <w:bCs/>
                      <w:snapToGrid w:val="0"/>
                      <w:color w:val="FF0000"/>
                      <w:szCs w:val="21"/>
                      <w:lang w:val="en-US" w:eastAsia="zh-CN"/>
                    </w:rPr>
                  </w:pPr>
                  <w:r>
                    <w:rPr>
                      <w:rFonts w:hint="eastAsia" w:cs="Times New Roman"/>
                      <w:b w:val="0"/>
                      <w:bCs/>
                      <w:snapToGrid w:val="0"/>
                      <w:color w:val="auto"/>
                      <w:szCs w:val="21"/>
                      <w:lang w:val="en-US" w:eastAsia="zh-CN"/>
                    </w:rPr>
                    <w:t>废气处理</w:t>
                  </w:r>
                </w:p>
              </w:tc>
              <w:tc>
                <w:tcPr>
                  <w:tcW w:w="1681" w:type="dxa"/>
                  <w:shd w:val="clear" w:color="auto" w:fill="auto"/>
                  <w:noWrap w:val="0"/>
                  <w:vAlign w:val="center"/>
                </w:tcPr>
                <w:p w14:paraId="60C89C9F">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焊锡、清洗废气处理设施</w:t>
                  </w:r>
                </w:p>
              </w:tc>
              <w:tc>
                <w:tcPr>
                  <w:tcW w:w="1378" w:type="dxa"/>
                  <w:shd w:val="clear" w:color="auto" w:fill="auto"/>
                  <w:noWrap w:val="0"/>
                  <w:vAlign w:val="center"/>
                </w:tcPr>
                <w:p w14:paraId="087D69A9">
                  <w:pPr>
                    <w:jc w:val="center"/>
                    <w:rPr>
                      <w:rFonts w:hint="default" w:ascii="Times New Roman" w:hAnsi="Times New Roman" w:eastAsia="宋体" w:cs="Times New Roman"/>
                      <w:b w:val="0"/>
                      <w:bCs/>
                      <w:color w:val="FF0000"/>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605058AF">
                  <w:pPr>
                    <w:jc w:val="center"/>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val="0"/>
                      <w:bCs/>
                      <w:color w:val="auto"/>
                      <w:kern w:val="0"/>
                      <w:szCs w:val="21"/>
                      <w:lang w:val="en-US" w:eastAsia="zh-CN"/>
                    </w:rPr>
                    <w:t>过滤棉+活性炭吸附装置</w:t>
                  </w:r>
                </w:p>
              </w:tc>
              <w:tc>
                <w:tcPr>
                  <w:tcW w:w="1186" w:type="dxa"/>
                  <w:shd w:val="clear" w:color="auto" w:fill="auto"/>
                  <w:noWrap w:val="0"/>
                  <w:vAlign w:val="center"/>
                </w:tcPr>
                <w:p w14:paraId="413B0AC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车间外</w:t>
                  </w:r>
                </w:p>
              </w:tc>
            </w:tr>
            <w:tr w14:paraId="3409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11" w:type="dxa"/>
                  <w:shd w:val="clear" w:color="auto" w:fill="auto"/>
                  <w:noWrap w:val="0"/>
                  <w:vAlign w:val="center"/>
                </w:tcPr>
                <w:p w14:paraId="31599391">
                  <w:pPr>
                    <w:pStyle w:val="60"/>
                    <w:rPr>
                      <w:rFonts w:hint="default" w:cs="Times New Roman"/>
                      <w:b w:val="0"/>
                      <w:bCs/>
                      <w:snapToGrid w:val="0"/>
                      <w:color w:val="auto"/>
                      <w:szCs w:val="21"/>
                      <w:lang w:val="en-US" w:eastAsia="zh-CN"/>
                    </w:rPr>
                  </w:pPr>
                  <w:r>
                    <w:rPr>
                      <w:rFonts w:hint="eastAsia" w:cs="Times New Roman"/>
                      <w:b w:val="0"/>
                      <w:bCs/>
                      <w:snapToGrid w:val="0"/>
                      <w:color w:val="auto"/>
                      <w:szCs w:val="21"/>
                      <w:lang w:val="en-US" w:eastAsia="zh-CN"/>
                    </w:rPr>
                    <w:t>39</w:t>
                  </w:r>
                </w:p>
              </w:tc>
              <w:tc>
                <w:tcPr>
                  <w:tcW w:w="1179" w:type="dxa"/>
                  <w:vMerge w:val="continue"/>
                  <w:shd w:val="clear" w:color="auto" w:fill="auto"/>
                  <w:noWrap w:val="0"/>
                  <w:vAlign w:val="center"/>
                </w:tcPr>
                <w:p w14:paraId="32F64168">
                  <w:pPr>
                    <w:pStyle w:val="60"/>
                    <w:rPr>
                      <w:rFonts w:hint="eastAsia" w:cs="Times New Roman"/>
                      <w:b w:val="0"/>
                      <w:bCs/>
                      <w:snapToGrid w:val="0"/>
                      <w:color w:val="FF0000"/>
                      <w:szCs w:val="21"/>
                      <w:lang w:val="en-US" w:eastAsia="zh-CN"/>
                    </w:rPr>
                  </w:pPr>
                </w:p>
              </w:tc>
              <w:tc>
                <w:tcPr>
                  <w:tcW w:w="977" w:type="dxa"/>
                  <w:shd w:val="clear" w:color="auto" w:fill="auto"/>
                  <w:noWrap w:val="0"/>
                  <w:vAlign w:val="center"/>
                </w:tcPr>
                <w:p w14:paraId="54D4092B">
                  <w:pPr>
                    <w:pStyle w:val="60"/>
                    <w:rPr>
                      <w:rFonts w:hint="eastAsia" w:cs="Times New Roman"/>
                      <w:b w:val="0"/>
                      <w:bCs/>
                      <w:snapToGrid w:val="0"/>
                      <w:color w:val="FF0000"/>
                      <w:szCs w:val="21"/>
                      <w:lang w:val="en-US" w:eastAsia="zh-CN"/>
                    </w:rPr>
                  </w:pPr>
                  <w:r>
                    <w:rPr>
                      <w:rFonts w:hint="eastAsia" w:cs="Times New Roman"/>
                      <w:b w:val="0"/>
                      <w:bCs/>
                      <w:snapToGrid w:val="0"/>
                      <w:color w:val="auto"/>
                      <w:szCs w:val="21"/>
                      <w:lang w:val="en-US" w:eastAsia="zh-CN"/>
                    </w:rPr>
                    <w:t>废气处理</w:t>
                  </w:r>
                </w:p>
              </w:tc>
              <w:tc>
                <w:tcPr>
                  <w:tcW w:w="1681" w:type="dxa"/>
                  <w:shd w:val="clear" w:color="auto" w:fill="auto"/>
                  <w:noWrap w:val="0"/>
                  <w:vAlign w:val="center"/>
                </w:tcPr>
                <w:p w14:paraId="5614B1DD">
                  <w:pPr>
                    <w:jc w:val="center"/>
                    <w:rPr>
                      <w:rFonts w:hint="default" w:ascii="Times New Roman" w:hAnsi="Times New Roman" w:eastAsia="宋体" w:cs="Times New Roman"/>
                      <w:b w:val="0"/>
                      <w:bCs/>
                      <w:snapToGrid w:val="0"/>
                      <w:color w:val="auto"/>
                      <w:szCs w:val="21"/>
                      <w:lang w:val="en-US" w:eastAsia="zh-CN"/>
                    </w:rPr>
                  </w:pPr>
                  <w:r>
                    <w:rPr>
                      <w:rFonts w:hint="eastAsia" w:ascii="Times New Roman" w:hAnsi="Times New Roman" w:eastAsia="宋体" w:cs="Times New Roman"/>
                      <w:b w:val="0"/>
                      <w:bCs/>
                      <w:snapToGrid w:val="0"/>
                      <w:color w:val="auto"/>
                      <w:szCs w:val="21"/>
                      <w:lang w:val="en-US" w:eastAsia="zh-CN"/>
                    </w:rPr>
                    <w:t>塑封废气处理设施</w:t>
                  </w:r>
                </w:p>
              </w:tc>
              <w:tc>
                <w:tcPr>
                  <w:tcW w:w="1378" w:type="dxa"/>
                  <w:shd w:val="clear" w:color="auto" w:fill="auto"/>
                  <w:noWrap w:val="0"/>
                  <w:vAlign w:val="center"/>
                </w:tcPr>
                <w:p w14:paraId="4DB1C78E">
                  <w:pPr>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1</w:t>
                  </w:r>
                </w:p>
              </w:tc>
              <w:tc>
                <w:tcPr>
                  <w:tcW w:w="1392" w:type="dxa"/>
                  <w:shd w:val="clear" w:color="auto" w:fill="auto"/>
                  <w:noWrap w:val="0"/>
                  <w:vAlign w:val="center"/>
                </w:tcPr>
                <w:p w14:paraId="7B2BF9E3">
                  <w:pPr>
                    <w:jc w:val="center"/>
                    <w:rPr>
                      <w:rFonts w:hint="default" w:ascii="Times New Roman" w:hAnsi="Times New Roman" w:eastAsia="宋体" w:cs="Times New Roman"/>
                      <w:b w:val="0"/>
                      <w:bCs/>
                      <w:color w:val="FF0000"/>
                      <w:kern w:val="0"/>
                      <w:szCs w:val="21"/>
                      <w:lang w:val="en-US" w:eastAsia="zh-CN"/>
                    </w:rPr>
                  </w:pPr>
                  <w:r>
                    <w:rPr>
                      <w:rFonts w:hint="default" w:ascii="Times New Roman" w:hAnsi="Times New Roman" w:eastAsia="宋体" w:cs="Times New Roman"/>
                      <w:b w:val="0"/>
                      <w:bCs/>
                      <w:color w:val="auto"/>
                      <w:kern w:val="0"/>
                      <w:szCs w:val="21"/>
                      <w:lang w:val="en-US" w:eastAsia="zh-CN"/>
                    </w:rPr>
                    <w:t>活性炭吸附装置</w:t>
                  </w:r>
                </w:p>
              </w:tc>
              <w:tc>
                <w:tcPr>
                  <w:tcW w:w="1186" w:type="dxa"/>
                  <w:shd w:val="clear" w:color="auto" w:fill="auto"/>
                  <w:noWrap w:val="0"/>
                  <w:vAlign w:val="center"/>
                </w:tcPr>
                <w:p w14:paraId="270EA63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车间外</w:t>
                  </w:r>
                </w:p>
              </w:tc>
            </w:tr>
          </w:tbl>
          <w:p w14:paraId="07D8876C">
            <w:pPr>
              <w:pStyle w:val="7"/>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center"/>
              <w:outlineLvl w:val="9"/>
              <w:rPr>
                <w:rFonts w:hint="default" w:ascii="Times New Roman" w:hAnsi="Times New Roman" w:eastAsia="宋体" w:cs="Times New Roman"/>
                <w:b/>
                <w:bCs/>
                <w:color w:val="FF0000"/>
                <w:sz w:val="21"/>
                <w:szCs w:val="21"/>
                <w:highlight w:val="yellow"/>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highlight w:val="none"/>
                <w:lang w:val="en-US" w:eastAsia="zh-CN"/>
              </w:rPr>
              <w:t>2-4</w:t>
            </w:r>
            <w:r>
              <w:rPr>
                <w:rFonts w:hint="default" w:ascii="Times New Roman" w:hAnsi="Times New Roman" w:eastAsia="宋体" w:cs="Times New Roman"/>
                <w:b/>
                <w:bCs/>
                <w:color w:val="auto"/>
                <w:sz w:val="21"/>
                <w:szCs w:val="21"/>
                <w:highlight w:val="none"/>
                <w:lang w:val="en-US" w:eastAsia="zh-CN"/>
              </w:rPr>
              <w:t xml:space="preserve">  建设项目主要原辅材料及能源消耗</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27"/>
              <w:gridCol w:w="1265"/>
              <w:gridCol w:w="1443"/>
              <w:gridCol w:w="1040"/>
              <w:gridCol w:w="1339"/>
              <w:gridCol w:w="1082"/>
            </w:tblGrid>
            <w:tr w14:paraId="41FC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ign w:val="center"/>
                </w:tcPr>
                <w:p w14:paraId="064BD9DC">
                  <w:pPr>
                    <w:spacing w:line="24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1727" w:type="dxa"/>
                  <w:noWrap/>
                  <w:vAlign w:val="center"/>
                </w:tcPr>
                <w:p w14:paraId="408BA45D">
                  <w:pPr>
                    <w:spacing w:line="24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名称</w:t>
                  </w:r>
                </w:p>
              </w:tc>
              <w:tc>
                <w:tcPr>
                  <w:tcW w:w="1265" w:type="dxa"/>
                  <w:noWrap/>
                  <w:vAlign w:val="center"/>
                </w:tcPr>
                <w:p w14:paraId="67E712D0">
                  <w:pPr>
                    <w:spacing w:line="240" w:lineRule="auto"/>
                    <w:jc w:val="center"/>
                    <w:rPr>
                      <w:rFonts w:hint="eastAsia"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rPr>
                    <w:t>年消耗量</w:t>
                  </w:r>
                </w:p>
              </w:tc>
              <w:tc>
                <w:tcPr>
                  <w:tcW w:w="1443" w:type="dxa"/>
                  <w:noWrap/>
                  <w:vAlign w:val="center"/>
                </w:tcPr>
                <w:p w14:paraId="1A7497E1">
                  <w:pPr>
                    <w:spacing w:line="240" w:lineRule="auto"/>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包装规模</w:t>
                  </w:r>
                </w:p>
              </w:tc>
              <w:tc>
                <w:tcPr>
                  <w:tcW w:w="1040" w:type="dxa"/>
                  <w:noWrap/>
                  <w:vAlign w:val="center"/>
                </w:tcPr>
                <w:p w14:paraId="10FF27C0">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最大存储量（t）</w:t>
                  </w:r>
                </w:p>
              </w:tc>
              <w:tc>
                <w:tcPr>
                  <w:tcW w:w="1339" w:type="dxa"/>
                  <w:noWrap/>
                  <w:vAlign w:val="center"/>
                </w:tcPr>
                <w:p w14:paraId="79538DE1">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用途</w:t>
                  </w:r>
                </w:p>
              </w:tc>
              <w:tc>
                <w:tcPr>
                  <w:tcW w:w="1082" w:type="dxa"/>
                  <w:noWrap/>
                  <w:vAlign w:val="center"/>
                </w:tcPr>
                <w:p w14:paraId="65DCD222">
                  <w:pPr>
                    <w:spacing w:line="240" w:lineRule="auto"/>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备注</w:t>
                  </w:r>
                </w:p>
              </w:tc>
            </w:tr>
            <w:tr w14:paraId="2D32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2B2F0BBB">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727" w:type="dxa"/>
                  <w:noWrap w:val="0"/>
                  <w:vAlign w:val="center"/>
                </w:tcPr>
                <w:p w14:paraId="7FD5058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骨架</w:t>
                  </w:r>
                </w:p>
              </w:tc>
              <w:tc>
                <w:tcPr>
                  <w:tcW w:w="1265" w:type="dxa"/>
                  <w:noWrap w:val="0"/>
                  <w:vAlign w:val="center"/>
                </w:tcPr>
                <w:p w14:paraId="458B65B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20445CA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59D9A68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1339" w:type="dxa"/>
                  <w:vMerge w:val="restart"/>
                  <w:noWrap w:val="0"/>
                  <w:vAlign w:val="center"/>
                </w:tcPr>
                <w:p w14:paraId="0F208E76">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无塑封盖电磁阀生产所需配件及原料</w:t>
                  </w:r>
                </w:p>
              </w:tc>
              <w:tc>
                <w:tcPr>
                  <w:tcW w:w="1082" w:type="dxa"/>
                  <w:noWrap w:val="0"/>
                  <w:vAlign w:val="center"/>
                </w:tcPr>
                <w:p w14:paraId="66751537">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市场采购</w:t>
                  </w:r>
                </w:p>
              </w:tc>
            </w:tr>
            <w:tr w14:paraId="5641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612F0C7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1727" w:type="dxa"/>
                  <w:noWrap w:val="0"/>
                  <w:vAlign w:val="center"/>
                </w:tcPr>
                <w:p w14:paraId="6DA7623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方针</w:t>
                  </w:r>
                </w:p>
              </w:tc>
              <w:tc>
                <w:tcPr>
                  <w:tcW w:w="1265" w:type="dxa"/>
                  <w:noWrap w:val="0"/>
                  <w:vAlign w:val="center"/>
                </w:tcPr>
                <w:p w14:paraId="5A7AA55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0.01t</w:t>
                  </w:r>
                </w:p>
              </w:tc>
              <w:tc>
                <w:tcPr>
                  <w:tcW w:w="1443" w:type="dxa"/>
                  <w:noWrap w:val="0"/>
                  <w:vAlign w:val="center"/>
                </w:tcPr>
                <w:p w14:paraId="27CAF799">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1kg/盒</w:t>
                  </w:r>
                </w:p>
              </w:tc>
              <w:tc>
                <w:tcPr>
                  <w:tcW w:w="1040" w:type="dxa"/>
                  <w:noWrap w:val="0"/>
                  <w:vAlign w:val="center"/>
                </w:tcPr>
                <w:p w14:paraId="668F03C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1339" w:type="dxa"/>
                  <w:vMerge w:val="continue"/>
                  <w:noWrap w:val="0"/>
                  <w:vAlign w:val="center"/>
                </w:tcPr>
                <w:p w14:paraId="1E895F25">
                  <w:pPr>
                    <w:spacing w:line="240" w:lineRule="auto"/>
                    <w:jc w:val="center"/>
                    <w:rPr>
                      <w:rFonts w:hint="default" w:ascii="Times New Roman" w:hAnsi="Times New Roman" w:eastAsia="宋体" w:cs="Times New Roman"/>
                      <w:color w:val="FF0000"/>
                      <w:kern w:val="2"/>
                      <w:sz w:val="21"/>
                      <w:szCs w:val="21"/>
                      <w:lang w:val="en-US" w:eastAsia="zh-CN" w:bidi="ar-SA"/>
                    </w:rPr>
                  </w:pPr>
                </w:p>
              </w:tc>
              <w:tc>
                <w:tcPr>
                  <w:tcW w:w="1082" w:type="dxa"/>
                  <w:noWrap w:val="0"/>
                  <w:vAlign w:val="center"/>
                </w:tcPr>
                <w:p w14:paraId="7EF12504">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196A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2EF8D47B">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1727" w:type="dxa"/>
                  <w:noWrap w:val="0"/>
                  <w:vAlign w:val="center"/>
                </w:tcPr>
                <w:p w14:paraId="0C9F16D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漆包线</w:t>
                  </w:r>
                </w:p>
              </w:tc>
              <w:tc>
                <w:tcPr>
                  <w:tcW w:w="1265" w:type="dxa"/>
                  <w:noWrap w:val="0"/>
                  <w:vAlign w:val="center"/>
                </w:tcPr>
                <w:p w14:paraId="7BACA4C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3.4t</w:t>
                  </w:r>
                </w:p>
              </w:tc>
              <w:tc>
                <w:tcPr>
                  <w:tcW w:w="1443" w:type="dxa"/>
                  <w:noWrap w:val="0"/>
                  <w:vAlign w:val="center"/>
                </w:tcPr>
                <w:p w14:paraId="05E5348D">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1040" w:type="dxa"/>
                  <w:noWrap w:val="0"/>
                  <w:vAlign w:val="center"/>
                </w:tcPr>
                <w:p w14:paraId="07A9BDA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1339" w:type="dxa"/>
                  <w:vMerge w:val="continue"/>
                  <w:noWrap w:val="0"/>
                  <w:vAlign w:val="center"/>
                </w:tcPr>
                <w:p w14:paraId="566571D5">
                  <w:pPr>
                    <w:spacing w:line="240" w:lineRule="auto"/>
                    <w:jc w:val="center"/>
                    <w:rPr>
                      <w:rFonts w:hint="default" w:ascii="Times New Roman" w:hAnsi="Times New Roman" w:eastAsia="宋体" w:cs="Times New Roman"/>
                      <w:color w:val="FF0000"/>
                      <w:kern w:val="2"/>
                      <w:sz w:val="21"/>
                      <w:szCs w:val="21"/>
                      <w:lang w:val="en-US" w:eastAsia="zh-CN" w:bidi="ar-SA"/>
                    </w:rPr>
                  </w:pPr>
                </w:p>
              </w:tc>
              <w:tc>
                <w:tcPr>
                  <w:tcW w:w="1082" w:type="dxa"/>
                  <w:noWrap w:val="0"/>
                  <w:vAlign w:val="center"/>
                </w:tcPr>
                <w:p w14:paraId="1BFD39F4">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6D08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1B800F0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1727" w:type="dxa"/>
                  <w:noWrap w:val="0"/>
                  <w:vAlign w:val="center"/>
                </w:tcPr>
                <w:p w14:paraId="337B78E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静铁芯</w:t>
                  </w:r>
                </w:p>
              </w:tc>
              <w:tc>
                <w:tcPr>
                  <w:tcW w:w="1265" w:type="dxa"/>
                  <w:noWrap w:val="0"/>
                  <w:vAlign w:val="center"/>
                </w:tcPr>
                <w:p w14:paraId="0A52621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10000件</w:t>
                  </w:r>
                </w:p>
              </w:tc>
              <w:tc>
                <w:tcPr>
                  <w:tcW w:w="1443" w:type="dxa"/>
                  <w:noWrap w:val="0"/>
                  <w:vAlign w:val="center"/>
                </w:tcPr>
                <w:p w14:paraId="0F520251">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4916CBE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1339" w:type="dxa"/>
                  <w:vMerge w:val="continue"/>
                  <w:noWrap w:val="0"/>
                  <w:vAlign w:val="center"/>
                </w:tcPr>
                <w:p w14:paraId="37706996">
                  <w:pPr>
                    <w:spacing w:line="240" w:lineRule="auto"/>
                    <w:jc w:val="center"/>
                    <w:rPr>
                      <w:rFonts w:hint="default" w:ascii="Times New Roman" w:hAnsi="Times New Roman" w:eastAsia="宋体" w:cs="Times New Roman"/>
                      <w:color w:val="FF0000"/>
                      <w:kern w:val="2"/>
                      <w:sz w:val="21"/>
                      <w:szCs w:val="21"/>
                      <w:lang w:val="en-US" w:eastAsia="zh-CN" w:bidi="ar-SA"/>
                    </w:rPr>
                  </w:pPr>
                </w:p>
              </w:tc>
              <w:tc>
                <w:tcPr>
                  <w:tcW w:w="1082" w:type="dxa"/>
                  <w:noWrap w:val="0"/>
                  <w:vAlign w:val="center"/>
                </w:tcPr>
                <w:p w14:paraId="6B0669F7">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2E95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5E14B28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p>
              </w:tc>
              <w:tc>
                <w:tcPr>
                  <w:tcW w:w="1727" w:type="dxa"/>
                  <w:noWrap w:val="0"/>
                  <w:vAlign w:val="center"/>
                </w:tcPr>
                <w:p w14:paraId="0ECB303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动铁芯</w:t>
                  </w:r>
                </w:p>
              </w:tc>
              <w:tc>
                <w:tcPr>
                  <w:tcW w:w="1265" w:type="dxa"/>
                  <w:noWrap w:val="0"/>
                  <w:vAlign w:val="center"/>
                </w:tcPr>
                <w:p w14:paraId="1E4BCC8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10000件</w:t>
                  </w:r>
                </w:p>
              </w:tc>
              <w:tc>
                <w:tcPr>
                  <w:tcW w:w="1443" w:type="dxa"/>
                  <w:noWrap w:val="0"/>
                  <w:vAlign w:val="center"/>
                </w:tcPr>
                <w:p w14:paraId="2F7EF7C2">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424E2ACC">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1339" w:type="dxa"/>
                  <w:vMerge w:val="continue"/>
                  <w:noWrap w:val="0"/>
                  <w:vAlign w:val="center"/>
                </w:tcPr>
                <w:p w14:paraId="7DF798C1">
                  <w:pPr>
                    <w:spacing w:line="240" w:lineRule="auto"/>
                    <w:jc w:val="center"/>
                    <w:rPr>
                      <w:rFonts w:hint="default" w:ascii="Times New Roman" w:hAnsi="Times New Roman" w:eastAsia="宋体" w:cs="Times New Roman"/>
                      <w:color w:val="FF0000"/>
                      <w:kern w:val="2"/>
                      <w:sz w:val="21"/>
                      <w:szCs w:val="21"/>
                      <w:lang w:val="en-US" w:eastAsia="zh-CN" w:bidi="ar-SA"/>
                    </w:rPr>
                  </w:pPr>
                </w:p>
              </w:tc>
              <w:tc>
                <w:tcPr>
                  <w:tcW w:w="1082" w:type="dxa"/>
                  <w:noWrap w:val="0"/>
                  <w:vAlign w:val="center"/>
                </w:tcPr>
                <w:p w14:paraId="0FB1F2F5">
                  <w:pPr>
                    <w:spacing w:line="240" w:lineRule="auto"/>
                    <w:jc w:val="center"/>
                    <w:rPr>
                      <w:rFonts w:hint="default" w:ascii="Times New Roman" w:hAnsi="Times New Roman" w:eastAsia="宋体" w:cs="Times New Roman"/>
                      <w:color w:val="FF0000"/>
                      <w:szCs w:val="21"/>
                    </w:rPr>
                  </w:pPr>
                  <w:r>
                    <w:rPr>
                      <w:rFonts w:hint="eastAsia" w:ascii="Times New Roman" w:hAnsi="Times New Roman" w:eastAsia="宋体" w:cs="Times New Roman"/>
                      <w:color w:val="auto"/>
                      <w:szCs w:val="21"/>
                      <w:lang w:val="en-US" w:eastAsia="zh-CN"/>
                    </w:rPr>
                    <w:t>市场采购</w:t>
                  </w:r>
                </w:p>
              </w:tc>
            </w:tr>
            <w:tr w14:paraId="76D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7D4F539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1727" w:type="dxa"/>
                  <w:noWrap w:val="0"/>
                  <w:vAlign w:val="center"/>
                </w:tcPr>
                <w:p w14:paraId="1A02C74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超声波清洗剂</w:t>
                  </w:r>
                </w:p>
              </w:tc>
              <w:tc>
                <w:tcPr>
                  <w:tcW w:w="1265" w:type="dxa"/>
                  <w:noWrap w:val="0"/>
                  <w:vAlign w:val="center"/>
                </w:tcPr>
                <w:p w14:paraId="71601C0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0.05t</w:t>
                  </w:r>
                </w:p>
              </w:tc>
              <w:tc>
                <w:tcPr>
                  <w:tcW w:w="1443" w:type="dxa"/>
                  <w:noWrap w:val="0"/>
                  <w:vAlign w:val="center"/>
                </w:tcPr>
                <w:p w14:paraId="55105F63">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25kg/桶</w:t>
                  </w:r>
                </w:p>
              </w:tc>
              <w:tc>
                <w:tcPr>
                  <w:tcW w:w="1040" w:type="dxa"/>
                  <w:noWrap w:val="0"/>
                  <w:vAlign w:val="center"/>
                </w:tcPr>
                <w:p w14:paraId="6DDE4F2C">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0.025</w:t>
                  </w:r>
                </w:p>
              </w:tc>
              <w:tc>
                <w:tcPr>
                  <w:tcW w:w="1339" w:type="dxa"/>
                  <w:vMerge w:val="continue"/>
                  <w:noWrap w:val="0"/>
                  <w:vAlign w:val="center"/>
                </w:tcPr>
                <w:p w14:paraId="2AB4064E">
                  <w:pPr>
                    <w:spacing w:line="240" w:lineRule="auto"/>
                    <w:jc w:val="center"/>
                    <w:rPr>
                      <w:rFonts w:hint="default" w:ascii="Times New Roman" w:hAnsi="Times New Roman" w:eastAsia="宋体" w:cs="Times New Roman"/>
                      <w:color w:val="FF0000"/>
                      <w:kern w:val="2"/>
                      <w:sz w:val="21"/>
                      <w:szCs w:val="21"/>
                      <w:lang w:val="en-US" w:eastAsia="zh-CN" w:bidi="ar-SA"/>
                    </w:rPr>
                  </w:pPr>
                </w:p>
              </w:tc>
              <w:tc>
                <w:tcPr>
                  <w:tcW w:w="1082" w:type="dxa"/>
                  <w:noWrap w:val="0"/>
                  <w:vAlign w:val="center"/>
                </w:tcPr>
                <w:p w14:paraId="0ED19B01">
                  <w:pPr>
                    <w:spacing w:line="240" w:lineRule="auto"/>
                    <w:jc w:val="center"/>
                    <w:rPr>
                      <w:rFonts w:hint="default" w:ascii="Times New Roman" w:hAnsi="Times New Roman" w:eastAsia="宋体" w:cs="Times New Roman"/>
                      <w:color w:val="FF0000"/>
                      <w:szCs w:val="21"/>
                    </w:rPr>
                  </w:pPr>
                  <w:r>
                    <w:rPr>
                      <w:rFonts w:hint="eastAsia" w:ascii="Times New Roman" w:hAnsi="Times New Roman" w:eastAsia="宋体" w:cs="Times New Roman"/>
                      <w:color w:val="auto"/>
                      <w:szCs w:val="21"/>
                      <w:lang w:val="en-US" w:eastAsia="zh-CN"/>
                    </w:rPr>
                    <w:t>市场采购</w:t>
                  </w:r>
                </w:p>
              </w:tc>
            </w:tr>
            <w:tr w14:paraId="650A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382E7CC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1727" w:type="dxa"/>
                  <w:noWrap w:val="0"/>
                  <w:vAlign w:val="center"/>
                </w:tcPr>
                <w:p w14:paraId="3BC93B4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O型圈</w:t>
                  </w:r>
                </w:p>
              </w:tc>
              <w:tc>
                <w:tcPr>
                  <w:tcW w:w="1265" w:type="dxa"/>
                  <w:noWrap w:val="0"/>
                  <w:vAlign w:val="center"/>
                </w:tcPr>
                <w:p w14:paraId="14F8C45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80000件</w:t>
                  </w:r>
                </w:p>
              </w:tc>
              <w:tc>
                <w:tcPr>
                  <w:tcW w:w="1443" w:type="dxa"/>
                  <w:noWrap w:val="0"/>
                  <w:vAlign w:val="center"/>
                </w:tcPr>
                <w:p w14:paraId="2E706D12">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5000件/袋</w:t>
                  </w:r>
                </w:p>
              </w:tc>
              <w:tc>
                <w:tcPr>
                  <w:tcW w:w="1040" w:type="dxa"/>
                  <w:noWrap w:val="0"/>
                  <w:vAlign w:val="center"/>
                </w:tcPr>
                <w:p w14:paraId="1CEF7D1C">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2F2B9B53">
                  <w:pPr>
                    <w:widowControl/>
                    <w:spacing w:line="240" w:lineRule="auto"/>
                    <w:jc w:val="center"/>
                    <w:rPr>
                      <w:rFonts w:hint="default" w:ascii="Times New Roman" w:hAnsi="Times New Roman" w:eastAsia="宋体" w:cs="Times New Roman"/>
                      <w:color w:val="FF0000"/>
                      <w:szCs w:val="21"/>
                      <w:lang w:val="en-US" w:eastAsia="zh-CN"/>
                    </w:rPr>
                  </w:pPr>
                </w:p>
              </w:tc>
              <w:tc>
                <w:tcPr>
                  <w:tcW w:w="1082" w:type="dxa"/>
                  <w:noWrap w:val="0"/>
                  <w:vAlign w:val="center"/>
                </w:tcPr>
                <w:p w14:paraId="3E298B52">
                  <w:pPr>
                    <w:widowControl/>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3361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4D49FCC3">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8</w:t>
                  </w:r>
                </w:p>
              </w:tc>
              <w:tc>
                <w:tcPr>
                  <w:tcW w:w="1727" w:type="dxa"/>
                  <w:noWrap w:val="0"/>
                  <w:vAlign w:val="center"/>
                </w:tcPr>
                <w:p w14:paraId="17B5BF0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支架</w:t>
                  </w:r>
                </w:p>
              </w:tc>
              <w:tc>
                <w:tcPr>
                  <w:tcW w:w="1265" w:type="dxa"/>
                  <w:noWrap w:val="0"/>
                  <w:vAlign w:val="center"/>
                </w:tcPr>
                <w:p w14:paraId="54440B5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6A3DD03D">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26F39240">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218A9D1E">
                  <w:pPr>
                    <w:widowControl/>
                    <w:spacing w:line="240" w:lineRule="auto"/>
                    <w:jc w:val="center"/>
                    <w:rPr>
                      <w:rFonts w:hint="default" w:ascii="Times New Roman" w:hAnsi="Times New Roman" w:eastAsia="宋体" w:cs="Times New Roman"/>
                      <w:color w:val="FF0000"/>
                      <w:szCs w:val="21"/>
                      <w:lang w:val="en-US" w:eastAsia="zh-CN"/>
                    </w:rPr>
                  </w:pPr>
                </w:p>
              </w:tc>
              <w:tc>
                <w:tcPr>
                  <w:tcW w:w="1082" w:type="dxa"/>
                  <w:noWrap w:val="0"/>
                  <w:vAlign w:val="center"/>
                </w:tcPr>
                <w:p w14:paraId="1FB56882">
                  <w:pPr>
                    <w:widowControl/>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0CCB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768D94D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9</w:t>
                  </w:r>
                </w:p>
              </w:tc>
              <w:tc>
                <w:tcPr>
                  <w:tcW w:w="1727" w:type="dxa"/>
                  <w:noWrap w:val="0"/>
                  <w:vAlign w:val="center"/>
                </w:tcPr>
                <w:p w14:paraId="110D384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密封圈</w:t>
                  </w:r>
                </w:p>
              </w:tc>
              <w:tc>
                <w:tcPr>
                  <w:tcW w:w="1265" w:type="dxa"/>
                  <w:shd w:val="clear" w:color="auto" w:fill="auto"/>
                  <w:noWrap w:val="0"/>
                  <w:vAlign w:val="center"/>
                </w:tcPr>
                <w:p w14:paraId="0C90080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shd w:val="clear" w:color="auto" w:fill="auto"/>
                  <w:noWrap w:val="0"/>
                  <w:vAlign w:val="center"/>
                </w:tcPr>
                <w:p w14:paraId="38AAA69F">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shd w:val="clear" w:color="auto" w:fill="auto"/>
                  <w:noWrap w:val="0"/>
                  <w:vAlign w:val="center"/>
                </w:tcPr>
                <w:p w14:paraId="6FC5C213">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6F5E2945">
                  <w:pPr>
                    <w:widowControl/>
                    <w:spacing w:line="240" w:lineRule="auto"/>
                    <w:jc w:val="center"/>
                    <w:rPr>
                      <w:rFonts w:hint="default" w:ascii="Times New Roman" w:hAnsi="Times New Roman" w:eastAsia="宋体" w:cs="Times New Roman"/>
                      <w:color w:val="FF0000"/>
                      <w:szCs w:val="21"/>
                      <w:lang w:val="en-US" w:eastAsia="zh-CN"/>
                    </w:rPr>
                  </w:pPr>
                </w:p>
              </w:tc>
              <w:tc>
                <w:tcPr>
                  <w:tcW w:w="1082" w:type="dxa"/>
                  <w:noWrap w:val="0"/>
                  <w:vAlign w:val="center"/>
                </w:tcPr>
                <w:p w14:paraId="3D3DDEE1">
                  <w:pPr>
                    <w:widowControl/>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300C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0B33315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c>
                <w:tcPr>
                  <w:tcW w:w="1727" w:type="dxa"/>
                  <w:noWrap w:val="0"/>
                  <w:vAlign w:val="center"/>
                </w:tcPr>
                <w:p w14:paraId="3BB13F8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支架底板</w:t>
                  </w:r>
                </w:p>
              </w:tc>
              <w:tc>
                <w:tcPr>
                  <w:tcW w:w="1265" w:type="dxa"/>
                  <w:noWrap w:val="0"/>
                  <w:vAlign w:val="center"/>
                </w:tcPr>
                <w:p w14:paraId="4FCD75D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5FB751E3">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593DAE9C">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4002DE90">
                  <w:pPr>
                    <w:widowControl/>
                    <w:spacing w:line="240" w:lineRule="auto"/>
                    <w:jc w:val="center"/>
                    <w:rPr>
                      <w:rFonts w:hint="default" w:ascii="Times New Roman" w:hAnsi="Times New Roman" w:eastAsia="宋体" w:cs="Times New Roman"/>
                      <w:color w:val="FF0000"/>
                      <w:szCs w:val="21"/>
                      <w:lang w:val="en-US" w:eastAsia="zh-CN"/>
                    </w:rPr>
                  </w:pPr>
                </w:p>
              </w:tc>
              <w:tc>
                <w:tcPr>
                  <w:tcW w:w="1082" w:type="dxa"/>
                  <w:noWrap w:val="0"/>
                  <w:vAlign w:val="center"/>
                </w:tcPr>
                <w:p w14:paraId="64459414">
                  <w:pPr>
                    <w:widowControl/>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4A31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3552853A">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11</w:t>
                  </w:r>
                </w:p>
              </w:tc>
              <w:tc>
                <w:tcPr>
                  <w:tcW w:w="1727" w:type="dxa"/>
                  <w:noWrap w:val="0"/>
                  <w:vAlign w:val="center"/>
                </w:tcPr>
                <w:p w14:paraId="7091F0B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阀体</w:t>
                  </w:r>
                </w:p>
              </w:tc>
              <w:tc>
                <w:tcPr>
                  <w:tcW w:w="1265" w:type="dxa"/>
                  <w:noWrap w:val="0"/>
                  <w:vAlign w:val="center"/>
                </w:tcPr>
                <w:p w14:paraId="48F66F2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2BFAC932">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0865E0AB">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5188B8CB">
                  <w:pPr>
                    <w:widowControl/>
                    <w:spacing w:line="240" w:lineRule="auto"/>
                    <w:jc w:val="center"/>
                    <w:rPr>
                      <w:rFonts w:hint="default" w:ascii="Times New Roman" w:hAnsi="Times New Roman" w:eastAsia="宋体" w:cs="Times New Roman"/>
                      <w:color w:val="FF0000"/>
                      <w:szCs w:val="21"/>
                      <w:lang w:val="en-US" w:eastAsia="zh-CN"/>
                    </w:rPr>
                  </w:pPr>
                </w:p>
              </w:tc>
              <w:tc>
                <w:tcPr>
                  <w:tcW w:w="1082" w:type="dxa"/>
                  <w:noWrap w:val="0"/>
                  <w:vAlign w:val="center"/>
                </w:tcPr>
                <w:p w14:paraId="1E30D139">
                  <w:pPr>
                    <w:widowControl/>
                    <w:spacing w:line="240" w:lineRule="auto"/>
                    <w:jc w:val="center"/>
                    <w:rPr>
                      <w:rFonts w:hint="default" w:ascii="Times New Roman" w:hAnsi="Times New Roman" w:eastAsia="宋体" w:cs="Times New Roman"/>
                      <w:color w:val="FF0000"/>
                      <w:szCs w:val="21"/>
                    </w:rPr>
                  </w:pPr>
                  <w:r>
                    <w:rPr>
                      <w:rFonts w:hint="eastAsia" w:ascii="Times New Roman" w:hAnsi="Times New Roman" w:eastAsia="宋体" w:cs="Times New Roman"/>
                      <w:color w:val="auto"/>
                      <w:szCs w:val="21"/>
                      <w:lang w:val="en-US" w:eastAsia="zh-CN"/>
                    </w:rPr>
                    <w:t>市场采购</w:t>
                  </w:r>
                </w:p>
              </w:tc>
            </w:tr>
            <w:tr w14:paraId="2BC1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6A1E8BD6">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w:t>
                  </w:r>
                </w:p>
              </w:tc>
              <w:tc>
                <w:tcPr>
                  <w:tcW w:w="1727" w:type="dxa"/>
                  <w:noWrap w:val="0"/>
                  <w:vAlign w:val="center"/>
                </w:tcPr>
                <w:p w14:paraId="40A5C08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密封件</w:t>
                  </w:r>
                </w:p>
              </w:tc>
              <w:tc>
                <w:tcPr>
                  <w:tcW w:w="1265" w:type="dxa"/>
                  <w:noWrap w:val="0"/>
                  <w:vAlign w:val="center"/>
                </w:tcPr>
                <w:p w14:paraId="683A468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5ACFE8B2">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7B71F948">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32D5C6E6">
                  <w:pPr>
                    <w:widowControl/>
                    <w:spacing w:line="240" w:lineRule="auto"/>
                    <w:jc w:val="center"/>
                    <w:rPr>
                      <w:rFonts w:hint="default" w:ascii="Times New Roman" w:hAnsi="Times New Roman" w:eastAsia="宋体" w:cs="Times New Roman"/>
                      <w:color w:val="FF0000"/>
                      <w:szCs w:val="21"/>
                      <w:lang w:val="en-US" w:eastAsia="zh-CN"/>
                    </w:rPr>
                  </w:pPr>
                </w:p>
              </w:tc>
              <w:tc>
                <w:tcPr>
                  <w:tcW w:w="1082" w:type="dxa"/>
                  <w:noWrap w:val="0"/>
                  <w:vAlign w:val="center"/>
                </w:tcPr>
                <w:p w14:paraId="3690D296">
                  <w:pPr>
                    <w:widowControl/>
                    <w:spacing w:line="240" w:lineRule="auto"/>
                    <w:jc w:val="center"/>
                    <w:rPr>
                      <w:rFonts w:hint="default" w:ascii="Times New Roman" w:hAnsi="Times New Roman" w:eastAsia="宋体" w:cs="Times New Roman"/>
                      <w:color w:val="FF0000"/>
                      <w:szCs w:val="21"/>
                    </w:rPr>
                  </w:pPr>
                  <w:r>
                    <w:rPr>
                      <w:rFonts w:hint="eastAsia" w:ascii="Times New Roman" w:hAnsi="Times New Roman" w:eastAsia="宋体" w:cs="Times New Roman"/>
                      <w:color w:val="auto"/>
                      <w:szCs w:val="21"/>
                      <w:lang w:val="en-US" w:eastAsia="zh-CN"/>
                    </w:rPr>
                    <w:t>市场采购</w:t>
                  </w:r>
                </w:p>
              </w:tc>
            </w:tr>
            <w:tr w14:paraId="45AA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49D479AD">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w:t>
                  </w:r>
                </w:p>
              </w:tc>
              <w:tc>
                <w:tcPr>
                  <w:tcW w:w="1727" w:type="dxa"/>
                  <w:noWrap w:val="0"/>
                  <w:vAlign w:val="center"/>
                </w:tcPr>
                <w:p w14:paraId="572AFA0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密封垫</w:t>
                  </w:r>
                </w:p>
              </w:tc>
              <w:tc>
                <w:tcPr>
                  <w:tcW w:w="1265" w:type="dxa"/>
                  <w:noWrap w:val="0"/>
                  <w:vAlign w:val="center"/>
                </w:tcPr>
                <w:p w14:paraId="460AF13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3B07A313">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01CA7800">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6B7D5F82">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46D14138">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2D28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0F1412F3">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14</w:t>
                  </w:r>
                </w:p>
              </w:tc>
              <w:tc>
                <w:tcPr>
                  <w:tcW w:w="1727" w:type="dxa"/>
                  <w:noWrap w:val="0"/>
                  <w:vAlign w:val="center"/>
                </w:tcPr>
                <w:p w14:paraId="31D507E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顶杆</w:t>
                  </w:r>
                </w:p>
              </w:tc>
              <w:tc>
                <w:tcPr>
                  <w:tcW w:w="1265" w:type="dxa"/>
                  <w:noWrap w:val="0"/>
                  <w:vAlign w:val="center"/>
                </w:tcPr>
                <w:p w14:paraId="5FCE947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2FE308E9">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102C2CA5">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5723BD4A">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302EB9D6">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1B8E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3BFE2B8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w:t>
                  </w:r>
                </w:p>
              </w:tc>
              <w:tc>
                <w:tcPr>
                  <w:tcW w:w="1727" w:type="dxa"/>
                  <w:noWrap w:val="0"/>
                  <w:vAlign w:val="center"/>
                </w:tcPr>
                <w:p w14:paraId="5313259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阀芯</w:t>
                  </w:r>
                </w:p>
              </w:tc>
              <w:tc>
                <w:tcPr>
                  <w:tcW w:w="1265" w:type="dxa"/>
                  <w:noWrap w:val="0"/>
                  <w:vAlign w:val="center"/>
                </w:tcPr>
                <w:p w14:paraId="71DC68A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5B86BBCF">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5EE86EE7">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7E2FA351">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00E106DB">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2752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02D0D62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w:t>
                  </w:r>
                </w:p>
              </w:tc>
              <w:tc>
                <w:tcPr>
                  <w:tcW w:w="1727" w:type="dxa"/>
                  <w:noWrap w:val="0"/>
                  <w:vAlign w:val="center"/>
                </w:tcPr>
                <w:p w14:paraId="49B0094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弹簧</w:t>
                  </w:r>
                </w:p>
              </w:tc>
              <w:tc>
                <w:tcPr>
                  <w:tcW w:w="1265" w:type="dxa"/>
                  <w:noWrap w:val="0"/>
                  <w:vAlign w:val="center"/>
                </w:tcPr>
                <w:p w14:paraId="1265066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30000件</w:t>
                  </w:r>
                </w:p>
              </w:tc>
              <w:tc>
                <w:tcPr>
                  <w:tcW w:w="1443" w:type="dxa"/>
                  <w:noWrap w:val="0"/>
                  <w:vAlign w:val="center"/>
                </w:tcPr>
                <w:p w14:paraId="4DA258AC">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5000件/袋</w:t>
                  </w:r>
                </w:p>
              </w:tc>
              <w:tc>
                <w:tcPr>
                  <w:tcW w:w="1040" w:type="dxa"/>
                  <w:noWrap w:val="0"/>
                  <w:vAlign w:val="center"/>
                </w:tcPr>
                <w:p w14:paraId="1ECA9A18">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7F485305">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48DE6A2B">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2B55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7D2D3FF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w:t>
                  </w:r>
                </w:p>
              </w:tc>
              <w:tc>
                <w:tcPr>
                  <w:tcW w:w="1727" w:type="dxa"/>
                  <w:noWrap w:val="0"/>
                  <w:vAlign w:val="center"/>
                </w:tcPr>
                <w:p w14:paraId="111EA43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卡扣</w:t>
                  </w:r>
                </w:p>
              </w:tc>
              <w:tc>
                <w:tcPr>
                  <w:tcW w:w="1265" w:type="dxa"/>
                  <w:noWrap w:val="0"/>
                  <w:vAlign w:val="center"/>
                </w:tcPr>
                <w:p w14:paraId="2307CC2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40000件</w:t>
                  </w:r>
                </w:p>
              </w:tc>
              <w:tc>
                <w:tcPr>
                  <w:tcW w:w="1443" w:type="dxa"/>
                  <w:noWrap w:val="0"/>
                  <w:vAlign w:val="center"/>
                </w:tcPr>
                <w:p w14:paraId="14FE588A">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5000件/袋</w:t>
                  </w:r>
                </w:p>
              </w:tc>
              <w:tc>
                <w:tcPr>
                  <w:tcW w:w="1040" w:type="dxa"/>
                  <w:noWrap w:val="0"/>
                  <w:vAlign w:val="center"/>
                </w:tcPr>
                <w:p w14:paraId="15548B37">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3018BE11">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52836743">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01A6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4A7E4692">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w:t>
                  </w:r>
                </w:p>
              </w:tc>
              <w:tc>
                <w:tcPr>
                  <w:tcW w:w="1727" w:type="dxa"/>
                  <w:noWrap w:val="0"/>
                  <w:vAlign w:val="center"/>
                </w:tcPr>
                <w:p w14:paraId="4A1A18A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外壳</w:t>
                  </w:r>
                </w:p>
              </w:tc>
              <w:tc>
                <w:tcPr>
                  <w:tcW w:w="1265" w:type="dxa"/>
                  <w:noWrap w:val="0"/>
                  <w:vAlign w:val="center"/>
                </w:tcPr>
                <w:p w14:paraId="05A3AA6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620FDF5F">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6CB13916">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0CBE6396">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3E59D151">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42E8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4DCCE4A3">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19</w:t>
                  </w:r>
                </w:p>
              </w:tc>
              <w:tc>
                <w:tcPr>
                  <w:tcW w:w="1727" w:type="dxa"/>
                  <w:noWrap w:val="0"/>
                  <w:vAlign w:val="center"/>
                </w:tcPr>
                <w:p w14:paraId="7302ACC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焊锡丝</w:t>
                  </w:r>
                </w:p>
              </w:tc>
              <w:tc>
                <w:tcPr>
                  <w:tcW w:w="1265" w:type="dxa"/>
                  <w:noWrap w:val="0"/>
                  <w:vAlign w:val="center"/>
                </w:tcPr>
                <w:p w14:paraId="2116F95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0.015t</w:t>
                  </w:r>
                </w:p>
              </w:tc>
              <w:tc>
                <w:tcPr>
                  <w:tcW w:w="1443" w:type="dxa"/>
                  <w:noWrap w:val="0"/>
                  <w:vAlign w:val="center"/>
                </w:tcPr>
                <w:p w14:paraId="73C60400">
                  <w:pPr>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5kg/盒</w:t>
                  </w:r>
                </w:p>
              </w:tc>
              <w:tc>
                <w:tcPr>
                  <w:tcW w:w="1040" w:type="dxa"/>
                  <w:noWrap w:val="0"/>
                  <w:vAlign w:val="center"/>
                </w:tcPr>
                <w:p w14:paraId="02E8B2B6">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0.005</w:t>
                  </w:r>
                </w:p>
              </w:tc>
              <w:tc>
                <w:tcPr>
                  <w:tcW w:w="1339" w:type="dxa"/>
                  <w:vMerge w:val="continue"/>
                  <w:noWrap w:val="0"/>
                  <w:vAlign w:val="center"/>
                </w:tcPr>
                <w:p w14:paraId="693974C0">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14D17CC3">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449D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35A65ADA">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20</w:t>
                  </w:r>
                </w:p>
              </w:tc>
              <w:tc>
                <w:tcPr>
                  <w:tcW w:w="1727" w:type="dxa"/>
                  <w:noWrap w:val="0"/>
                  <w:vAlign w:val="center"/>
                </w:tcPr>
                <w:p w14:paraId="71839CC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轮毂衬套</w:t>
                  </w:r>
                </w:p>
              </w:tc>
              <w:tc>
                <w:tcPr>
                  <w:tcW w:w="1265" w:type="dxa"/>
                  <w:noWrap w:val="0"/>
                  <w:vAlign w:val="center"/>
                </w:tcPr>
                <w:p w14:paraId="27B7CDC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304F5CDA">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113240FF">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restart"/>
                  <w:noWrap w:val="0"/>
                  <w:vAlign w:val="center"/>
                </w:tcPr>
                <w:p w14:paraId="1D206EED">
                  <w:pPr>
                    <w:widowControl/>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有塑封盖电磁阀生产所需配件及原料</w:t>
                  </w:r>
                </w:p>
              </w:tc>
              <w:tc>
                <w:tcPr>
                  <w:tcW w:w="1082" w:type="dxa"/>
                  <w:noWrap w:val="0"/>
                  <w:vAlign w:val="center"/>
                </w:tcPr>
                <w:p w14:paraId="269272B1">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2F14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7B19D4D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21</w:t>
                  </w:r>
                </w:p>
              </w:tc>
              <w:tc>
                <w:tcPr>
                  <w:tcW w:w="1727" w:type="dxa"/>
                  <w:noWrap w:val="0"/>
                  <w:vAlign w:val="center"/>
                </w:tcPr>
                <w:p w14:paraId="06421A5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胶带</w:t>
                  </w:r>
                </w:p>
              </w:tc>
              <w:tc>
                <w:tcPr>
                  <w:tcW w:w="1265" w:type="dxa"/>
                  <w:noWrap w:val="0"/>
                  <w:vAlign w:val="center"/>
                </w:tcPr>
                <w:p w14:paraId="6F5EA79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0.02t</w:t>
                  </w:r>
                </w:p>
              </w:tc>
              <w:tc>
                <w:tcPr>
                  <w:tcW w:w="1443" w:type="dxa"/>
                  <w:noWrap w:val="0"/>
                  <w:vAlign w:val="center"/>
                </w:tcPr>
                <w:p w14:paraId="03EEFB82">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040" w:type="dxa"/>
                  <w:noWrap w:val="0"/>
                  <w:vAlign w:val="center"/>
                </w:tcPr>
                <w:p w14:paraId="4849E026">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16E5136D">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35CB7DC0">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1394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5F9F2B0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22</w:t>
                  </w:r>
                </w:p>
              </w:tc>
              <w:tc>
                <w:tcPr>
                  <w:tcW w:w="1727" w:type="dxa"/>
                  <w:noWrap w:val="0"/>
                  <w:vAlign w:val="center"/>
                </w:tcPr>
                <w:p w14:paraId="4749321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电容</w:t>
                  </w:r>
                </w:p>
              </w:tc>
              <w:tc>
                <w:tcPr>
                  <w:tcW w:w="1265" w:type="dxa"/>
                  <w:noWrap w:val="0"/>
                  <w:vAlign w:val="center"/>
                </w:tcPr>
                <w:p w14:paraId="16A6C0B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6F4D0F5B">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63E88C00">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0029C90C">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513AF747">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7302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16BA333D">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23</w:t>
                  </w:r>
                </w:p>
              </w:tc>
              <w:tc>
                <w:tcPr>
                  <w:tcW w:w="1727" w:type="dxa"/>
                  <w:noWrap w:val="0"/>
                  <w:vAlign w:val="center"/>
                </w:tcPr>
                <w:p w14:paraId="09250AB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铁套</w:t>
                  </w:r>
                </w:p>
              </w:tc>
              <w:tc>
                <w:tcPr>
                  <w:tcW w:w="1265" w:type="dxa"/>
                  <w:noWrap w:val="0"/>
                  <w:vAlign w:val="center"/>
                </w:tcPr>
                <w:p w14:paraId="7DEB71B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641BCC5A">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48AC3E86">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0708C757">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39E3AD5B">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6084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60C1B38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24</w:t>
                  </w:r>
                </w:p>
              </w:tc>
              <w:tc>
                <w:tcPr>
                  <w:tcW w:w="1727" w:type="dxa"/>
                  <w:noWrap w:val="0"/>
                  <w:vAlign w:val="center"/>
                </w:tcPr>
                <w:p w14:paraId="2F18C08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保护盖</w:t>
                  </w:r>
                </w:p>
              </w:tc>
              <w:tc>
                <w:tcPr>
                  <w:tcW w:w="1265" w:type="dxa"/>
                  <w:noWrap w:val="0"/>
                  <w:vAlign w:val="center"/>
                </w:tcPr>
                <w:p w14:paraId="6B0C16E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3F7DDB73">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1C019DDB">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7AE383DC">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6F4B5CE6">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77DA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7E99378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w:t>
                  </w:r>
                </w:p>
              </w:tc>
              <w:tc>
                <w:tcPr>
                  <w:tcW w:w="1727" w:type="dxa"/>
                  <w:noWrap w:val="0"/>
                  <w:vAlign w:val="center"/>
                </w:tcPr>
                <w:p w14:paraId="1D8ABAB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热缩套</w:t>
                  </w:r>
                </w:p>
              </w:tc>
              <w:tc>
                <w:tcPr>
                  <w:tcW w:w="1265" w:type="dxa"/>
                  <w:noWrap w:val="0"/>
                  <w:vAlign w:val="center"/>
                </w:tcPr>
                <w:p w14:paraId="4F064C0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40000件</w:t>
                  </w:r>
                </w:p>
              </w:tc>
              <w:tc>
                <w:tcPr>
                  <w:tcW w:w="1443" w:type="dxa"/>
                  <w:noWrap w:val="0"/>
                  <w:vAlign w:val="center"/>
                </w:tcPr>
                <w:p w14:paraId="1675A204">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5000件/袋</w:t>
                  </w:r>
                </w:p>
              </w:tc>
              <w:tc>
                <w:tcPr>
                  <w:tcW w:w="1040" w:type="dxa"/>
                  <w:noWrap w:val="0"/>
                  <w:vAlign w:val="center"/>
                </w:tcPr>
                <w:p w14:paraId="3DA489F0">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3FB76A80">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12F42B5A">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3AC9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5FDCE97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26</w:t>
                  </w:r>
                </w:p>
              </w:tc>
              <w:tc>
                <w:tcPr>
                  <w:tcW w:w="1727" w:type="dxa"/>
                  <w:noWrap w:val="0"/>
                  <w:vAlign w:val="center"/>
                </w:tcPr>
                <w:p w14:paraId="2B4CA2B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插头</w:t>
                  </w:r>
                </w:p>
              </w:tc>
              <w:tc>
                <w:tcPr>
                  <w:tcW w:w="1265" w:type="dxa"/>
                  <w:noWrap w:val="0"/>
                  <w:vAlign w:val="center"/>
                </w:tcPr>
                <w:p w14:paraId="3879FAD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5201E5C1">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6037E86C">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3E116E84">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15844DE4">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28D5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762E8A4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27</w:t>
                  </w:r>
                </w:p>
              </w:tc>
              <w:tc>
                <w:tcPr>
                  <w:tcW w:w="1727" w:type="dxa"/>
                  <w:noWrap w:val="0"/>
                  <w:vAlign w:val="center"/>
                </w:tcPr>
                <w:p w14:paraId="7E3B08B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垫片</w:t>
                  </w:r>
                </w:p>
              </w:tc>
              <w:tc>
                <w:tcPr>
                  <w:tcW w:w="1265" w:type="dxa"/>
                  <w:noWrap w:val="0"/>
                  <w:vAlign w:val="center"/>
                </w:tcPr>
                <w:p w14:paraId="1084957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2645423F">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0E5715E5">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13705C19">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6C22A634">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3752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0DB832C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28</w:t>
                  </w:r>
                </w:p>
              </w:tc>
              <w:tc>
                <w:tcPr>
                  <w:tcW w:w="1727" w:type="dxa"/>
                  <w:noWrap w:val="0"/>
                  <w:vAlign w:val="center"/>
                </w:tcPr>
                <w:p w14:paraId="6D78749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铁壳</w:t>
                  </w:r>
                </w:p>
              </w:tc>
              <w:tc>
                <w:tcPr>
                  <w:tcW w:w="1265" w:type="dxa"/>
                  <w:noWrap w:val="0"/>
                  <w:vAlign w:val="center"/>
                </w:tcPr>
                <w:p w14:paraId="5A4921D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20000件</w:t>
                  </w:r>
                </w:p>
              </w:tc>
              <w:tc>
                <w:tcPr>
                  <w:tcW w:w="1443" w:type="dxa"/>
                  <w:noWrap w:val="0"/>
                  <w:vAlign w:val="center"/>
                </w:tcPr>
                <w:p w14:paraId="72DCAC3C">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1000件/袋</w:t>
                  </w:r>
                </w:p>
              </w:tc>
              <w:tc>
                <w:tcPr>
                  <w:tcW w:w="1040" w:type="dxa"/>
                  <w:noWrap w:val="0"/>
                  <w:vAlign w:val="center"/>
                </w:tcPr>
                <w:p w14:paraId="1383E78C">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3EFCC06C">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73866E15">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28F6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44762BAD">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29</w:t>
                  </w:r>
                </w:p>
              </w:tc>
              <w:tc>
                <w:tcPr>
                  <w:tcW w:w="1727" w:type="dxa"/>
                  <w:noWrap w:val="0"/>
                  <w:vAlign w:val="center"/>
                </w:tcPr>
                <w:p w14:paraId="6CF8FBE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BMC材料</w:t>
                  </w:r>
                </w:p>
              </w:tc>
              <w:tc>
                <w:tcPr>
                  <w:tcW w:w="1265" w:type="dxa"/>
                  <w:noWrap w:val="0"/>
                  <w:vAlign w:val="center"/>
                </w:tcPr>
                <w:p w14:paraId="38FCFA8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20t</w:t>
                  </w:r>
                </w:p>
              </w:tc>
              <w:tc>
                <w:tcPr>
                  <w:tcW w:w="1443" w:type="dxa"/>
                  <w:noWrap w:val="0"/>
                  <w:vAlign w:val="center"/>
                </w:tcPr>
                <w:p w14:paraId="2E4FF575">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25kg/袋</w:t>
                  </w:r>
                </w:p>
              </w:tc>
              <w:tc>
                <w:tcPr>
                  <w:tcW w:w="1040" w:type="dxa"/>
                  <w:noWrap w:val="0"/>
                  <w:vAlign w:val="center"/>
                </w:tcPr>
                <w:p w14:paraId="18EFF71D">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47D1D8A7">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62910F8D">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2F96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226785E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30</w:t>
                  </w:r>
                </w:p>
              </w:tc>
              <w:tc>
                <w:tcPr>
                  <w:tcW w:w="1727" w:type="dxa"/>
                  <w:noWrap w:val="0"/>
                  <w:vAlign w:val="center"/>
                </w:tcPr>
                <w:p w14:paraId="23853D7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电路板</w:t>
                  </w:r>
                </w:p>
              </w:tc>
              <w:tc>
                <w:tcPr>
                  <w:tcW w:w="1265" w:type="dxa"/>
                  <w:noWrap w:val="0"/>
                  <w:vAlign w:val="center"/>
                </w:tcPr>
                <w:p w14:paraId="04F1EEF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400万件</w:t>
                  </w:r>
                </w:p>
              </w:tc>
              <w:tc>
                <w:tcPr>
                  <w:tcW w:w="1443" w:type="dxa"/>
                  <w:noWrap w:val="0"/>
                  <w:vAlign w:val="center"/>
                </w:tcPr>
                <w:p w14:paraId="7CE00DD7">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5000件/袋</w:t>
                  </w:r>
                </w:p>
              </w:tc>
              <w:tc>
                <w:tcPr>
                  <w:tcW w:w="1040" w:type="dxa"/>
                  <w:noWrap w:val="0"/>
                  <w:vAlign w:val="center"/>
                </w:tcPr>
                <w:p w14:paraId="6BA0879C">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restart"/>
                  <w:noWrap w:val="0"/>
                  <w:vAlign w:val="center"/>
                </w:tcPr>
                <w:p w14:paraId="2A38A006">
                  <w:pPr>
                    <w:widowControl/>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电磁阀智能芯片生产所需配件及原料</w:t>
                  </w:r>
                </w:p>
              </w:tc>
              <w:tc>
                <w:tcPr>
                  <w:tcW w:w="1082" w:type="dxa"/>
                  <w:noWrap w:val="0"/>
                  <w:vAlign w:val="center"/>
                </w:tcPr>
                <w:p w14:paraId="0F24FC0A">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65F1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322283A2">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31</w:t>
                  </w:r>
                </w:p>
              </w:tc>
              <w:tc>
                <w:tcPr>
                  <w:tcW w:w="1727" w:type="dxa"/>
                  <w:noWrap w:val="0"/>
                  <w:vAlign w:val="center"/>
                </w:tcPr>
                <w:p w14:paraId="5B65B49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锡膏</w:t>
                  </w:r>
                </w:p>
              </w:tc>
              <w:tc>
                <w:tcPr>
                  <w:tcW w:w="1265" w:type="dxa"/>
                  <w:noWrap w:val="0"/>
                  <w:vAlign w:val="center"/>
                </w:tcPr>
                <w:p w14:paraId="2F769F6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0.06t</w:t>
                  </w:r>
                </w:p>
              </w:tc>
              <w:tc>
                <w:tcPr>
                  <w:tcW w:w="1443" w:type="dxa"/>
                  <w:noWrap w:val="0"/>
                  <w:vAlign w:val="center"/>
                </w:tcPr>
                <w:p w14:paraId="366E53F1">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10kg/桶</w:t>
                  </w:r>
                </w:p>
              </w:tc>
              <w:tc>
                <w:tcPr>
                  <w:tcW w:w="1040" w:type="dxa"/>
                  <w:noWrap w:val="0"/>
                  <w:vAlign w:val="center"/>
                </w:tcPr>
                <w:p w14:paraId="274CC67D">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0.03</w:t>
                  </w:r>
                </w:p>
              </w:tc>
              <w:tc>
                <w:tcPr>
                  <w:tcW w:w="1339" w:type="dxa"/>
                  <w:vMerge w:val="continue"/>
                  <w:noWrap w:val="0"/>
                  <w:vAlign w:val="center"/>
                </w:tcPr>
                <w:p w14:paraId="3515F396">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2BB15D10">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068D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33B5249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32</w:t>
                  </w:r>
                </w:p>
              </w:tc>
              <w:tc>
                <w:tcPr>
                  <w:tcW w:w="1727" w:type="dxa"/>
                  <w:noWrap w:val="0"/>
                  <w:vAlign w:val="center"/>
                </w:tcPr>
                <w:p w14:paraId="3973442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贴片元器件</w:t>
                  </w:r>
                </w:p>
              </w:tc>
              <w:tc>
                <w:tcPr>
                  <w:tcW w:w="1265" w:type="dxa"/>
                  <w:noWrap w:val="0"/>
                  <w:vAlign w:val="center"/>
                </w:tcPr>
                <w:p w14:paraId="77B1252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14000万件</w:t>
                  </w:r>
                </w:p>
              </w:tc>
              <w:tc>
                <w:tcPr>
                  <w:tcW w:w="1443" w:type="dxa"/>
                  <w:noWrap w:val="0"/>
                  <w:vAlign w:val="center"/>
                </w:tcPr>
                <w:p w14:paraId="40A7FE63">
                  <w:pPr>
                    <w:spacing w:line="240" w:lineRule="auto"/>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kern w:val="2"/>
                      <w:sz w:val="21"/>
                      <w:szCs w:val="21"/>
                      <w:lang w:val="en-US" w:eastAsia="zh-CN" w:bidi="ar-SA"/>
                    </w:rPr>
                    <w:t>5000件/袋</w:t>
                  </w:r>
                </w:p>
              </w:tc>
              <w:tc>
                <w:tcPr>
                  <w:tcW w:w="1040" w:type="dxa"/>
                  <w:noWrap w:val="0"/>
                  <w:vAlign w:val="center"/>
                </w:tcPr>
                <w:p w14:paraId="40E20689">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58559AFB">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2D08A0AD">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555B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156CA59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33</w:t>
                  </w:r>
                </w:p>
              </w:tc>
              <w:tc>
                <w:tcPr>
                  <w:tcW w:w="1727" w:type="dxa"/>
                  <w:noWrap w:val="0"/>
                  <w:vAlign w:val="center"/>
                </w:tcPr>
                <w:p w14:paraId="46C1932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直插元器件</w:t>
                  </w:r>
                </w:p>
              </w:tc>
              <w:tc>
                <w:tcPr>
                  <w:tcW w:w="1265" w:type="dxa"/>
                  <w:noWrap w:val="0"/>
                  <w:vAlign w:val="center"/>
                </w:tcPr>
                <w:p w14:paraId="52ABA1F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400万件</w:t>
                  </w:r>
                </w:p>
              </w:tc>
              <w:tc>
                <w:tcPr>
                  <w:tcW w:w="1443" w:type="dxa"/>
                  <w:noWrap w:val="0"/>
                  <w:vAlign w:val="center"/>
                </w:tcPr>
                <w:p w14:paraId="78EFAAED">
                  <w:pPr>
                    <w:spacing w:line="240"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kern w:val="2"/>
                      <w:sz w:val="21"/>
                      <w:szCs w:val="21"/>
                      <w:lang w:val="en-US" w:eastAsia="zh-CN" w:bidi="ar-SA"/>
                    </w:rPr>
                    <w:t>5000件/袋</w:t>
                  </w:r>
                </w:p>
              </w:tc>
              <w:tc>
                <w:tcPr>
                  <w:tcW w:w="1040" w:type="dxa"/>
                  <w:noWrap w:val="0"/>
                  <w:vAlign w:val="center"/>
                </w:tcPr>
                <w:p w14:paraId="431C02F3">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vMerge w:val="continue"/>
                  <w:noWrap w:val="0"/>
                  <w:vAlign w:val="center"/>
                </w:tcPr>
                <w:p w14:paraId="6700C62C">
                  <w:pPr>
                    <w:widowControl/>
                    <w:spacing w:line="240" w:lineRule="auto"/>
                    <w:jc w:val="center"/>
                    <w:rPr>
                      <w:rFonts w:hint="eastAsia" w:ascii="Times New Roman" w:hAnsi="Times New Roman" w:eastAsia="宋体" w:cs="Times New Roman"/>
                      <w:color w:val="FF0000"/>
                      <w:szCs w:val="21"/>
                      <w:lang w:val="en-US" w:eastAsia="zh-CN"/>
                    </w:rPr>
                  </w:pPr>
                </w:p>
              </w:tc>
              <w:tc>
                <w:tcPr>
                  <w:tcW w:w="1082" w:type="dxa"/>
                  <w:noWrap w:val="0"/>
                  <w:vAlign w:val="center"/>
                </w:tcPr>
                <w:p w14:paraId="40002B68">
                  <w:pPr>
                    <w:widowControl/>
                    <w:spacing w:line="240" w:lineRule="auto"/>
                    <w:jc w:val="center"/>
                    <w:rPr>
                      <w:rFonts w:hint="eastAsia"/>
                      <w:color w:val="FF0000"/>
                      <w:szCs w:val="21"/>
                      <w:lang w:val="en-US" w:eastAsia="zh-CN"/>
                    </w:rPr>
                  </w:pPr>
                  <w:r>
                    <w:rPr>
                      <w:rFonts w:hint="eastAsia" w:ascii="Times New Roman" w:hAnsi="Times New Roman" w:eastAsia="宋体" w:cs="Times New Roman"/>
                      <w:color w:val="auto"/>
                      <w:szCs w:val="21"/>
                      <w:lang w:val="en-US" w:eastAsia="zh-CN"/>
                    </w:rPr>
                    <w:t>市场采购</w:t>
                  </w:r>
                </w:p>
              </w:tc>
            </w:tr>
            <w:tr w14:paraId="5749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344921F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34</w:t>
                  </w:r>
                </w:p>
              </w:tc>
              <w:tc>
                <w:tcPr>
                  <w:tcW w:w="1727" w:type="dxa"/>
                  <w:noWrap w:val="0"/>
                  <w:vAlign w:val="center"/>
                </w:tcPr>
                <w:p w14:paraId="69F9BCCB">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助焊剂</w:t>
                  </w:r>
                </w:p>
              </w:tc>
              <w:tc>
                <w:tcPr>
                  <w:tcW w:w="1265" w:type="dxa"/>
                  <w:noWrap w:val="0"/>
                  <w:vAlign w:val="center"/>
                </w:tcPr>
                <w:p w14:paraId="4637C8F6">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0.06t</w:t>
                  </w:r>
                </w:p>
              </w:tc>
              <w:tc>
                <w:tcPr>
                  <w:tcW w:w="1443" w:type="dxa"/>
                  <w:noWrap w:val="0"/>
                  <w:vAlign w:val="center"/>
                </w:tcPr>
                <w:p w14:paraId="701C9815">
                  <w:pPr>
                    <w:spacing w:line="240"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5L/桶</w:t>
                  </w:r>
                </w:p>
              </w:tc>
              <w:tc>
                <w:tcPr>
                  <w:tcW w:w="1040" w:type="dxa"/>
                  <w:noWrap w:val="0"/>
                  <w:vAlign w:val="center"/>
                </w:tcPr>
                <w:p w14:paraId="3FB8007F">
                  <w:pPr>
                    <w:widowControl/>
                    <w:spacing w:line="240"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0.005</w:t>
                  </w:r>
                </w:p>
              </w:tc>
              <w:tc>
                <w:tcPr>
                  <w:tcW w:w="1339" w:type="dxa"/>
                  <w:noWrap w:val="0"/>
                  <w:vAlign w:val="center"/>
                </w:tcPr>
                <w:p w14:paraId="39901287">
                  <w:pPr>
                    <w:widowControl/>
                    <w:spacing w:line="240"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焊接助剂</w:t>
                  </w:r>
                </w:p>
              </w:tc>
              <w:tc>
                <w:tcPr>
                  <w:tcW w:w="1082" w:type="dxa"/>
                  <w:noWrap w:val="0"/>
                  <w:vAlign w:val="center"/>
                </w:tcPr>
                <w:p w14:paraId="7CA977D9">
                  <w:pPr>
                    <w:widowControl/>
                    <w:spacing w:line="240" w:lineRule="auto"/>
                    <w:jc w:val="center"/>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color w:val="auto"/>
                      <w:szCs w:val="21"/>
                      <w:lang w:val="en-US" w:eastAsia="zh-CN"/>
                    </w:rPr>
                    <w:t>市场采购</w:t>
                  </w:r>
                </w:p>
              </w:tc>
            </w:tr>
            <w:tr w14:paraId="04DA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6131E8F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35</w:t>
                  </w:r>
                </w:p>
              </w:tc>
              <w:tc>
                <w:tcPr>
                  <w:tcW w:w="1727" w:type="dxa"/>
                  <w:shd w:val="clear" w:color="auto" w:fill="auto"/>
                  <w:noWrap w:val="0"/>
                  <w:vAlign w:val="center"/>
                </w:tcPr>
                <w:p w14:paraId="7780115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水</w:t>
                  </w:r>
                </w:p>
              </w:tc>
              <w:tc>
                <w:tcPr>
                  <w:tcW w:w="1265" w:type="dxa"/>
                  <w:shd w:val="clear" w:color="auto" w:fill="auto"/>
                  <w:noWrap w:val="0"/>
                  <w:vAlign w:val="center"/>
                </w:tcPr>
                <w:p w14:paraId="6BD6503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2120t</w:t>
                  </w:r>
                </w:p>
              </w:tc>
              <w:tc>
                <w:tcPr>
                  <w:tcW w:w="1443" w:type="dxa"/>
                  <w:noWrap w:val="0"/>
                  <w:vAlign w:val="center"/>
                </w:tcPr>
                <w:p w14:paraId="1206B768">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040" w:type="dxa"/>
                  <w:noWrap w:val="0"/>
                  <w:vAlign w:val="center"/>
                </w:tcPr>
                <w:p w14:paraId="7A61FE48">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noWrap w:val="0"/>
                  <w:vAlign w:val="center"/>
                </w:tcPr>
                <w:p w14:paraId="105BF54C">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生活、生产用水</w:t>
                  </w:r>
                </w:p>
              </w:tc>
              <w:tc>
                <w:tcPr>
                  <w:tcW w:w="1082" w:type="dxa"/>
                  <w:noWrap w:val="0"/>
                  <w:vAlign w:val="center"/>
                </w:tcPr>
                <w:p w14:paraId="011F55A7">
                  <w:pPr>
                    <w:widowControl/>
                    <w:spacing w:line="240" w:lineRule="auto"/>
                    <w:jc w:val="center"/>
                    <w:rPr>
                      <w:rFonts w:hint="default"/>
                      <w:color w:val="auto"/>
                      <w:szCs w:val="21"/>
                      <w:lang w:val="en-US" w:eastAsia="zh-CN"/>
                    </w:rPr>
                  </w:pPr>
                  <w:r>
                    <w:rPr>
                      <w:rFonts w:hint="eastAsia"/>
                      <w:color w:val="auto"/>
                      <w:szCs w:val="21"/>
                      <w:lang w:val="en-US" w:eastAsia="zh-CN"/>
                    </w:rPr>
                    <w:t>德清县水务有限公司</w:t>
                  </w:r>
                </w:p>
              </w:tc>
            </w:tr>
            <w:tr w14:paraId="4B1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dxa"/>
                  <w:noWrap w:val="0"/>
                  <w:vAlign w:val="center"/>
                </w:tcPr>
                <w:p w14:paraId="272FE8B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36</w:t>
                  </w:r>
                </w:p>
              </w:tc>
              <w:tc>
                <w:tcPr>
                  <w:tcW w:w="1727" w:type="dxa"/>
                  <w:noWrap w:val="0"/>
                  <w:vAlign w:val="center"/>
                </w:tcPr>
                <w:p w14:paraId="1C94EA0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电</w:t>
                  </w:r>
                </w:p>
              </w:tc>
              <w:tc>
                <w:tcPr>
                  <w:tcW w:w="1265" w:type="dxa"/>
                  <w:noWrap w:val="0"/>
                  <w:vAlign w:val="center"/>
                </w:tcPr>
                <w:p w14:paraId="700D4B7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50万kwh</w:t>
                  </w:r>
                </w:p>
              </w:tc>
              <w:tc>
                <w:tcPr>
                  <w:tcW w:w="1443" w:type="dxa"/>
                  <w:noWrap w:val="0"/>
                  <w:vAlign w:val="center"/>
                </w:tcPr>
                <w:p w14:paraId="36D4764D">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040" w:type="dxa"/>
                  <w:noWrap w:val="0"/>
                  <w:vAlign w:val="center"/>
                </w:tcPr>
                <w:p w14:paraId="0A23019E">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39" w:type="dxa"/>
                  <w:noWrap w:val="0"/>
                  <w:vAlign w:val="center"/>
                </w:tcPr>
                <w:p w14:paraId="7D98C0D7">
                  <w:pPr>
                    <w:widowControl/>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供应各用电设备</w:t>
                  </w:r>
                </w:p>
              </w:tc>
              <w:tc>
                <w:tcPr>
                  <w:tcW w:w="1082" w:type="dxa"/>
                  <w:noWrap w:val="0"/>
                  <w:vAlign w:val="center"/>
                </w:tcPr>
                <w:p w14:paraId="44AA4DDA">
                  <w:pPr>
                    <w:widowControl/>
                    <w:spacing w:line="240" w:lineRule="auto"/>
                    <w:jc w:val="center"/>
                    <w:rPr>
                      <w:rFonts w:hint="default"/>
                      <w:color w:val="auto"/>
                      <w:szCs w:val="21"/>
                      <w:lang w:val="en-US" w:eastAsia="zh-CN"/>
                    </w:rPr>
                  </w:pPr>
                  <w:r>
                    <w:rPr>
                      <w:rFonts w:hint="eastAsia"/>
                      <w:color w:val="auto"/>
                      <w:szCs w:val="21"/>
                      <w:lang w:val="en-US" w:eastAsia="zh-CN"/>
                    </w:rPr>
                    <w:t>国网德清供电公司</w:t>
                  </w:r>
                </w:p>
              </w:tc>
            </w:tr>
          </w:tbl>
          <w:p w14:paraId="647E930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b/>
                <w:color w:val="auto"/>
                <w:sz w:val="21"/>
                <w:szCs w:val="21"/>
                <w:lang w:val="en-US"/>
              </w:rPr>
            </w:pPr>
            <w:r>
              <w:rPr>
                <w:rFonts w:hint="eastAsia" w:ascii="Times New Roman" w:hAnsi="Times New Roman" w:eastAsia="宋体" w:cs="Times New Roman"/>
                <w:b/>
                <w:bCs/>
                <w:color w:val="auto"/>
                <w:sz w:val="24"/>
                <w:szCs w:val="24"/>
                <w:lang w:val="en-US" w:eastAsia="zh-CN"/>
              </w:rPr>
              <w:t>2.1.3.1</w:t>
            </w:r>
            <w:r>
              <w:rPr>
                <w:rFonts w:hint="eastAsia" w:ascii="Times New Roman" w:hAnsi="Times New Roman"/>
                <w:b/>
                <w:bCs/>
                <w:color w:val="auto"/>
                <w:kern w:val="0"/>
                <w:sz w:val="24"/>
                <w:szCs w:val="24"/>
                <w:lang w:eastAsia="zh-CN"/>
              </w:rPr>
              <w:t>主要</w:t>
            </w:r>
            <w:r>
              <w:rPr>
                <w:rFonts w:hint="eastAsia" w:ascii="Times New Roman" w:hAnsi="Times New Roman"/>
                <w:b/>
                <w:bCs/>
                <w:color w:val="auto"/>
                <w:kern w:val="0"/>
                <w:sz w:val="24"/>
                <w:szCs w:val="24"/>
                <w:lang w:val="en-US" w:eastAsia="zh-CN"/>
              </w:rPr>
              <w:t>原辅材料组分及理化性质</w:t>
            </w:r>
          </w:p>
          <w:p w14:paraId="608802F0">
            <w:pPr>
              <w:tabs>
                <w:tab w:val="left" w:pos="677"/>
              </w:tabs>
              <w:spacing w:line="360" w:lineRule="auto"/>
              <w:ind w:firstLine="480" w:firstLineChars="200"/>
              <w:jc w:val="both"/>
              <w:rPr>
                <w:rFonts w:hint="eastAsia" w:ascii="Times New Roman" w:hAnsi="Times New Roman" w:cs="Times New Roman"/>
                <w:b w:val="0"/>
                <w:bCs/>
                <w:color w:val="auto"/>
                <w:kern w:val="0"/>
                <w:sz w:val="24"/>
                <w:szCs w:val="24"/>
                <w:u w:val="none"/>
                <w:lang w:val="en-US" w:eastAsia="zh-CN"/>
              </w:rPr>
            </w:pPr>
            <w:r>
              <w:rPr>
                <w:rFonts w:hint="eastAsia" w:ascii="Times New Roman" w:hAnsi="Times New Roman" w:cs="Times New Roman"/>
                <w:b w:val="0"/>
                <w:bCs/>
                <w:color w:val="auto"/>
                <w:kern w:val="0"/>
                <w:sz w:val="24"/>
                <w:szCs w:val="24"/>
                <w:u w:val="single"/>
                <w:lang w:val="en-US" w:eastAsia="zh-CN"/>
              </w:rPr>
              <w:t>超声波清洗剂</w:t>
            </w:r>
            <w:r>
              <w:rPr>
                <w:rFonts w:hint="eastAsia" w:ascii="Times New Roman" w:hAnsi="Times New Roman" w:cs="Times New Roman"/>
                <w:b w:val="0"/>
                <w:bCs/>
                <w:color w:val="auto"/>
                <w:kern w:val="0"/>
                <w:sz w:val="24"/>
                <w:szCs w:val="24"/>
                <w:u w:val="none"/>
                <w:lang w:val="en-US" w:eastAsia="zh-CN"/>
              </w:rPr>
              <w:t>：根据MSDS资料得知，主要成分见表2-5。</w:t>
            </w:r>
          </w:p>
          <w:p w14:paraId="21912C49">
            <w:pPr>
              <w:ind w:firstLine="482"/>
              <w:jc w:val="center"/>
              <w:rPr>
                <w:rFonts w:ascii="Times New Roman" w:hAnsi="Times New Roman" w:eastAsia="宋体" w:cs="Times New Roman"/>
                <w:b/>
                <w:bCs/>
                <w:color w:val="FF0000"/>
                <w:szCs w:val="21"/>
              </w:rPr>
            </w:pPr>
            <w:r>
              <w:rPr>
                <w:rFonts w:hint="eastAsia" w:cs="Times New Roman"/>
                <w:bCs/>
                <w:color w:val="auto"/>
                <w:kern w:val="0"/>
                <w:sz w:val="24"/>
                <w:szCs w:val="24"/>
              </w:rPr>
              <w:t xml:space="preserve"> </w:t>
            </w:r>
            <w:r>
              <w:rPr>
                <w:rFonts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lang w:val="en-US" w:eastAsia="zh-CN"/>
              </w:rPr>
              <w:t>5</w:t>
            </w:r>
            <w:r>
              <w:rPr>
                <w:rFonts w:ascii="Times New Roman" w:hAnsi="Times New Roman" w:eastAsia="宋体" w:cs="Times New Roman"/>
                <w:b/>
                <w:bCs/>
                <w:color w:val="auto"/>
                <w:szCs w:val="21"/>
              </w:rPr>
              <w:t xml:space="preserve"> </w:t>
            </w:r>
            <w:r>
              <w:rPr>
                <w:rFonts w:hint="eastAsia" w:ascii="Times New Roman" w:hAnsi="Times New Roman" w:eastAsia="宋体" w:cs="Times New Roman"/>
                <w:b/>
                <w:bCs/>
                <w:color w:val="auto"/>
                <w:szCs w:val="21"/>
                <w:lang w:val="en-US" w:eastAsia="zh-CN"/>
              </w:rPr>
              <w:t>超声波清洗剂</w:t>
            </w:r>
            <w:r>
              <w:rPr>
                <w:rFonts w:ascii="Times New Roman" w:hAnsi="Times New Roman" w:eastAsia="宋体" w:cs="Times New Roman"/>
                <w:b/>
                <w:bCs/>
                <w:color w:val="auto"/>
                <w:szCs w:val="21"/>
              </w:rPr>
              <w:t>成分</w:t>
            </w:r>
            <w:r>
              <w:rPr>
                <w:rFonts w:hint="eastAsia" w:ascii="Times New Roman" w:hAnsi="Times New Roman" w:eastAsia="宋体" w:cs="Times New Roman"/>
                <w:b/>
                <w:bCs/>
                <w:color w:val="auto"/>
                <w:szCs w:val="21"/>
              </w:rPr>
              <w:t>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68"/>
              <w:gridCol w:w="2849"/>
              <w:gridCol w:w="2849"/>
            </w:tblGrid>
            <w:tr w14:paraId="76BA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38" w:type="dxa"/>
                  <w:vAlign w:val="center"/>
                </w:tcPr>
                <w:p w14:paraId="52200CB1">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序号</w:t>
                  </w:r>
                </w:p>
              </w:tc>
              <w:tc>
                <w:tcPr>
                  <w:tcW w:w="2068" w:type="dxa"/>
                  <w:vAlign w:val="center"/>
                </w:tcPr>
                <w:p w14:paraId="597C216C">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主要成分</w:t>
                  </w:r>
                </w:p>
              </w:tc>
              <w:tc>
                <w:tcPr>
                  <w:tcW w:w="2849" w:type="dxa"/>
                  <w:vAlign w:val="center"/>
                </w:tcPr>
                <w:p w14:paraId="4A1591D2">
                  <w:pPr>
                    <w:jc w:val="center"/>
                    <w:rPr>
                      <w:rFonts w:hint="default" w:ascii="Times New Roman" w:hAnsi="Times New Roman" w:eastAsia="宋体" w:cs="Times New Roman"/>
                      <w:b/>
                      <w:color w:val="FF0000"/>
                      <w:szCs w:val="21"/>
                      <w:lang w:val="en-US" w:eastAsia="zh-CN"/>
                    </w:rPr>
                  </w:pPr>
                  <w:r>
                    <w:rPr>
                      <w:rFonts w:hint="eastAsia" w:ascii="Times New Roman" w:hAnsi="Times New Roman" w:eastAsia="宋体" w:cs="Times New Roman"/>
                      <w:b/>
                      <w:color w:val="auto"/>
                      <w:szCs w:val="21"/>
                      <w:lang w:val="en-US" w:eastAsia="zh-CN"/>
                    </w:rPr>
                    <w:t>CAS.No.</w:t>
                  </w:r>
                </w:p>
              </w:tc>
              <w:tc>
                <w:tcPr>
                  <w:tcW w:w="2849" w:type="dxa"/>
                  <w:vAlign w:val="center"/>
                </w:tcPr>
                <w:p w14:paraId="469FFDC6">
                  <w:pPr>
                    <w:jc w:val="center"/>
                    <w:rPr>
                      <w:rFonts w:hint="default" w:ascii="Times New Roman" w:hAnsi="Times New Roman" w:eastAsia="宋体" w:cs="Times New Roman"/>
                      <w:b/>
                      <w:color w:val="FF0000"/>
                      <w:szCs w:val="21"/>
                      <w:lang w:val="en-US" w:eastAsia="zh-CN"/>
                    </w:rPr>
                  </w:pPr>
                  <w:r>
                    <w:rPr>
                      <w:rFonts w:hint="eastAsia" w:ascii="Times New Roman" w:hAnsi="Times New Roman" w:eastAsia="宋体" w:cs="Times New Roman"/>
                      <w:b/>
                      <w:color w:val="auto"/>
                      <w:szCs w:val="21"/>
                      <w:lang w:val="en-US" w:eastAsia="zh-CN"/>
                    </w:rPr>
                    <w:t>浓度范围（%）</w:t>
                  </w:r>
                </w:p>
              </w:tc>
            </w:tr>
            <w:tr w14:paraId="5A8C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14:paraId="02D2AC22">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2068" w:type="dxa"/>
                  <w:vAlign w:val="center"/>
                </w:tcPr>
                <w:p w14:paraId="2E569919">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乙醇胺</w:t>
                  </w:r>
                </w:p>
              </w:tc>
              <w:tc>
                <w:tcPr>
                  <w:tcW w:w="2849" w:type="dxa"/>
                  <w:vAlign w:val="center"/>
                </w:tcPr>
                <w:p w14:paraId="54C915BC">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141-43-5</w:t>
                  </w:r>
                </w:p>
              </w:tc>
              <w:tc>
                <w:tcPr>
                  <w:tcW w:w="2849" w:type="dxa"/>
                  <w:vAlign w:val="center"/>
                </w:tcPr>
                <w:p w14:paraId="6FA128CD">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3.5-8.5</w:t>
                  </w:r>
                </w:p>
              </w:tc>
            </w:tr>
            <w:tr w14:paraId="4056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14:paraId="1E15F91E">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2</w:t>
                  </w:r>
                </w:p>
              </w:tc>
              <w:tc>
                <w:tcPr>
                  <w:tcW w:w="2068" w:type="dxa"/>
                  <w:vAlign w:val="center"/>
                </w:tcPr>
                <w:p w14:paraId="6235EE86">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聚乙二醇二甲醚</w:t>
                  </w:r>
                </w:p>
              </w:tc>
              <w:tc>
                <w:tcPr>
                  <w:tcW w:w="2849" w:type="dxa"/>
                  <w:vAlign w:val="center"/>
                </w:tcPr>
                <w:p w14:paraId="7C006F4A">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24991-55-7</w:t>
                  </w:r>
                </w:p>
              </w:tc>
              <w:tc>
                <w:tcPr>
                  <w:tcW w:w="2849" w:type="dxa"/>
                  <w:vAlign w:val="center"/>
                </w:tcPr>
                <w:p w14:paraId="04291DE8">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3-10</w:t>
                  </w:r>
                </w:p>
              </w:tc>
            </w:tr>
            <w:tr w14:paraId="5CF0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14:paraId="6576F290">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3</w:t>
                  </w:r>
                </w:p>
              </w:tc>
              <w:tc>
                <w:tcPr>
                  <w:tcW w:w="2068" w:type="dxa"/>
                  <w:vAlign w:val="center"/>
                </w:tcPr>
                <w:p w14:paraId="123A9B1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去离子水</w:t>
                  </w:r>
                </w:p>
              </w:tc>
              <w:tc>
                <w:tcPr>
                  <w:tcW w:w="2849" w:type="dxa"/>
                  <w:vAlign w:val="center"/>
                </w:tcPr>
                <w:p w14:paraId="43AE4E8B">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7732-18-5</w:t>
                  </w:r>
                </w:p>
              </w:tc>
              <w:tc>
                <w:tcPr>
                  <w:tcW w:w="2849" w:type="dxa"/>
                  <w:vAlign w:val="center"/>
                </w:tcPr>
                <w:p w14:paraId="6B3C6B3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余量</w:t>
                  </w:r>
                </w:p>
              </w:tc>
            </w:tr>
            <w:tr w14:paraId="78BC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14:paraId="6F0C830C">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p>
              </w:tc>
              <w:tc>
                <w:tcPr>
                  <w:tcW w:w="2068" w:type="dxa"/>
                  <w:vAlign w:val="center"/>
                </w:tcPr>
                <w:p w14:paraId="6C48AFE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保密成分</w:t>
                  </w:r>
                </w:p>
              </w:tc>
              <w:tc>
                <w:tcPr>
                  <w:tcW w:w="2849" w:type="dxa"/>
                  <w:vAlign w:val="center"/>
                </w:tcPr>
                <w:p w14:paraId="2D9E80B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2849" w:type="dxa"/>
                  <w:vAlign w:val="center"/>
                </w:tcPr>
                <w:p w14:paraId="70D66B9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r>
          </w:tbl>
          <w:p w14:paraId="448D2E44">
            <w:pPr>
              <w:pStyle w:val="7"/>
              <w:keepNext w:val="0"/>
              <w:keepLines w:val="0"/>
              <w:pageBreakBefore w:val="0"/>
              <w:widowControl w:val="0"/>
              <w:kinsoku/>
              <w:wordWrap/>
              <w:overflowPunct/>
              <w:topLinePunct w:val="0"/>
              <w:autoSpaceDE/>
              <w:autoSpaceDN/>
              <w:bidi w:val="0"/>
              <w:adjustRightInd/>
              <w:snapToGrid/>
              <w:spacing w:before="157" w:beforeLines="50" w:line="360" w:lineRule="auto"/>
              <w:ind w:firstLine="420"/>
              <w:textAlignment w:val="auto"/>
              <w:rPr>
                <w:rFonts w:hint="eastAsia" w:ascii="Times New Roman" w:hAnsi="Times New Roman" w:cs="Times New Roman"/>
                <w:b w:val="0"/>
                <w:bCs/>
                <w:color w:val="auto"/>
                <w:kern w:val="0"/>
                <w:sz w:val="24"/>
                <w:szCs w:val="24"/>
                <w:u w:val="none"/>
                <w:lang w:val="en-US" w:eastAsia="zh-CN"/>
              </w:rPr>
            </w:pPr>
            <w:r>
              <w:rPr>
                <w:rFonts w:hint="eastAsia" w:ascii="Times New Roman" w:hAnsi="Times New Roman" w:cs="Times New Roman"/>
                <w:b w:val="0"/>
                <w:bCs/>
                <w:color w:val="auto"/>
                <w:kern w:val="0"/>
                <w:sz w:val="24"/>
                <w:szCs w:val="24"/>
                <w:u w:val="none"/>
                <w:lang w:val="en-US" w:eastAsia="zh-CN"/>
              </w:rPr>
              <w:t>根据上表中超声波清洗剂的成分信息，依据最不利条件考虑，清洗剂中的挥发成分乙醇胺、聚乙二醇二甲醚以及保密成分全部挥发的情况计算，其挥发量为23.5%，密度以1g/cm</w:t>
            </w:r>
            <w:r>
              <w:rPr>
                <w:rFonts w:hint="eastAsia" w:ascii="Times New Roman" w:hAnsi="Times New Roman" w:cs="Times New Roman"/>
                <w:b w:val="0"/>
                <w:bCs/>
                <w:color w:val="auto"/>
                <w:kern w:val="0"/>
                <w:sz w:val="24"/>
                <w:szCs w:val="24"/>
                <w:u w:val="none"/>
                <w:vertAlign w:val="superscript"/>
                <w:lang w:val="en-US" w:eastAsia="zh-CN"/>
              </w:rPr>
              <w:t>3</w:t>
            </w:r>
            <w:r>
              <w:rPr>
                <w:rFonts w:hint="eastAsia" w:ascii="Times New Roman" w:hAnsi="Times New Roman" w:cs="Times New Roman"/>
                <w:b w:val="0"/>
                <w:bCs/>
                <w:color w:val="auto"/>
                <w:kern w:val="0"/>
                <w:sz w:val="24"/>
                <w:szCs w:val="24"/>
                <w:u w:val="none"/>
                <w:lang w:val="en-US" w:eastAsia="zh-CN"/>
              </w:rPr>
              <w:t>计。</w:t>
            </w:r>
          </w:p>
          <w:p w14:paraId="270B7149">
            <w:pPr>
              <w:spacing w:line="360" w:lineRule="auto"/>
              <w:ind w:firstLine="480" w:firstLineChars="200"/>
              <w:rPr>
                <w:rFonts w:hint="default"/>
                <w:lang w:val="en-US" w:eastAsia="zh-CN"/>
              </w:rPr>
            </w:pPr>
            <w:r>
              <w:rPr>
                <w:rFonts w:hint="eastAsia" w:ascii="Times New Roman" w:hAnsi="Times New Roman" w:cs="Times New Roman"/>
                <w:b w:val="0"/>
                <w:bCs/>
                <w:color w:val="auto"/>
                <w:kern w:val="0"/>
                <w:sz w:val="24"/>
                <w:szCs w:val="24"/>
                <w:u w:val="none"/>
                <w:lang w:val="en-US" w:eastAsia="zh-CN"/>
              </w:rPr>
              <w:t>根据《清洗剂挥发性有机化合物含量限值》（GB38508-2020）表1中的清洗剂VOC含量及特定挥发有机物限值要求，半水基清洗溶剂的VOC含量应≤300g/L，密度为 1.004g/cm</w:t>
            </w:r>
            <w:r>
              <w:rPr>
                <w:rFonts w:hint="eastAsia" w:ascii="Times New Roman" w:hAnsi="Times New Roman" w:cs="Times New Roman"/>
                <w:b w:val="0"/>
                <w:bCs/>
                <w:color w:val="auto"/>
                <w:kern w:val="0"/>
                <w:sz w:val="24"/>
                <w:szCs w:val="24"/>
                <w:u w:val="none"/>
                <w:vertAlign w:val="superscript"/>
                <w:lang w:val="en-US" w:eastAsia="zh-CN"/>
              </w:rPr>
              <w:t>3</w:t>
            </w:r>
            <w:r>
              <w:rPr>
                <w:rFonts w:hint="eastAsia" w:ascii="Times New Roman" w:hAnsi="Times New Roman" w:cs="Times New Roman"/>
                <w:b w:val="0"/>
                <w:bCs/>
                <w:color w:val="auto"/>
                <w:kern w:val="0"/>
                <w:sz w:val="24"/>
                <w:szCs w:val="24"/>
                <w:u w:val="none"/>
                <w:lang w:val="en-US" w:eastAsia="zh-CN"/>
              </w:rPr>
              <w:t>，故本项目使用清洗剂的VOC含量为236g/L，符合《清洗剂挥发性有机化合物含量限值》（GB38508-2020）表1中的清洗剂VOC含量及特定挥发有机物限值要求；符合《关于支持低挥发性有机物含量原辅材料源头替代的意见》的要求。</w:t>
            </w:r>
          </w:p>
          <w:p w14:paraId="0242F595">
            <w:pPr>
              <w:spacing w:line="360" w:lineRule="auto"/>
              <w:ind w:firstLine="480" w:firstLineChars="200"/>
              <w:rPr>
                <w:rFonts w:hint="default" w:ascii="Times New Roman" w:hAnsi="Times New Roman" w:cs="Times New Roman"/>
                <w:b w:val="0"/>
                <w:bCs/>
                <w:color w:val="FF0000"/>
                <w:kern w:val="0"/>
                <w:sz w:val="24"/>
                <w:szCs w:val="24"/>
                <w:u w:val="none"/>
                <w:lang w:val="en-US" w:eastAsia="zh-CN"/>
              </w:rPr>
            </w:pPr>
            <w:r>
              <w:rPr>
                <w:rFonts w:hint="eastAsia" w:ascii="Times New Roman" w:hAnsi="Times New Roman" w:cs="Times New Roman"/>
                <w:b w:val="0"/>
                <w:bCs/>
                <w:color w:val="auto"/>
                <w:kern w:val="0"/>
                <w:sz w:val="24"/>
                <w:szCs w:val="24"/>
                <w:u w:val="single"/>
                <w:lang w:val="en-US" w:eastAsia="zh-CN"/>
              </w:rPr>
              <w:t>BMC材料</w:t>
            </w:r>
            <w:r>
              <w:rPr>
                <w:rFonts w:hint="eastAsia" w:ascii="Times New Roman" w:hAnsi="Times New Roman" w:cs="Times New Roman"/>
                <w:b w:val="0"/>
                <w:bCs/>
                <w:color w:val="auto"/>
                <w:kern w:val="0"/>
                <w:sz w:val="24"/>
                <w:szCs w:val="24"/>
                <w:u w:val="none"/>
                <w:lang w:val="en-US" w:eastAsia="zh-CN"/>
              </w:rPr>
              <w:t>：由</w:t>
            </w:r>
            <w:r>
              <w:rPr>
                <w:rFonts w:hint="eastAsia" w:ascii="Times New Roman" w:hAnsi="Times New Roman" w:cs="Times New Roman"/>
                <w:b w:val="0"/>
                <w:bCs/>
                <w:color w:val="auto"/>
                <w:kern w:val="0"/>
                <w:sz w:val="24"/>
                <w:szCs w:val="24"/>
                <w:u w:val="none"/>
                <w:lang w:val="en-US" w:eastAsia="zh-CN"/>
              </w:rPr>
              <w:fldChar w:fldCharType="begin"/>
            </w:r>
            <w:r>
              <w:rPr>
                <w:rFonts w:hint="eastAsia" w:ascii="Times New Roman" w:hAnsi="Times New Roman" w:cs="Times New Roman"/>
                <w:b w:val="0"/>
                <w:bCs/>
                <w:color w:val="auto"/>
                <w:kern w:val="0"/>
                <w:sz w:val="24"/>
                <w:szCs w:val="24"/>
                <w:u w:val="none"/>
                <w:lang w:val="en-US" w:eastAsia="zh-CN"/>
              </w:rPr>
              <w:instrText xml:space="preserve"> HYPERLINK "https://www.baidu.com/s?rsv_idx=1&amp;tn=62095104_7_oem_dg&amp;wd=%E4%B8%8D%E9%A5%B1%E5%92%8C%E8%81%9A%E9%85%AF%E6%A0%91%E8%84%82&amp;fenlei=256&amp;usm=6&amp;ie=utf-8&amp;rsv_pq=f4835cd0000757ef&amp;oq=BMC%E6%9D%90%E6%96%99&amp;rsv_t=5de9o+aGfHRp8d0iye8xh2x+5H0WCPm/R82lB6Z9lJsWVb9BwqvhxnytQhQ2Cz7BnPec29V41OM&amp;sa=re_dqa_zy&amp;icon=1" \t "https://www.baidu.com/_self" </w:instrText>
            </w:r>
            <w:r>
              <w:rPr>
                <w:rFonts w:hint="eastAsia" w:ascii="Times New Roman" w:hAnsi="Times New Roman" w:cs="Times New Roman"/>
                <w:b w:val="0"/>
                <w:bCs/>
                <w:color w:val="auto"/>
                <w:kern w:val="0"/>
                <w:sz w:val="24"/>
                <w:szCs w:val="24"/>
                <w:u w:val="none"/>
                <w:lang w:val="en-US" w:eastAsia="zh-CN"/>
              </w:rPr>
              <w:fldChar w:fldCharType="separate"/>
            </w:r>
            <w:r>
              <w:rPr>
                <w:rFonts w:hint="eastAsia" w:ascii="Times New Roman" w:hAnsi="Times New Roman" w:cs="Times New Roman"/>
                <w:b w:val="0"/>
                <w:bCs/>
                <w:color w:val="auto"/>
                <w:kern w:val="0"/>
                <w:sz w:val="24"/>
                <w:szCs w:val="24"/>
                <w:u w:val="none"/>
                <w:lang w:val="en-US" w:eastAsia="zh-CN"/>
              </w:rPr>
              <w:t>不饱和聚酯树脂</w:t>
            </w:r>
            <w:r>
              <w:rPr>
                <w:rFonts w:hint="eastAsia" w:ascii="Times New Roman" w:hAnsi="Times New Roman" w:cs="Times New Roman"/>
                <w:b w:val="0"/>
                <w:bCs/>
                <w:color w:val="auto"/>
                <w:kern w:val="0"/>
                <w:sz w:val="24"/>
                <w:szCs w:val="24"/>
                <w:u w:val="none"/>
                <w:lang w:val="en-US" w:eastAsia="zh-CN"/>
              </w:rPr>
              <w:fldChar w:fldCharType="end"/>
            </w:r>
            <w:r>
              <w:rPr>
                <w:rFonts w:hint="eastAsia" w:ascii="Times New Roman" w:hAnsi="Times New Roman" w:cs="Times New Roman"/>
                <w:b w:val="0"/>
                <w:bCs/>
                <w:color w:val="auto"/>
                <w:kern w:val="0"/>
                <w:sz w:val="24"/>
                <w:szCs w:val="24"/>
                <w:u w:val="none"/>
                <w:lang w:val="en-US" w:eastAsia="zh-CN"/>
              </w:rPr>
              <w:t>、低收缩/低轮廓添加剂、引发剂、内脱模剂、矿物填料等预先混合成糊状，再加入增稠剂、着色剂等组成。</w:t>
            </w:r>
          </w:p>
          <w:p w14:paraId="3E5B35E4">
            <w:pPr>
              <w:pStyle w:val="7"/>
              <w:spacing w:line="360" w:lineRule="auto"/>
              <w:rPr>
                <w:rFonts w:hint="default" w:ascii="Times New Roman" w:hAnsi="Times New Roman" w:cs="Times New Roman"/>
                <w:b w:val="0"/>
                <w:bCs/>
                <w:color w:val="FF0000"/>
                <w:kern w:val="0"/>
                <w:sz w:val="24"/>
                <w:szCs w:val="24"/>
                <w:u w:val="none"/>
                <w:lang w:val="en-US" w:eastAsia="zh-CN"/>
              </w:rPr>
            </w:pPr>
            <w:r>
              <w:rPr>
                <w:rFonts w:hint="eastAsia" w:ascii="Times New Roman" w:hAnsi="Times New Roman" w:cs="Times New Roman"/>
                <w:b w:val="0"/>
                <w:bCs/>
                <w:color w:val="auto"/>
                <w:kern w:val="0"/>
                <w:sz w:val="24"/>
                <w:szCs w:val="24"/>
                <w:u w:val="single"/>
                <w:lang w:val="en-US" w:eastAsia="zh-CN"/>
              </w:rPr>
              <w:t>助焊剂</w:t>
            </w:r>
            <w:r>
              <w:rPr>
                <w:rFonts w:hint="eastAsia" w:ascii="Times New Roman" w:hAnsi="Times New Roman" w:cs="Times New Roman"/>
                <w:b w:val="0"/>
                <w:bCs/>
                <w:color w:val="auto"/>
                <w:kern w:val="0"/>
                <w:sz w:val="24"/>
                <w:szCs w:val="24"/>
                <w:u w:val="none"/>
                <w:lang w:val="en-US" w:eastAsia="zh-CN"/>
              </w:rPr>
              <w:t>：主要由聚乙烯聚丙烯醚45%、聚氧乙烯醚15%，以及水40%组成。</w:t>
            </w:r>
          </w:p>
          <w:p w14:paraId="00F960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color w:val="FF0000"/>
                <w:lang w:val="en-US" w:eastAsia="zh-CN"/>
              </w:rPr>
            </w:pPr>
            <w:r>
              <w:rPr>
                <w:rFonts w:hint="eastAsia" w:ascii="Times New Roman" w:hAnsi="Times New Roman" w:eastAsia="宋体" w:cs="Times New Roman"/>
                <w:b/>
                <w:bCs/>
                <w:color w:val="auto"/>
                <w:sz w:val="24"/>
                <w:szCs w:val="24"/>
                <w:lang w:val="en-US" w:eastAsia="zh-CN"/>
              </w:rPr>
              <w:t>2.1.4</w:t>
            </w:r>
            <w:r>
              <w:rPr>
                <w:rFonts w:hint="default" w:ascii="Times New Roman" w:hAnsi="Times New Roman" w:eastAsia="宋体" w:cs="Times New Roman"/>
                <w:b/>
                <w:bCs/>
                <w:color w:val="auto"/>
                <w:sz w:val="24"/>
                <w:szCs w:val="24"/>
              </w:rPr>
              <w:t>劳动定员及工作制度</w:t>
            </w:r>
          </w:p>
          <w:p w14:paraId="6E421AB0">
            <w:pPr>
              <w:keepNext w:val="0"/>
              <w:keepLines w:val="0"/>
              <w:pageBreakBefore w:val="0"/>
              <w:widowControl w:val="0"/>
              <w:kinsoku/>
              <w:wordWrap/>
              <w:overflowPunct/>
              <w:topLinePunct w:val="0"/>
              <w:bidi w:val="0"/>
              <w:snapToGrid/>
              <w:spacing w:line="500" w:lineRule="exact"/>
              <w:ind w:right="113" w:firstLine="480" w:firstLineChars="200"/>
              <w:textAlignment w:val="center"/>
              <w:rPr>
                <w:rFonts w:hint="default" w:ascii="Times New Roman" w:hAnsi="Times New Roman" w:eastAsia="宋体" w:cs="Times New Roman"/>
                <w:b w:val="0"/>
                <w:bCs/>
                <w:color w:val="auto"/>
                <w:sz w:val="24"/>
                <w:szCs w:val="24"/>
                <w:highlight w:val="none"/>
                <w:lang w:val="en-US" w:eastAsia="zh-CN"/>
              </w:rPr>
            </w:pPr>
            <w:r>
              <w:rPr>
                <w:rFonts w:ascii="Times New Roman" w:hAnsi="Times New Roman"/>
                <w:color w:val="auto"/>
                <w:sz w:val="24"/>
                <w:szCs w:val="24"/>
              </w:rPr>
              <w:t>本项目</w:t>
            </w:r>
            <w:r>
              <w:rPr>
                <w:rFonts w:hint="eastAsia" w:ascii="Times New Roman" w:hAnsi="Times New Roman"/>
                <w:color w:val="auto"/>
                <w:sz w:val="24"/>
                <w:szCs w:val="24"/>
                <w:lang w:val="en-US" w:eastAsia="zh-CN"/>
              </w:rPr>
              <w:t>新增员工32人</w:t>
            </w:r>
            <w:r>
              <w:rPr>
                <w:rFonts w:ascii="Times New Roman" w:hAnsi="Times New Roman"/>
                <w:color w:val="auto"/>
                <w:sz w:val="24"/>
                <w:szCs w:val="24"/>
              </w:rPr>
              <w:t>，年生产天数为3</w:t>
            </w:r>
            <w:r>
              <w:rPr>
                <w:rFonts w:hint="eastAsia" w:ascii="Times New Roman" w:hAnsi="Times New Roman"/>
                <w:color w:val="auto"/>
                <w:sz w:val="24"/>
                <w:szCs w:val="24"/>
                <w:lang w:val="en-US" w:eastAsia="zh-CN"/>
              </w:rPr>
              <w:t>0</w:t>
            </w:r>
            <w:r>
              <w:rPr>
                <w:rFonts w:ascii="Times New Roman" w:hAnsi="Times New Roman"/>
                <w:color w:val="auto"/>
                <w:sz w:val="24"/>
                <w:szCs w:val="24"/>
              </w:rPr>
              <w:t>0天，</w:t>
            </w:r>
            <w:r>
              <w:rPr>
                <w:rFonts w:hint="eastAsia" w:ascii="Times New Roman" w:hAnsi="Times New Roman"/>
                <w:color w:val="auto"/>
                <w:sz w:val="24"/>
                <w:szCs w:val="24"/>
                <w:lang w:val="en-US" w:eastAsia="zh-CN"/>
              </w:rPr>
              <w:t>实行白天一班制</w:t>
            </w:r>
            <w:r>
              <w:rPr>
                <w:rFonts w:ascii="Times New Roman" w:hAnsi="Times New Roman"/>
                <w:color w:val="auto"/>
                <w:sz w:val="24"/>
                <w:szCs w:val="24"/>
              </w:rPr>
              <w:t>。</w:t>
            </w:r>
            <w:r>
              <w:rPr>
                <w:rFonts w:hint="eastAsia" w:ascii="Times New Roman" w:hAnsi="Times New Roman"/>
                <w:color w:val="auto"/>
                <w:sz w:val="24"/>
                <w:szCs w:val="24"/>
                <w:lang w:val="en-US" w:eastAsia="zh-CN"/>
              </w:rPr>
              <w:t>厂区内设有食堂、宿舍。</w:t>
            </w:r>
          </w:p>
          <w:p w14:paraId="2ED330CB">
            <w:pPr>
              <w:keepNext w:val="0"/>
              <w:keepLines w:val="0"/>
              <w:pageBreakBefore w:val="0"/>
              <w:widowControl w:val="0"/>
              <w:kinsoku/>
              <w:wordWrap/>
              <w:overflowPunct/>
              <w:topLinePunct w:val="0"/>
              <w:bidi w:val="0"/>
              <w:snapToGrid/>
              <w:spacing w:line="500" w:lineRule="exact"/>
              <w:ind w:right="113"/>
              <w:textAlignment w:val="center"/>
              <w:rPr>
                <w:rFonts w:hint="default" w:ascii="Times New Roman" w:hAnsi="Times New Roman" w:cs="Times New Roman"/>
                <w:b/>
                <w:color w:val="FF0000"/>
                <w:sz w:val="24"/>
              </w:rPr>
            </w:pPr>
            <w:r>
              <w:rPr>
                <w:rFonts w:hint="eastAsia" w:ascii="Times New Roman" w:hAnsi="Times New Roman" w:cs="Times New Roman"/>
                <w:b/>
                <w:color w:val="auto"/>
                <w:sz w:val="24"/>
                <w:szCs w:val="24"/>
                <w:lang w:val="en-US" w:eastAsia="zh-CN"/>
              </w:rPr>
              <w:t>2.1.5</w:t>
            </w:r>
            <w:r>
              <w:rPr>
                <w:rFonts w:hint="default" w:ascii="Times New Roman" w:hAnsi="Times New Roman" w:cs="Times New Roman"/>
                <w:b/>
                <w:color w:val="auto"/>
                <w:sz w:val="24"/>
                <w:szCs w:val="24"/>
              </w:rPr>
              <w:t>平面布置及其合理性分析</w:t>
            </w:r>
          </w:p>
          <w:p w14:paraId="1F8FCE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FF0000"/>
                <w:sz w:val="24"/>
                <w:highlight w:val="none"/>
                <w:lang w:val="en-US" w:eastAsia="zh-CN"/>
              </w:rPr>
            </w:pPr>
            <w:r>
              <w:rPr>
                <w:rFonts w:ascii="Times New Roman" w:hAnsi="Times New Roman"/>
                <w:color w:val="auto"/>
                <w:sz w:val="24"/>
                <w:szCs w:val="24"/>
              </w:rPr>
              <w:t>本</w:t>
            </w:r>
            <w:r>
              <w:rPr>
                <w:rFonts w:hint="eastAsia" w:ascii="Times New Roman" w:hAnsi="Times New Roman"/>
                <w:color w:val="auto"/>
                <w:sz w:val="24"/>
                <w:szCs w:val="24"/>
                <w:lang w:val="en-US" w:eastAsia="zh-CN"/>
              </w:rPr>
              <w:t>项目新购工业用地并新建工业厂房组织生产。生产设备布置在2#车间，一楼作为塑封、焊接、绕线、插针等生产区域，3楼为刷锡、贴装、测试等生产区域。</w:t>
            </w:r>
            <w:r>
              <w:rPr>
                <w:rFonts w:hint="eastAsia" w:ascii="Times New Roman" w:hAnsi="Times New Roman" w:cs="Times New Roman"/>
                <w:bCs/>
                <w:color w:val="auto"/>
                <w:sz w:val="24"/>
                <w:szCs w:val="24"/>
                <w:highlight w:val="none"/>
                <w:lang w:eastAsia="zh-CN"/>
              </w:rPr>
              <w:t>各区域功能明确，物料顺畅，便于操作和管理，提供工作效率。</w:t>
            </w:r>
          </w:p>
          <w:p w14:paraId="4B5075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eastAsiaTheme="minorEastAsia"/>
                <w:color w:val="FF0000"/>
                <w:kern w:val="0"/>
                <w:szCs w:val="21"/>
                <w:lang w:eastAsia="zh-CN"/>
              </w:rPr>
            </w:pPr>
            <w:r>
              <w:rPr>
                <w:rFonts w:hint="eastAsia" w:ascii="Times New Roman" w:hAnsi="Times New Roman" w:cs="Times New Roman"/>
                <w:bCs/>
                <w:color w:val="auto"/>
                <w:sz w:val="24"/>
                <w:szCs w:val="24"/>
                <w:highlight w:val="none"/>
                <w:lang w:eastAsia="zh-CN"/>
              </w:rPr>
              <w:t>综上所述，本项目平面布置较为合理。</w:t>
            </w:r>
          </w:p>
        </w:tc>
      </w:tr>
      <w:tr w14:paraId="0461A29B">
        <w:tblPrEx>
          <w:tblCellMar>
            <w:top w:w="0" w:type="dxa"/>
            <w:left w:w="0" w:type="dxa"/>
            <w:bottom w:w="0" w:type="dxa"/>
            <w:right w:w="0" w:type="dxa"/>
          </w:tblCellMar>
        </w:tblPrEx>
        <w:trPr>
          <w:trHeight w:val="679"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D28F2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eastAsia" w:ascii="Times New Roman" w:hAnsi="Times New Roman" w:eastAsia="宋体" w:cs="Times New Roman"/>
                <w:b/>
                <w:color w:val="auto"/>
                <w:sz w:val="24"/>
                <w:szCs w:val="22"/>
                <w:lang w:val="en-US" w:eastAsia="zh-CN"/>
              </w:rPr>
            </w:pPr>
            <w:r>
              <w:rPr>
                <w:rFonts w:hint="eastAsia" w:ascii="Times New Roman" w:hAnsi="Times New Roman" w:eastAsia="宋体" w:cs="Times New Roman"/>
                <w:b/>
                <w:color w:val="auto"/>
                <w:sz w:val="24"/>
                <w:szCs w:val="22"/>
                <w:lang w:val="en-US" w:eastAsia="zh-CN"/>
              </w:rPr>
              <w:t>2.2工艺流程和产排污环节</w:t>
            </w:r>
          </w:p>
          <w:p w14:paraId="76B23B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color w:val="auto"/>
                <w:sz w:val="24"/>
                <w:szCs w:val="22"/>
                <w:lang w:val="en-US" w:eastAsia="zh-CN"/>
              </w:rPr>
              <w:t>2.2.1</w:t>
            </w:r>
            <w:r>
              <w:rPr>
                <w:rFonts w:hint="default" w:ascii="Times New Roman" w:hAnsi="Times New Roman" w:eastAsia="宋体" w:cs="Times New Roman"/>
                <w:b/>
                <w:color w:val="auto"/>
                <w:sz w:val="24"/>
                <w:szCs w:val="22"/>
                <w:highlight w:val="none"/>
              </w:rPr>
              <w:t>工艺流程简述（</w:t>
            </w:r>
            <w:r>
              <w:rPr>
                <w:rFonts w:hint="default" w:ascii="Times New Roman" w:hAnsi="Times New Roman" w:eastAsia="宋体" w:cs="Times New Roman"/>
                <w:b/>
                <w:color w:val="auto"/>
                <w:sz w:val="24"/>
                <w:szCs w:val="22"/>
              </w:rPr>
              <w:t>图示及文字说明）</w:t>
            </w:r>
          </w:p>
          <w:p w14:paraId="176B5D31">
            <w:pPr>
              <w:spacing w:line="360" w:lineRule="auto"/>
              <w:ind w:firstLine="480" w:firstLineChars="200"/>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电磁阀</w:t>
            </w:r>
            <w:r>
              <w:rPr>
                <w:rFonts w:hint="default" w:ascii="Times New Roman" w:hAnsi="Times New Roman" w:cs="Times New Roman"/>
                <w:color w:val="000000"/>
                <w:sz w:val="24"/>
                <w:szCs w:val="24"/>
                <w:lang w:eastAsia="zh-CN"/>
              </w:rPr>
              <w:t>生产工艺</w:t>
            </w:r>
          </w:p>
          <w:p w14:paraId="1B52BB87">
            <w:pPr>
              <w:pStyle w:val="7"/>
              <w:spacing w:line="360" w:lineRule="auto"/>
              <w:rPr>
                <w:rFonts w:hint="default" w:ascii="Times New Roman" w:hAnsi="Times New Roman" w:cs="Times New Roman"/>
                <w:b w:val="0"/>
                <w:bCs/>
                <w:color w:val="auto"/>
                <w:sz w:val="24"/>
                <w:szCs w:val="22"/>
                <w:lang w:val="en-US" w:eastAsia="zh-CN"/>
              </w:rPr>
            </w:pPr>
            <w:r>
              <w:rPr>
                <w:rFonts w:hint="eastAsia" w:ascii="Times New Roman" w:hAnsi="Times New Roman" w:cs="Times New Roman"/>
                <w:b w:val="0"/>
                <w:bCs/>
                <w:color w:val="auto"/>
                <w:sz w:val="24"/>
                <w:szCs w:val="22"/>
                <w:lang w:val="en-US" w:eastAsia="zh-CN"/>
              </w:rPr>
              <w:t>本项目电磁阀从结构上分为有塑封盖电磁阀和无塑封盖电子阀，生产工艺如下。</w:t>
            </w:r>
          </w:p>
          <w:p w14:paraId="6BF7DD04">
            <w:pPr>
              <w:spacing w:line="360" w:lineRule="auto"/>
              <w:ind w:firstLine="480"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①</w:t>
            </w:r>
            <w:r>
              <w:rPr>
                <w:rFonts w:hint="eastAsia" w:ascii="Times New Roman" w:hAnsi="Times New Roman" w:cs="Times New Roman"/>
                <w:color w:val="000000"/>
                <w:sz w:val="24"/>
                <w:szCs w:val="24"/>
                <w:lang w:val="en-US" w:eastAsia="zh-CN"/>
              </w:rPr>
              <w:t>无塑封盖电磁阀</w:t>
            </w:r>
            <w:r>
              <w:rPr>
                <w:rFonts w:hint="default" w:ascii="Times New Roman" w:hAnsi="Times New Roman" w:cs="Times New Roman"/>
                <w:color w:val="000000"/>
                <w:sz w:val="24"/>
                <w:szCs w:val="24"/>
                <w:lang w:eastAsia="zh-CN"/>
              </w:rPr>
              <w:t>生产工艺</w:t>
            </w:r>
          </w:p>
          <w:p w14:paraId="6C5817C4">
            <w:pPr>
              <w:pStyle w:val="7"/>
              <w:rPr>
                <w:rFonts w:hint="default" w:ascii="Times New Roman" w:hAnsi="Times New Roman" w:cs="Times New Roman"/>
                <w:color w:val="000000"/>
                <w:sz w:val="24"/>
                <w:szCs w:val="24"/>
                <w:lang w:eastAsia="zh-CN"/>
              </w:rPr>
            </w:pPr>
          </w:p>
          <w:p w14:paraId="334E9941">
            <w:pPr>
              <w:rPr>
                <w:rFonts w:hint="default" w:ascii="Times New Roman" w:hAnsi="Times New Roman" w:cs="Times New Roman"/>
                <w:color w:val="000000"/>
                <w:sz w:val="24"/>
                <w:szCs w:val="24"/>
                <w:lang w:eastAsia="zh-CN"/>
              </w:rPr>
            </w:pPr>
          </w:p>
          <w:p w14:paraId="73BD5A8C">
            <w:pPr>
              <w:pStyle w:val="7"/>
              <w:rPr>
                <w:rFonts w:hint="default" w:ascii="Times New Roman" w:hAnsi="Times New Roman" w:cs="Times New Roman"/>
                <w:color w:val="000000"/>
                <w:sz w:val="24"/>
                <w:szCs w:val="24"/>
                <w:lang w:eastAsia="zh-CN"/>
              </w:rPr>
            </w:pPr>
          </w:p>
          <w:p w14:paraId="129CE5CB">
            <w:pPr>
              <w:rPr>
                <w:rFonts w:hint="default" w:ascii="Times New Roman" w:hAnsi="Times New Roman" w:cs="Times New Roman"/>
                <w:color w:val="000000"/>
                <w:sz w:val="24"/>
                <w:szCs w:val="24"/>
                <w:lang w:eastAsia="zh-CN"/>
              </w:rPr>
            </w:pPr>
          </w:p>
          <w:p w14:paraId="0283AE15">
            <w:pPr>
              <w:pStyle w:val="7"/>
              <w:rPr>
                <w:rFonts w:hint="default" w:ascii="Times New Roman" w:hAnsi="Times New Roman" w:cs="Times New Roman"/>
                <w:color w:val="000000"/>
                <w:sz w:val="24"/>
                <w:szCs w:val="24"/>
                <w:lang w:eastAsia="zh-CN"/>
              </w:rPr>
            </w:pPr>
          </w:p>
          <w:p w14:paraId="320638E1">
            <w:pPr>
              <w:rPr>
                <w:rFonts w:hint="default" w:ascii="Times New Roman" w:hAnsi="Times New Roman" w:cs="Times New Roman"/>
                <w:color w:val="000000"/>
                <w:sz w:val="24"/>
                <w:szCs w:val="24"/>
                <w:lang w:eastAsia="zh-CN"/>
              </w:rPr>
            </w:pPr>
          </w:p>
          <w:p w14:paraId="1844C1BD">
            <w:pPr>
              <w:pStyle w:val="7"/>
              <w:rPr>
                <w:rFonts w:hint="default" w:ascii="Times New Roman" w:hAnsi="Times New Roman" w:cs="Times New Roman"/>
                <w:color w:val="000000"/>
                <w:sz w:val="24"/>
                <w:szCs w:val="24"/>
                <w:lang w:eastAsia="zh-CN"/>
              </w:rPr>
            </w:pPr>
          </w:p>
          <w:p w14:paraId="37748D0D">
            <w:pPr>
              <w:rPr>
                <w:rFonts w:hint="default" w:ascii="Times New Roman" w:hAnsi="Times New Roman" w:cs="Times New Roman"/>
                <w:color w:val="000000"/>
                <w:sz w:val="24"/>
                <w:szCs w:val="24"/>
                <w:lang w:eastAsia="zh-CN"/>
              </w:rPr>
            </w:pPr>
          </w:p>
          <w:p w14:paraId="1222C379">
            <w:pPr>
              <w:pStyle w:val="7"/>
              <w:rPr>
                <w:rFonts w:hint="default" w:ascii="Times New Roman" w:hAnsi="Times New Roman" w:cs="Times New Roman"/>
                <w:color w:val="000000"/>
                <w:sz w:val="24"/>
                <w:szCs w:val="24"/>
                <w:lang w:eastAsia="zh-CN"/>
              </w:rPr>
            </w:pPr>
          </w:p>
          <w:p w14:paraId="5F7B78EC">
            <w:pPr>
              <w:rPr>
                <w:rFonts w:hint="default" w:ascii="Times New Roman" w:hAnsi="Times New Roman" w:cs="Times New Roman"/>
                <w:color w:val="000000"/>
                <w:sz w:val="24"/>
                <w:szCs w:val="24"/>
                <w:lang w:eastAsia="zh-CN"/>
              </w:rPr>
            </w:pPr>
          </w:p>
          <w:p w14:paraId="137840EE">
            <w:pPr>
              <w:pStyle w:val="7"/>
              <w:rPr>
                <w:rFonts w:hint="default" w:ascii="Times New Roman" w:hAnsi="Times New Roman" w:cs="Times New Roman"/>
                <w:color w:val="000000"/>
                <w:sz w:val="24"/>
                <w:szCs w:val="24"/>
                <w:lang w:eastAsia="zh-CN"/>
              </w:rPr>
            </w:pPr>
          </w:p>
          <w:p w14:paraId="6DFE06E0">
            <w:pPr>
              <w:rPr>
                <w:rFonts w:hint="default" w:ascii="Times New Roman" w:hAnsi="Times New Roman" w:cs="Times New Roman"/>
                <w:color w:val="000000"/>
                <w:sz w:val="24"/>
                <w:szCs w:val="24"/>
                <w:lang w:eastAsia="zh-CN"/>
              </w:rPr>
            </w:pPr>
          </w:p>
          <w:p w14:paraId="395F067F">
            <w:pPr>
              <w:pStyle w:val="7"/>
              <w:rPr>
                <w:rFonts w:hint="default" w:ascii="Times New Roman" w:hAnsi="Times New Roman" w:cs="Times New Roman"/>
                <w:color w:val="000000"/>
                <w:sz w:val="24"/>
                <w:szCs w:val="24"/>
                <w:lang w:eastAsia="zh-CN"/>
              </w:rPr>
            </w:pPr>
          </w:p>
          <w:p w14:paraId="257B7915">
            <w:pPr>
              <w:rPr>
                <w:rFonts w:hint="default" w:ascii="Times New Roman" w:hAnsi="Times New Roman" w:cs="Times New Roman"/>
                <w:color w:val="000000"/>
                <w:sz w:val="24"/>
                <w:szCs w:val="24"/>
                <w:lang w:eastAsia="zh-CN"/>
              </w:rPr>
            </w:pPr>
          </w:p>
          <w:p w14:paraId="3BFE9CDC">
            <w:pPr>
              <w:pStyle w:val="7"/>
              <w:rPr>
                <w:rFonts w:hint="default" w:ascii="Times New Roman" w:hAnsi="Times New Roman" w:cs="Times New Roman"/>
                <w:color w:val="000000"/>
                <w:sz w:val="24"/>
                <w:szCs w:val="24"/>
                <w:lang w:eastAsia="zh-CN"/>
              </w:rPr>
            </w:pPr>
          </w:p>
          <w:p w14:paraId="31D1CB7B">
            <w:pPr>
              <w:rPr>
                <w:rFonts w:hint="default" w:ascii="Times New Roman" w:hAnsi="Times New Roman" w:cs="Times New Roman"/>
                <w:color w:val="000000"/>
                <w:sz w:val="24"/>
                <w:szCs w:val="24"/>
                <w:lang w:eastAsia="zh-CN"/>
              </w:rPr>
            </w:pPr>
          </w:p>
          <w:p w14:paraId="139A0FBE">
            <w:pPr>
              <w:pStyle w:val="7"/>
              <w:rPr>
                <w:rFonts w:hint="default" w:ascii="Times New Roman" w:hAnsi="Times New Roman" w:cs="Times New Roman"/>
                <w:color w:val="000000"/>
                <w:sz w:val="24"/>
                <w:szCs w:val="24"/>
                <w:lang w:eastAsia="zh-CN"/>
              </w:rPr>
            </w:pPr>
          </w:p>
          <w:p w14:paraId="044EA54D">
            <w:pPr>
              <w:rPr>
                <w:rFonts w:hint="default" w:ascii="Times New Roman" w:hAnsi="Times New Roman" w:cs="Times New Roman"/>
                <w:color w:val="000000"/>
                <w:sz w:val="24"/>
                <w:szCs w:val="24"/>
                <w:lang w:eastAsia="zh-CN"/>
              </w:rPr>
            </w:pPr>
          </w:p>
          <w:p w14:paraId="4D087AF9">
            <w:pPr>
              <w:pStyle w:val="7"/>
              <w:rPr>
                <w:rFonts w:hint="default" w:ascii="Times New Roman" w:hAnsi="Times New Roman" w:cs="Times New Roman"/>
                <w:color w:val="000000"/>
                <w:sz w:val="24"/>
                <w:szCs w:val="24"/>
                <w:lang w:eastAsia="zh-CN"/>
              </w:rPr>
            </w:pPr>
          </w:p>
          <w:p w14:paraId="23528C78">
            <w:pPr>
              <w:rPr>
                <w:rFonts w:hint="default" w:ascii="Times New Roman" w:hAnsi="Times New Roman" w:cs="Times New Roman"/>
                <w:color w:val="000000"/>
                <w:sz w:val="24"/>
                <w:szCs w:val="24"/>
                <w:lang w:eastAsia="zh-CN"/>
              </w:rPr>
            </w:pPr>
          </w:p>
          <w:p w14:paraId="0A1EAD56">
            <w:pPr>
              <w:pStyle w:val="7"/>
              <w:rPr>
                <w:rFonts w:hint="default" w:ascii="Times New Roman" w:hAnsi="Times New Roman" w:cs="Times New Roman"/>
                <w:color w:val="000000"/>
                <w:sz w:val="24"/>
                <w:szCs w:val="24"/>
                <w:lang w:eastAsia="zh-CN"/>
              </w:rPr>
            </w:pPr>
          </w:p>
          <w:p w14:paraId="33E332B2">
            <w:pPr>
              <w:rPr>
                <w:rFonts w:hint="default" w:ascii="Times New Roman" w:hAnsi="Times New Roman" w:cs="Times New Roman"/>
                <w:color w:val="000000"/>
                <w:sz w:val="24"/>
                <w:szCs w:val="24"/>
                <w:lang w:eastAsia="zh-CN"/>
              </w:rPr>
            </w:pPr>
          </w:p>
          <w:p w14:paraId="2CA02E25">
            <w:pPr>
              <w:pStyle w:val="7"/>
              <w:rPr>
                <w:rFonts w:hint="default" w:ascii="Times New Roman" w:hAnsi="Times New Roman" w:cs="Times New Roman"/>
                <w:color w:val="000000"/>
                <w:sz w:val="24"/>
                <w:szCs w:val="24"/>
                <w:lang w:eastAsia="zh-CN"/>
              </w:rPr>
            </w:pPr>
          </w:p>
          <w:p w14:paraId="478CBCBB">
            <w:pPr>
              <w:rPr>
                <w:rFonts w:hint="default" w:ascii="Times New Roman" w:hAnsi="Times New Roman" w:cs="Times New Roman"/>
                <w:color w:val="000000"/>
                <w:sz w:val="24"/>
                <w:szCs w:val="24"/>
                <w:lang w:eastAsia="zh-CN"/>
              </w:rPr>
            </w:pPr>
          </w:p>
          <w:p w14:paraId="296A40E5">
            <w:pPr>
              <w:pStyle w:val="7"/>
              <w:rPr>
                <w:rFonts w:hint="default" w:ascii="Times New Roman" w:hAnsi="Times New Roman" w:cs="Times New Roman"/>
                <w:color w:val="000000"/>
                <w:sz w:val="24"/>
                <w:szCs w:val="24"/>
                <w:lang w:eastAsia="zh-CN"/>
              </w:rPr>
            </w:pPr>
          </w:p>
          <w:p w14:paraId="12F73B8B">
            <w:pPr>
              <w:rPr>
                <w:rFonts w:hint="default" w:ascii="Times New Roman" w:hAnsi="Times New Roman" w:cs="Times New Roman"/>
                <w:color w:val="000000"/>
                <w:sz w:val="24"/>
                <w:szCs w:val="24"/>
                <w:lang w:eastAsia="zh-CN"/>
              </w:rPr>
            </w:pPr>
          </w:p>
          <w:p w14:paraId="0AD6EBEC">
            <w:pPr>
              <w:pStyle w:val="7"/>
              <w:rPr>
                <w:rFonts w:hint="default" w:ascii="Times New Roman" w:hAnsi="Times New Roman" w:cs="Times New Roman"/>
                <w:color w:val="000000"/>
                <w:sz w:val="24"/>
                <w:szCs w:val="24"/>
                <w:lang w:eastAsia="zh-CN"/>
              </w:rPr>
            </w:pPr>
          </w:p>
          <w:p w14:paraId="4C66CB5A">
            <w:pPr>
              <w:rPr>
                <w:rFonts w:hint="default"/>
                <w:lang w:eastAsia="zh-CN"/>
              </w:rPr>
            </w:pPr>
          </w:p>
          <w:p w14:paraId="5C5C1172">
            <w:pPr>
              <w:pStyle w:val="7"/>
              <w:ind w:left="0" w:leftChars="0" w:firstLine="0" w:firstLineChars="0"/>
              <w:jc w:val="center"/>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object>
                <v:shape id="_x0000_i1025" o:spt="75" type="#_x0000_t75" style="height:657.75pt;width:343.55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14:paraId="73DFDC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color w:val="auto"/>
              </w:rPr>
            </w:pPr>
            <w:r>
              <w:rPr>
                <w:rFonts w:ascii="Times New Roman" w:hAnsi="Times New Roman"/>
                <w:b/>
                <w:bCs/>
                <w:color w:val="auto"/>
                <w:sz w:val="21"/>
                <w:szCs w:val="21"/>
              </w:rPr>
              <w:t>图</w:t>
            </w:r>
            <w:r>
              <w:rPr>
                <w:rFonts w:hint="eastAsia" w:ascii="Times New Roman" w:hAnsi="Times New Roman"/>
                <w:b/>
                <w:bCs/>
                <w:color w:val="auto"/>
                <w:sz w:val="21"/>
                <w:szCs w:val="21"/>
                <w:lang w:val="en-US" w:eastAsia="zh-CN"/>
              </w:rPr>
              <w:t>2-1</w:t>
            </w:r>
            <w:r>
              <w:rPr>
                <w:rFonts w:ascii="Times New Roman" w:hAnsi="Times New Roman"/>
                <w:b/>
                <w:bCs/>
                <w:color w:val="auto"/>
                <w:sz w:val="21"/>
                <w:szCs w:val="21"/>
              </w:rPr>
              <w:t xml:space="preserve">  </w:t>
            </w:r>
            <w:r>
              <w:rPr>
                <w:rFonts w:hint="eastAsia" w:ascii="Times New Roman" w:hAnsi="Times New Roman"/>
                <w:b/>
                <w:bCs/>
                <w:color w:val="auto"/>
                <w:sz w:val="21"/>
                <w:szCs w:val="21"/>
                <w:lang w:val="en-US" w:eastAsia="zh-CN"/>
              </w:rPr>
              <w:t>无塑封盖电磁阀</w:t>
            </w:r>
            <w:r>
              <w:rPr>
                <w:rFonts w:ascii="Times New Roman" w:hAnsi="Times New Roman"/>
                <w:b/>
                <w:bCs/>
                <w:color w:val="auto"/>
                <w:sz w:val="21"/>
                <w:szCs w:val="21"/>
              </w:rPr>
              <w:t>生产工艺及产污环节示意图（噪声伴随工艺全过程）</w:t>
            </w:r>
          </w:p>
          <w:p w14:paraId="62896F16">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rPr>
                <w:rFonts w:ascii="Times New Roman" w:hAnsi="Times New Roman"/>
                <w:b/>
                <w:bCs/>
                <w:color w:val="auto"/>
                <w:sz w:val="24"/>
                <w:szCs w:val="24"/>
              </w:rPr>
            </w:pPr>
            <w:r>
              <w:rPr>
                <w:rFonts w:ascii="Times New Roman" w:hAnsi="Times New Roman"/>
                <w:color w:val="auto"/>
                <w:sz w:val="24"/>
                <w:szCs w:val="24"/>
              </w:rPr>
              <w:t>工艺简介：</w:t>
            </w:r>
          </w:p>
          <w:p w14:paraId="7D35089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default" w:ascii="Times New Roman" w:hAnsi="Times New Roman"/>
                <w:color w:val="FF0000"/>
                <w:sz w:val="24"/>
                <w:szCs w:val="24"/>
                <w:lang w:val="en-US" w:eastAsia="zh-CN"/>
              </w:rPr>
            </w:pPr>
            <w:r>
              <w:rPr>
                <w:rFonts w:hint="eastAsia" w:ascii="Times New Roman" w:hAnsi="Times New Roman"/>
                <w:color w:val="auto"/>
                <w:sz w:val="24"/>
                <w:szCs w:val="24"/>
                <w:lang w:val="en-US" w:eastAsia="zh-CN"/>
              </w:rPr>
              <w:t>线圈组件生产：将外购的骨架通过插针机将方针插到骨架上，再通过绕线机将漆包线对骨架配件进行绕线。然后将外购的静铁芯和动铁芯通过超声波清洗机进行清洗，然后将线圈半成品、动/静铁芯以及外购的O型圈、支架、密封圈、支架底板进行装配，然后通过弯脚机将支架脚进行折弯即得线圈组件半成品。</w:t>
            </w:r>
          </w:p>
          <w:p w14:paraId="610D1CA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装配：然后再将线圈组件与外购的阀体、密封件、密封垫、顶杆、阀芯、弹簧、卡扣等进行装配成型。</w:t>
            </w:r>
          </w:p>
          <w:p w14:paraId="147171D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测试：装配后通过测试设备测试其电阻、压力等性能。</w:t>
            </w:r>
          </w:p>
          <w:p w14:paraId="69239BB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eastAsia" w:ascii="Times New Roman" w:hAnsi="Times New Roman"/>
                <w:color w:val="FF0000"/>
                <w:sz w:val="24"/>
                <w:szCs w:val="24"/>
                <w:lang w:val="en-US" w:eastAsia="zh-CN"/>
              </w:rPr>
            </w:pPr>
            <w:r>
              <w:rPr>
                <w:rFonts w:hint="eastAsia" w:ascii="Times New Roman" w:hAnsi="Times New Roman"/>
                <w:color w:val="auto"/>
                <w:sz w:val="24"/>
                <w:szCs w:val="24"/>
                <w:lang w:val="en-US" w:eastAsia="zh-CN"/>
              </w:rPr>
              <w:t>阀体装配、焊接：将外购的阀体外壳先通过激光打标机进行打标然后装配到半成品上，最后焊锡成型，测试合格即为成品。</w:t>
            </w:r>
          </w:p>
          <w:p w14:paraId="0047D64C">
            <w:pPr>
              <w:spacing w:line="360" w:lineRule="auto"/>
              <w:ind w:firstLine="480"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②</w:t>
            </w:r>
            <w:r>
              <w:rPr>
                <w:rFonts w:hint="eastAsia" w:ascii="Times New Roman" w:hAnsi="Times New Roman" w:cs="Times New Roman"/>
                <w:color w:val="000000"/>
                <w:sz w:val="24"/>
                <w:szCs w:val="24"/>
                <w:lang w:val="en-US" w:eastAsia="zh-CN"/>
              </w:rPr>
              <w:t>有塑封盖电磁阀</w:t>
            </w:r>
            <w:r>
              <w:rPr>
                <w:rFonts w:hint="default" w:ascii="Times New Roman" w:hAnsi="Times New Roman" w:cs="Times New Roman"/>
                <w:color w:val="000000"/>
                <w:sz w:val="24"/>
                <w:szCs w:val="24"/>
                <w:lang w:eastAsia="zh-CN"/>
              </w:rPr>
              <w:t>生产工艺</w:t>
            </w:r>
          </w:p>
          <w:p w14:paraId="5558311F">
            <w:pPr>
              <w:pStyle w:val="7"/>
              <w:rPr>
                <w:rFonts w:hint="default" w:ascii="Times New Roman" w:hAnsi="Times New Roman" w:cs="Times New Roman"/>
                <w:color w:val="000000"/>
                <w:sz w:val="24"/>
                <w:szCs w:val="24"/>
                <w:lang w:eastAsia="zh-CN"/>
              </w:rPr>
            </w:pPr>
          </w:p>
          <w:p w14:paraId="4CFF7BB9">
            <w:pPr>
              <w:rPr>
                <w:rFonts w:hint="default" w:ascii="Times New Roman" w:hAnsi="Times New Roman" w:cs="Times New Roman"/>
                <w:color w:val="000000"/>
                <w:sz w:val="24"/>
                <w:szCs w:val="24"/>
                <w:lang w:eastAsia="zh-CN"/>
              </w:rPr>
            </w:pPr>
          </w:p>
          <w:p w14:paraId="451BB6C9">
            <w:pPr>
              <w:pStyle w:val="7"/>
              <w:rPr>
                <w:rFonts w:hint="default" w:ascii="Times New Roman" w:hAnsi="Times New Roman" w:cs="Times New Roman"/>
                <w:color w:val="000000"/>
                <w:sz w:val="24"/>
                <w:szCs w:val="24"/>
                <w:lang w:eastAsia="zh-CN"/>
              </w:rPr>
            </w:pPr>
          </w:p>
          <w:p w14:paraId="4A06D4B3">
            <w:pPr>
              <w:rPr>
                <w:rFonts w:hint="default" w:ascii="Times New Roman" w:hAnsi="Times New Roman" w:cs="Times New Roman"/>
                <w:color w:val="000000"/>
                <w:sz w:val="24"/>
                <w:szCs w:val="24"/>
                <w:lang w:eastAsia="zh-CN"/>
              </w:rPr>
            </w:pPr>
          </w:p>
          <w:p w14:paraId="1CCFB0CE">
            <w:pPr>
              <w:pStyle w:val="7"/>
              <w:rPr>
                <w:rFonts w:hint="default" w:ascii="Times New Roman" w:hAnsi="Times New Roman" w:cs="Times New Roman"/>
                <w:color w:val="000000"/>
                <w:sz w:val="24"/>
                <w:szCs w:val="24"/>
                <w:lang w:eastAsia="zh-CN"/>
              </w:rPr>
            </w:pPr>
          </w:p>
          <w:p w14:paraId="3B643044">
            <w:pPr>
              <w:rPr>
                <w:rFonts w:hint="default" w:ascii="Times New Roman" w:hAnsi="Times New Roman" w:cs="Times New Roman"/>
                <w:color w:val="000000"/>
                <w:sz w:val="24"/>
                <w:szCs w:val="24"/>
                <w:lang w:eastAsia="zh-CN"/>
              </w:rPr>
            </w:pPr>
          </w:p>
          <w:p w14:paraId="568277A2">
            <w:pPr>
              <w:pStyle w:val="7"/>
              <w:rPr>
                <w:rFonts w:hint="default" w:ascii="Times New Roman" w:hAnsi="Times New Roman" w:cs="Times New Roman"/>
                <w:color w:val="000000"/>
                <w:sz w:val="24"/>
                <w:szCs w:val="24"/>
                <w:lang w:eastAsia="zh-CN"/>
              </w:rPr>
            </w:pPr>
          </w:p>
          <w:p w14:paraId="12961E0A">
            <w:pPr>
              <w:rPr>
                <w:rFonts w:hint="default" w:ascii="Times New Roman" w:hAnsi="Times New Roman" w:cs="Times New Roman"/>
                <w:color w:val="000000"/>
                <w:sz w:val="24"/>
                <w:szCs w:val="24"/>
                <w:lang w:eastAsia="zh-CN"/>
              </w:rPr>
            </w:pPr>
          </w:p>
          <w:p w14:paraId="5E77FB00">
            <w:pPr>
              <w:pStyle w:val="7"/>
              <w:rPr>
                <w:rFonts w:hint="default" w:ascii="Times New Roman" w:hAnsi="Times New Roman" w:cs="Times New Roman"/>
                <w:color w:val="000000"/>
                <w:sz w:val="24"/>
                <w:szCs w:val="24"/>
                <w:lang w:eastAsia="zh-CN"/>
              </w:rPr>
            </w:pPr>
          </w:p>
          <w:p w14:paraId="3ADEDAB8">
            <w:pPr>
              <w:rPr>
                <w:rFonts w:hint="default" w:ascii="Times New Roman" w:hAnsi="Times New Roman" w:cs="Times New Roman"/>
                <w:color w:val="000000"/>
                <w:sz w:val="24"/>
                <w:szCs w:val="24"/>
                <w:lang w:eastAsia="zh-CN"/>
              </w:rPr>
            </w:pPr>
          </w:p>
          <w:p w14:paraId="203AED31">
            <w:pPr>
              <w:pStyle w:val="7"/>
              <w:rPr>
                <w:rFonts w:hint="default" w:ascii="Times New Roman" w:hAnsi="Times New Roman" w:cs="Times New Roman"/>
                <w:color w:val="000000"/>
                <w:sz w:val="24"/>
                <w:szCs w:val="24"/>
                <w:lang w:eastAsia="zh-CN"/>
              </w:rPr>
            </w:pPr>
          </w:p>
          <w:p w14:paraId="53DF04D4">
            <w:pPr>
              <w:rPr>
                <w:rFonts w:hint="default" w:ascii="Times New Roman" w:hAnsi="Times New Roman" w:cs="Times New Roman"/>
                <w:color w:val="000000"/>
                <w:sz w:val="24"/>
                <w:szCs w:val="24"/>
                <w:lang w:eastAsia="zh-CN"/>
              </w:rPr>
            </w:pPr>
          </w:p>
          <w:p w14:paraId="5B16402A">
            <w:pPr>
              <w:pStyle w:val="7"/>
              <w:rPr>
                <w:rFonts w:hint="default" w:ascii="Times New Roman" w:hAnsi="Times New Roman" w:cs="Times New Roman"/>
                <w:color w:val="000000"/>
                <w:sz w:val="24"/>
                <w:szCs w:val="24"/>
                <w:lang w:eastAsia="zh-CN"/>
              </w:rPr>
            </w:pPr>
          </w:p>
          <w:p w14:paraId="7FFF2ABE">
            <w:pPr>
              <w:rPr>
                <w:rFonts w:hint="default" w:ascii="Times New Roman" w:hAnsi="Times New Roman" w:cs="Times New Roman"/>
                <w:color w:val="000000"/>
                <w:sz w:val="24"/>
                <w:szCs w:val="24"/>
                <w:lang w:eastAsia="zh-CN"/>
              </w:rPr>
            </w:pPr>
          </w:p>
          <w:p w14:paraId="78A181F8">
            <w:pPr>
              <w:pStyle w:val="7"/>
              <w:rPr>
                <w:rFonts w:hint="default" w:ascii="Times New Roman" w:hAnsi="Times New Roman" w:cs="Times New Roman"/>
                <w:color w:val="000000"/>
                <w:sz w:val="24"/>
                <w:szCs w:val="24"/>
                <w:lang w:eastAsia="zh-CN"/>
              </w:rPr>
            </w:pPr>
          </w:p>
          <w:p w14:paraId="25622D29">
            <w:pPr>
              <w:rPr>
                <w:rFonts w:hint="default" w:ascii="Times New Roman" w:hAnsi="Times New Roman" w:cs="Times New Roman"/>
                <w:color w:val="000000"/>
                <w:sz w:val="24"/>
                <w:szCs w:val="24"/>
                <w:lang w:eastAsia="zh-CN"/>
              </w:rPr>
            </w:pPr>
          </w:p>
          <w:p w14:paraId="2FCA3162">
            <w:pPr>
              <w:pStyle w:val="7"/>
              <w:rPr>
                <w:rFonts w:hint="default" w:ascii="Times New Roman" w:hAnsi="Times New Roman" w:cs="Times New Roman"/>
                <w:color w:val="000000"/>
                <w:sz w:val="24"/>
                <w:szCs w:val="24"/>
                <w:lang w:eastAsia="zh-CN"/>
              </w:rPr>
            </w:pPr>
          </w:p>
          <w:p w14:paraId="59697BBE">
            <w:pPr>
              <w:rPr>
                <w:rFonts w:hint="default" w:ascii="Times New Roman" w:hAnsi="Times New Roman" w:cs="Times New Roman"/>
                <w:color w:val="000000"/>
                <w:sz w:val="24"/>
                <w:szCs w:val="24"/>
                <w:lang w:eastAsia="zh-CN"/>
              </w:rPr>
            </w:pPr>
          </w:p>
          <w:p w14:paraId="73D699F8">
            <w:pPr>
              <w:pStyle w:val="7"/>
              <w:rPr>
                <w:rFonts w:hint="default" w:ascii="Times New Roman" w:hAnsi="Times New Roman" w:cs="Times New Roman"/>
                <w:color w:val="000000"/>
                <w:sz w:val="24"/>
                <w:szCs w:val="24"/>
                <w:lang w:eastAsia="zh-CN"/>
              </w:rPr>
            </w:pPr>
          </w:p>
          <w:p w14:paraId="6226F16F">
            <w:pPr>
              <w:rPr>
                <w:rFonts w:hint="default" w:ascii="Times New Roman" w:hAnsi="Times New Roman" w:cs="Times New Roman"/>
                <w:color w:val="000000"/>
                <w:sz w:val="24"/>
                <w:szCs w:val="24"/>
                <w:lang w:eastAsia="zh-CN"/>
              </w:rPr>
            </w:pPr>
          </w:p>
          <w:p w14:paraId="52C429A5">
            <w:pPr>
              <w:pStyle w:val="7"/>
              <w:rPr>
                <w:rFonts w:hint="default" w:ascii="Times New Roman" w:hAnsi="Times New Roman" w:cs="Times New Roman"/>
                <w:color w:val="000000"/>
                <w:sz w:val="24"/>
                <w:szCs w:val="24"/>
                <w:lang w:eastAsia="zh-CN"/>
              </w:rPr>
            </w:pPr>
          </w:p>
          <w:p w14:paraId="33E45BF7">
            <w:pPr>
              <w:rPr>
                <w:rFonts w:hint="default" w:ascii="Times New Roman" w:hAnsi="Times New Roman" w:cs="Times New Roman"/>
                <w:color w:val="000000"/>
                <w:sz w:val="24"/>
                <w:szCs w:val="24"/>
                <w:lang w:eastAsia="zh-CN"/>
              </w:rPr>
            </w:pPr>
          </w:p>
          <w:p w14:paraId="2F44912E">
            <w:pPr>
              <w:pStyle w:val="7"/>
              <w:rPr>
                <w:rFonts w:hint="default" w:ascii="Times New Roman" w:hAnsi="Times New Roman" w:cs="Times New Roman"/>
                <w:color w:val="000000"/>
                <w:sz w:val="24"/>
                <w:szCs w:val="24"/>
                <w:lang w:eastAsia="zh-CN"/>
              </w:rPr>
            </w:pPr>
          </w:p>
          <w:p w14:paraId="12180C6B">
            <w:pPr>
              <w:rPr>
                <w:rFonts w:hint="default" w:ascii="Times New Roman" w:hAnsi="Times New Roman" w:cs="Times New Roman"/>
                <w:color w:val="000000"/>
                <w:sz w:val="24"/>
                <w:szCs w:val="24"/>
                <w:lang w:eastAsia="zh-CN"/>
              </w:rPr>
            </w:pPr>
          </w:p>
          <w:p w14:paraId="056105F1">
            <w:pPr>
              <w:pStyle w:val="7"/>
              <w:rPr>
                <w:rFonts w:hint="default"/>
                <w:lang w:eastAsia="zh-CN"/>
              </w:rPr>
            </w:pPr>
          </w:p>
          <w:p w14:paraId="38898E91">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center"/>
              <w:outlineLvl w:val="9"/>
              <w:rPr>
                <w:rFonts w:hint="eastAsia" w:ascii="Times New Roman" w:hAnsi="Times New Roman" w:eastAsia="宋体" w:cs="Times New Roman"/>
                <w:b/>
                <w:color w:val="FF0000"/>
                <w:sz w:val="24"/>
                <w:szCs w:val="22"/>
                <w:lang w:val="en-US" w:eastAsia="zh-CN"/>
              </w:rPr>
            </w:pPr>
            <w:r>
              <w:rPr>
                <w:rFonts w:hint="eastAsia" w:ascii="Times New Roman" w:hAnsi="Times New Roman" w:eastAsia="宋体" w:cs="Times New Roman"/>
                <w:b/>
                <w:color w:val="FF0000"/>
                <w:sz w:val="24"/>
                <w:szCs w:val="22"/>
                <w:lang w:val="en-US" w:eastAsia="zh-CN"/>
              </w:rPr>
              <w:object>
                <v:shape id="_x0000_i1026" o:spt="75" type="#_x0000_t75" style="height:625.5pt;width:416.5pt;" o:ole="t" filled="f" o:preferrelative="t" stroked="f" coordsize="21600,21600">
                  <v:path/>
                  <v:fill on="f" focussize="0,0"/>
                  <v:stroke on="f"/>
                  <v:imagedata r:id="rId14" o:title=""/>
                  <o:lock v:ext="edit" aspectratio="f"/>
                  <w10:wrap type="none"/>
                  <w10:anchorlock/>
                </v:shape>
                <o:OLEObject Type="Embed" ProgID="Visio.Drawing.11" ShapeID="_x0000_i1026" DrawAspect="Content" ObjectID="_1468075726" r:id="rId13">
                  <o:LockedField>false</o:LockedField>
                </o:OLEObject>
              </w:object>
            </w:r>
          </w:p>
          <w:p w14:paraId="03F28A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color w:val="auto"/>
              </w:rPr>
            </w:pPr>
            <w:r>
              <w:rPr>
                <w:rFonts w:ascii="Times New Roman" w:hAnsi="Times New Roman"/>
                <w:b/>
                <w:bCs/>
                <w:color w:val="auto"/>
                <w:sz w:val="21"/>
                <w:szCs w:val="21"/>
              </w:rPr>
              <w:t>图</w:t>
            </w:r>
            <w:r>
              <w:rPr>
                <w:rFonts w:hint="eastAsia" w:ascii="Times New Roman" w:hAnsi="Times New Roman"/>
                <w:b/>
                <w:bCs/>
                <w:color w:val="auto"/>
                <w:sz w:val="21"/>
                <w:szCs w:val="21"/>
                <w:lang w:val="en-US" w:eastAsia="zh-CN"/>
              </w:rPr>
              <w:t>2-2</w:t>
            </w:r>
            <w:r>
              <w:rPr>
                <w:rFonts w:ascii="Times New Roman" w:hAnsi="Times New Roman"/>
                <w:b/>
                <w:bCs/>
                <w:color w:val="auto"/>
                <w:sz w:val="21"/>
                <w:szCs w:val="21"/>
              </w:rPr>
              <w:t xml:space="preserve">  </w:t>
            </w:r>
            <w:r>
              <w:rPr>
                <w:rFonts w:hint="eastAsia" w:ascii="Times New Roman" w:hAnsi="Times New Roman"/>
                <w:b/>
                <w:bCs/>
                <w:color w:val="auto"/>
                <w:sz w:val="21"/>
                <w:szCs w:val="21"/>
                <w:lang w:val="en-US" w:eastAsia="zh-CN"/>
              </w:rPr>
              <w:t>有塑封盖电磁阀</w:t>
            </w:r>
            <w:r>
              <w:rPr>
                <w:rFonts w:ascii="Times New Roman" w:hAnsi="Times New Roman"/>
                <w:b/>
                <w:bCs/>
                <w:color w:val="auto"/>
                <w:sz w:val="21"/>
                <w:szCs w:val="21"/>
              </w:rPr>
              <w:t>生产工艺及产污环节示意图（噪声伴随工艺全过程）</w:t>
            </w:r>
          </w:p>
          <w:p w14:paraId="50E1C06B">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rPr>
                <w:rFonts w:ascii="Times New Roman" w:hAnsi="Times New Roman"/>
                <w:color w:val="auto"/>
                <w:sz w:val="24"/>
                <w:szCs w:val="24"/>
              </w:rPr>
            </w:pPr>
          </w:p>
          <w:p w14:paraId="14534D1C">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rPr>
                <w:rFonts w:ascii="Times New Roman" w:hAnsi="Times New Roman"/>
                <w:b/>
                <w:bCs/>
                <w:color w:val="auto"/>
                <w:sz w:val="24"/>
                <w:szCs w:val="24"/>
              </w:rPr>
            </w:pPr>
            <w:r>
              <w:rPr>
                <w:rFonts w:ascii="Times New Roman" w:hAnsi="Times New Roman"/>
                <w:color w:val="auto"/>
                <w:sz w:val="24"/>
                <w:szCs w:val="24"/>
              </w:rPr>
              <w:t>工艺简介：</w:t>
            </w:r>
          </w:p>
          <w:p w14:paraId="167150E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本项目有塑封盖电磁阀生产工艺中的绕制、焊锡与无塑封盖电磁阀生产工艺一致，装配工艺仅待装的配件不同，此处不再详细说明。其特有的工艺为塑封工艺。</w:t>
            </w:r>
          </w:p>
          <w:p w14:paraId="0CAC38B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default" w:ascii="Times New Roman" w:hAnsi="Times New Roman"/>
                <w:color w:val="FF0000"/>
                <w:sz w:val="24"/>
                <w:szCs w:val="24"/>
                <w:lang w:val="en-US" w:eastAsia="zh-CN"/>
              </w:rPr>
            </w:pPr>
            <w:r>
              <w:rPr>
                <w:rFonts w:hint="eastAsia" w:ascii="Times New Roman" w:hAnsi="Times New Roman"/>
                <w:color w:val="auto"/>
                <w:sz w:val="24"/>
                <w:szCs w:val="24"/>
                <w:lang w:val="en-US" w:eastAsia="zh-CN"/>
              </w:rPr>
              <w:t>塑封：将BMC材料通过注塑机注塑成型罩壳。工作时将BMC材料投入到注塑机中，注塑机工作温度为135~185</w:t>
            </w:r>
            <w:r>
              <w:rPr>
                <w:rFonts w:hint="eastAsia" w:ascii="宋体" w:hAnsi="宋体" w:eastAsia="宋体" w:cs="宋体"/>
                <w:color w:val="auto"/>
                <w:sz w:val="24"/>
                <w:szCs w:val="24"/>
                <w:lang w:val="en-US" w:eastAsia="zh-CN"/>
              </w:rPr>
              <w:t>℃</w:t>
            </w:r>
            <w:r>
              <w:rPr>
                <w:rFonts w:hint="eastAsia" w:ascii="Times New Roman" w:hAnsi="Times New Roman"/>
                <w:color w:val="auto"/>
                <w:sz w:val="24"/>
                <w:szCs w:val="24"/>
                <w:lang w:val="en-US" w:eastAsia="zh-CN"/>
              </w:rPr>
              <w:t>，BMC材料被加热至熔融状态后注塑到模具中成型，即为罩壳。</w:t>
            </w:r>
          </w:p>
          <w:p w14:paraId="28059F94">
            <w:pPr>
              <w:spacing w:line="360" w:lineRule="auto"/>
              <w:ind w:firstLine="480" w:firstLineChars="200"/>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电磁阀智能芯片</w:t>
            </w:r>
            <w:r>
              <w:rPr>
                <w:rFonts w:hint="default" w:ascii="Times New Roman" w:hAnsi="Times New Roman" w:cs="Times New Roman"/>
                <w:color w:val="000000"/>
                <w:sz w:val="24"/>
                <w:szCs w:val="24"/>
                <w:lang w:eastAsia="zh-CN"/>
              </w:rPr>
              <w:t>生产工艺</w:t>
            </w:r>
          </w:p>
          <w:p w14:paraId="5791CE41">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center"/>
              <w:outlineLvl w:val="9"/>
              <w:rPr>
                <w:rFonts w:hint="eastAsia" w:ascii="Times New Roman" w:hAnsi="Times New Roman" w:eastAsia="宋体" w:cs="Times New Roman"/>
                <w:b/>
                <w:color w:val="FF0000"/>
                <w:sz w:val="24"/>
                <w:szCs w:val="22"/>
                <w:lang w:val="en-US" w:eastAsia="zh-CN"/>
              </w:rPr>
            </w:pPr>
            <w:r>
              <w:rPr>
                <w:rFonts w:hint="eastAsia" w:ascii="Times New Roman" w:hAnsi="Times New Roman" w:eastAsia="宋体" w:cs="Times New Roman"/>
                <w:b/>
                <w:color w:val="FF0000"/>
                <w:sz w:val="24"/>
                <w:szCs w:val="22"/>
                <w:lang w:val="en-US" w:eastAsia="zh-CN"/>
              </w:rPr>
              <w:object>
                <v:shape id="_x0000_i1027" o:spt="75" type="#_x0000_t75" style="height:443.1pt;width:421.55pt;" o:ole="t" filled="f" o:preferrelative="t" stroked="f" coordsize="21600,21600">
                  <v:path/>
                  <v:fill on="f" focussize="0,0"/>
                  <v:stroke on="f"/>
                  <v:imagedata r:id="rId16" o:title=""/>
                  <o:lock v:ext="edit" aspectratio="f"/>
                  <w10:wrap type="none"/>
                  <w10:anchorlock/>
                </v:shape>
                <o:OLEObject Type="Embed" ProgID="Visio.Drawing.11" ShapeID="_x0000_i1027" DrawAspect="Content" ObjectID="_1468075727" r:id="rId15">
                  <o:LockedField>false</o:LockedField>
                </o:OLEObject>
              </w:object>
            </w:r>
          </w:p>
          <w:p w14:paraId="56AE359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color w:val="auto"/>
              </w:rPr>
            </w:pPr>
            <w:r>
              <w:rPr>
                <w:rFonts w:ascii="Times New Roman" w:hAnsi="Times New Roman"/>
                <w:b/>
                <w:bCs/>
                <w:color w:val="auto"/>
                <w:sz w:val="21"/>
                <w:szCs w:val="21"/>
              </w:rPr>
              <w:t>图</w:t>
            </w:r>
            <w:r>
              <w:rPr>
                <w:rFonts w:hint="eastAsia" w:ascii="Times New Roman" w:hAnsi="Times New Roman"/>
                <w:b/>
                <w:bCs/>
                <w:color w:val="auto"/>
                <w:sz w:val="21"/>
                <w:szCs w:val="21"/>
                <w:lang w:val="en-US" w:eastAsia="zh-CN"/>
              </w:rPr>
              <w:t>2-3</w:t>
            </w:r>
            <w:r>
              <w:rPr>
                <w:rFonts w:ascii="Times New Roman" w:hAnsi="Times New Roman"/>
                <w:b/>
                <w:bCs/>
                <w:color w:val="auto"/>
                <w:sz w:val="21"/>
                <w:szCs w:val="21"/>
              </w:rPr>
              <w:t xml:space="preserve">  </w:t>
            </w:r>
            <w:r>
              <w:rPr>
                <w:rFonts w:hint="eastAsia" w:ascii="Times New Roman" w:hAnsi="Times New Roman"/>
                <w:b/>
                <w:bCs/>
                <w:color w:val="auto"/>
                <w:sz w:val="21"/>
                <w:szCs w:val="21"/>
                <w:lang w:val="en-US" w:eastAsia="zh-CN"/>
              </w:rPr>
              <w:t>电磁阀智</w:t>
            </w:r>
            <w:r>
              <w:rPr>
                <w:rFonts w:hint="eastAsia" w:ascii="Times New Roman" w:hAnsi="Times New Roman"/>
                <w:b/>
                <w:bCs/>
                <w:color w:val="000000" w:themeColor="text1"/>
                <w:sz w:val="21"/>
                <w:szCs w:val="21"/>
                <w:lang w:val="en-US" w:eastAsia="zh-CN"/>
                <w14:textFill>
                  <w14:solidFill>
                    <w14:schemeClr w14:val="tx1"/>
                  </w14:solidFill>
                </w14:textFill>
              </w:rPr>
              <w:t>能芯片</w:t>
            </w:r>
            <w:r>
              <w:rPr>
                <w:rFonts w:ascii="Times New Roman" w:hAnsi="Times New Roman"/>
                <w:b/>
                <w:bCs/>
                <w:color w:val="000000" w:themeColor="text1"/>
                <w:sz w:val="21"/>
                <w:szCs w:val="21"/>
                <w14:textFill>
                  <w14:solidFill>
                    <w14:schemeClr w14:val="tx1"/>
                  </w14:solidFill>
                </w14:textFill>
              </w:rPr>
              <w:t>生</w:t>
            </w:r>
            <w:r>
              <w:rPr>
                <w:rFonts w:ascii="Times New Roman" w:hAnsi="Times New Roman"/>
                <w:b/>
                <w:bCs/>
                <w:color w:val="auto"/>
                <w:sz w:val="21"/>
                <w:szCs w:val="21"/>
              </w:rPr>
              <w:t>产工艺及产污环节示意图（噪声伴随工艺全过程）</w:t>
            </w:r>
          </w:p>
          <w:p w14:paraId="28BDD453">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rPr>
                <w:rFonts w:ascii="Times New Roman" w:hAnsi="Times New Roman"/>
                <w:b/>
                <w:bCs/>
                <w:color w:val="auto"/>
                <w:sz w:val="24"/>
                <w:szCs w:val="24"/>
              </w:rPr>
            </w:pPr>
            <w:r>
              <w:rPr>
                <w:rFonts w:ascii="Times New Roman" w:hAnsi="Times New Roman"/>
                <w:color w:val="auto"/>
                <w:sz w:val="24"/>
                <w:szCs w:val="24"/>
              </w:rPr>
              <w:t>工艺简介：</w:t>
            </w:r>
          </w:p>
          <w:p w14:paraId="6771F88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default" w:ascii="Times New Roman" w:hAnsi="Times New Roman"/>
                <w:color w:val="FF0000"/>
                <w:sz w:val="24"/>
                <w:szCs w:val="24"/>
                <w:lang w:val="en-US" w:eastAsia="zh-CN"/>
              </w:rPr>
            </w:pPr>
            <w:r>
              <w:rPr>
                <w:rFonts w:hint="eastAsia" w:ascii="Times New Roman" w:hAnsi="Times New Roman"/>
                <w:color w:val="auto"/>
                <w:sz w:val="24"/>
                <w:szCs w:val="24"/>
                <w:lang w:val="en-US" w:eastAsia="zh-CN"/>
              </w:rPr>
              <w:t>生产时将外购的电路板通过全自动丝印机刷上搅拌好的锡膏，然后通过贴片机将元器件进</w:t>
            </w:r>
            <w:r>
              <w:rPr>
                <w:rFonts w:hint="default" w:ascii="Times New Roman" w:hAnsi="Times New Roman" w:cs="Times New Roman"/>
                <w:color w:val="auto"/>
                <w:sz w:val="24"/>
                <w:szCs w:val="24"/>
                <w:lang w:val="en-US" w:eastAsia="zh-CN"/>
              </w:rPr>
              <w:t>行贴片；另将外购的直插元器件套上热缩管然后通过热风枪使热缩管收缩包裹住元器件；然后将贴片好的电路板与直插元器件进行焊接，焊材为锡丝；然后采用检测设备进行性能检测；</w:t>
            </w:r>
            <w:r>
              <w:rPr>
                <w:rFonts w:hint="eastAsia" w:ascii="Times New Roman" w:hAnsi="Times New Roman" w:cs="Times New Roman"/>
                <w:color w:val="auto"/>
                <w:sz w:val="24"/>
                <w:szCs w:val="24"/>
                <w:lang w:val="en-US" w:eastAsia="zh-CN"/>
              </w:rPr>
              <w:t>最后将电路板进行分板后即为成品。</w:t>
            </w:r>
          </w:p>
          <w:p w14:paraId="5242A902">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color w:val="auto"/>
                <w:sz w:val="24"/>
                <w:szCs w:val="22"/>
                <w:lang w:val="en-US" w:eastAsia="zh-CN"/>
              </w:rPr>
              <w:t>2.2.2</w:t>
            </w:r>
            <w:r>
              <w:rPr>
                <w:rFonts w:hint="default" w:ascii="Times New Roman" w:hAnsi="Times New Roman" w:eastAsia="宋体" w:cs="Times New Roman"/>
                <w:b/>
                <w:color w:val="auto"/>
                <w:sz w:val="24"/>
                <w:szCs w:val="22"/>
                <w:lang w:eastAsia="zh-CN"/>
              </w:rPr>
              <w:t>建设</w:t>
            </w:r>
            <w:r>
              <w:rPr>
                <w:rFonts w:hint="default" w:ascii="Times New Roman" w:hAnsi="Times New Roman" w:eastAsia="宋体" w:cs="Times New Roman"/>
                <w:b/>
                <w:color w:val="auto"/>
                <w:sz w:val="24"/>
                <w:szCs w:val="22"/>
              </w:rPr>
              <w:t>项目主要污染工序</w:t>
            </w:r>
          </w:p>
          <w:p w14:paraId="568E22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ascii="Times New Roman" w:hAnsi="Times New Roman"/>
                <w:b/>
                <w:bCs/>
                <w:color w:val="FF0000"/>
                <w:sz w:val="21"/>
                <w:szCs w:val="21"/>
              </w:rPr>
            </w:pPr>
            <w:r>
              <w:rPr>
                <w:rFonts w:ascii="Times New Roman" w:hAnsi="Times New Roman"/>
                <w:b/>
                <w:bCs/>
                <w:color w:val="auto"/>
                <w:sz w:val="21"/>
                <w:szCs w:val="21"/>
              </w:rPr>
              <w:t>表</w:t>
            </w:r>
            <w:r>
              <w:rPr>
                <w:rFonts w:hint="eastAsia" w:ascii="Times New Roman" w:hAnsi="Times New Roman"/>
                <w:b/>
                <w:bCs/>
                <w:color w:val="auto"/>
                <w:sz w:val="21"/>
                <w:szCs w:val="21"/>
                <w:lang w:val="en-US" w:eastAsia="zh-CN"/>
              </w:rPr>
              <w:t>2-6</w:t>
            </w:r>
            <w:r>
              <w:rPr>
                <w:rFonts w:ascii="Times New Roman" w:hAnsi="Times New Roman"/>
                <w:b/>
                <w:bCs/>
                <w:color w:val="auto"/>
                <w:sz w:val="21"/>
                <w:szCs w:val="21"/>
              </w:rPr>
              <w:t xml:space="preserve">  营运期主要污染工序一览表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4"/>
              <w:gridCol w:w="868"/>
              <w:gridCol w:w="1947"/>
              <w:gridCol w:w="2407"/>
              <w:gridCol w:w="2438"/>
            </w:tblGrid>
            <w:tr w14:paraId="078D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shd w:val="clear" w:color="auto" w:fill="auto"/>
                  <w:noWrap w:val="0"/>
                  <w:vAlign w:val="center"/>
                </w:tcPr>
                <w:p w14:paraId="1CB59E2F">
                  <w:pPr>
                    <w:jc w:val="center"/>
                    <w:rPr>
                      <w:rFonts w:ascii="Times New Roman" w:hAnsi="Times New Roman"/>
                      <w:b/>
                      <w:bCs/>
                      <w:color w:val="auto"/>
                      <w:sz w:val="21"/>
                      <w:szCs w:val="21"/>
                    </w:rPr>
                  </w:pPr>
                  <w:bookmarkStart w:id="5" w:name="_Toc12601"/>
                  <w:r>
                    <w:rPr>
                      <w:rFonts w:ascii="Times New Roman" w:hAnsi="Times New Roman"/>
                      <w:b/>
                      <w:bCs/>
                      <w:color w:val="auto"/>
                      <w:sz w:val="21"/>
                      <w:szCs w:val="21"/>
                    </w:rPr>
                    <w:t>污染类别</w:t>
                  </w:r>
                </w:p>
              </w:tc>
              <w:tc>
                <w:tcPr>
                  <w:tcW w:w="868" w:type="dxa"/>
                  <w:shd w:val="clear" w:color="auto" w:fill="auto"/>
                  <w:noWrap w:val="0"/>
                  <w:vAlign w:val="center"/>
                </w:tcPr>
                <w:p w14:paraId="25913526">
                  <w:pPr>
                    <w:jc w:val="center"/>
                    <w:rPr>
                      <w:rFonts w:ascii="Times New Roman" w:hAnsi="Times New Roman"/>
                      <w:b/>
                      <w:bCs/>
                      <w:color w:val="auto"/>
                      <w:sz w:val="21"/>
                      <w:szCs w:val="21"/>
                    </w:rPr>
                  </w:pPr>
                  <w:r>
                    <w:rPr>
                      <w:rFonts w:ascii="Times New Roman" w:hAnsi="Times New Roman"/>
                      <w:b/>
                      <w:bCs/>
                      <w:color w:val="auto"/>
                      <w:sz w:val="21"/>
                      <w:szCs w:val="21"/>
                    </w:rPr>
                    <w:t>编号</w:t>
                  </w:r>
                </w:p>
              </w:tc>
              <w:tc>
                <w:tcPr>
                  <w:tcW w:w="1947" w:type="dxa"/>
                  <w:shd w:val="clear" w:color="auto" w:fill="auto"/>
                  <w:noWrap w:val="0"/>
                  <w:vAlign w:val="center"/>
                </w:tcPr>
                <w:p w14:paraId="4216E490">
                  <w:pPr>
                    <w:jc w:val="center"/>
                    <w:rPr>
                      <w:rFonts w:ascii="Times New Roman" w:hAnsi="Times New Roman"/>
                      <w:b/>
                      <w:bCs/>
                      <w:color w:val="auto"/>
                      <w:sz w:val="21"/>
                      <w:szCs w:val="21"/>
                    </w:rPr>
                  </w:pPr>
                  <w:r>
                    <w:rPr>
                      <w:rFonts w:ascii="Times New Roman" w:hAnsi="Times New Roman"/>
                      <w:b/>
                      <w:bCs/>
                      <w:color w:val="auto"/>
                      <w:sz w:val="21"/>
                      <w:szCs w:val="21"/>
                    </w:rPr>
                    <w:t>污染源名称</w:t>
                  </w:r>
                </w:p>
              </w:tc>
              <w:tc>
                <w:tcPr>
                  <w:tcW w:w="2407" w:type="dxa"/>
                  <w:shd w:val="clear" w:color="auto" w:fill="auto"/>
                  <w:noWrap w:val="0"/>
                  <w:vAlign w:val="center"/>
                </w:tcPr>
                <w:p w14:paraId="1C2A1A64">
                  <w:pPr>
                    <w:jc w:val="center"/>
                    <w:rPr>
                      <w:rFonts w:ascii="Times New Roman" w:hAnsi="Times New Roman"/>
                      <w:b/>
                      <w:bCs/>
                      <w:color w:val="auto"/>
                      <w:sz w:val="21"/>
                      <w:szCs w:val="21"/>
                    </w:rPr>
                  </w:pPr>
                  <w:r>
                    <w:rPr>
                      <w:rFonts w:ascii="Times New Roman" w:hAnsi="Times New Roman"/>
                      <w:b/>
                      <w:bCs/>
                      <w:color w:val="auto"/>
                      <w:sz w:val="21"/>
                      <w:szCs w:val="21"/>
                    </w:rPr>
                    <w:t>产生工序</w:t>
                  </w:r>
                </w:p>
              </w:tc>
              <w:tc>
                <w:tcPr>
                  <w:tcW w:w="2438" w:type="dxa"/>
                  <w:shd w:val="clear" w:color="auto" w:fill="auto"/>
                  <w:noWrap w:val="0"/>
                  <w:vAlign w:val="center"/>
                </w:tcPr>
                <w:p w14:paraId="4FEAC79A">
                  <w:pPr>
                    <w:jc w:val="center"/>
                    <w:rPr>
                      <w:rFonts w:ascii="Times New Roman" w:hAnsi="Times New Roman"/>
                      <w:b/>
                      <w:bCs/>
                      <w:color w:val="auto"/>
                      <w:sz w:val="21"/>
                      <w:szCs w:val="21"/>
                    </w:rPr>
                  </w:pPr>
                  <w:r>
                    <w:rPr>
                      <w:rFonts w:ascii="Times New Roman" w:hAnsi="Times New Roman"/>
                      <w:b/>
                      <w:bCs/>
                      <w:color w:val="auto"/>
                      <w:sz w:val="21"/>
                      <w:szCs w:val="21"/>
                    </w:rPr>
                    <w:t>主要污染因子</w:t>
                  </w:r>
                </w:p>
              </w:tc>
            </w:tr>
            <w:tr w14:paraId="71D6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restart"/>
                  <w:shd w:val="clear" w:color="auto" w:fill="auto"/>
                  <w:noWrap w:val="0"/>
                  <w:vAlign w:val="center"/>
                </w:tcPr>
                <w:p w14:paraId="445CC0F2">
                  <w:pPr>
                    <w:jc w:val="center"/>
                    <w:rPr>
                      <w:rFonts w:ascii="Times New Roman" w:hAnsi="Times New Roman"/>
                      <w:color w:val="FF0000"/>
                      <w:sz w:val="21"/>
                      <w:szCs w:val="21"/>
                    </w:rPr>
                  </w:pPr>
                  <w:r>
                    <w:rPr>
                      <w:rFonts w:ascii="Times New Roman" w:hAnsi="Times New Roman"/>
                      <w:color w:val="auto"/>
                      <w:sz w:val="21"/>
                      <w:szCs w:val="21"/>
                    </w:rPr>
                    <w:t>废气</w:t>
                  </w:r>
                </w:p>
              </w:tc>
              <w:tc>
                <w:tcPr>
                  <w:tcW w:w="868" w:type="dxa"/>
                  <w:shd w:val="clear" w:color="auto" w:fill="auto"/>
                  <w:noWrap w:val="0"/>
                  <w:vAlign w:val="center"/>
                </w:tcPr>
                <w:p w14:paraId="21CEE828">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YG</w:t>
                  </w:r>
                  <w:r>
                    <w:rPr>
                      <w:rFonts w:hint="eastAsia" w:ascii="Times New Roman" w:hAnsi="Times New Roman"/>
                      <w:color w:val="auto"/>
                      <w:sz w:val="21"/>
                      <w:szCs w:val="21"/>
                      <w:lang w:val="en-US" w:eastAsia="zh-CN"/>
                    </w:rPr>
                    <w:t>1</w:t>
                  </w:r>
                </w:p>
              </w:tc>
              <w:tc>
                <w:tcPr>
                  <w:tcW w:w="1947" w:type="dxa"/>
                  <w:shd w:val="clear" w:color="auto" w:fill="auto"/>
                  <w:noWrap w:val="0"/>
                  <w:vAlign w:val="center"/>
                </w:tcPr>
                <w:p w14:paraId="5894CC8A">
                  <w:pPr>
                    <w:jc w:val="center"/>
                    <w:rPr>
                      <w:rFonts w:hint="default"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焊锡废气</w:t>
                  </w:r>
                </w:p>
              </w:tc>
              <w:tc>
                <w:tcPr>
                  <w:tcW w:w="2407" w:type="dxa"/>
                  <w:shd w:val="clear" w:color="auto" w:fill="auto"/>
                  <w:noWrap w:val="0"/>
                  <w:vAlign w:val="center"/>
                </w:tcPr>
                <w:p w14:paraId="6B916B8A">
                  <w:pPr>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焊接工艺</w:t>
                  </w:r>
                </w:p>
              </w:tc>
              <w:tc>
                <w:tcPr>
                  <w:tcW w:w="2438" w:type="dxa"/>
                  <w:shd w:val="clear" w:color="auto" w:fill="auto"/>
                  <w:noWrap w:val="0"/>
                  <w:vAlign w:val="center"/>
                </w:tcPr>
                <w:p w14:paraId="1BCE4E38">
                  <w:pPr>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非甲烷总烃、臭气浓度、颗粒物、锡及其化合物</w:t>
                  </w:r>
                </w:p>
              </w:tc>
            </w:tr>
            <w:tr w14:paraId="14AF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1B3771C0">
                  <w:pPr>
                    <w:jc w:val="center"/>
                    <w:rPr>
                      <w:rFonts w:ascii="Times New Roman" w:hAnsi="Times New Roman"/>
                      <w:color w:val="auto"/>
                      <w:sz w:val="21"/>
                      <w:szCs w:val="21"/>
                    </w:rPr>
                  </w:pPr>
                </w:p>
              </w:tc>
              <w:tc>
                <w:tcPr>
                  <w:tcW w:w="868" w:type="dxa"/>
                  <w:shd w:val="clear" w:color="auto" w:fill="auto"/>
                  <w:noWrap w:val="0"/>
                  <w:vAlign w:val="center"/>
                </w:tcPr>
                <w:p w14:paraId="117FA5AE">
                  <w:pPr>
                    <w:jc w:val="center"/>
                    <w:rPr>
                      <w:rFonts w:ascii="Times New Roman" w:hAnsi="Times New Roman"/>
                      <w:color w:val="auto"/>
                      <w:sz w:val="21"/>
                      <w:szCs w:val="21"/>
                    </w:rPr>
                  </w:pPr>
                  <w:r>
                    <w:rPr>
                      <w:rFonts w:ascii="Times New Roman" w:hAnsi="Times New Roman"/>
                      <w:color w:val="auto"/>
                      <w:sz w:val="21"/>
                      <w:szCs w:val="21"/>
                    </w:rPr>
                    <w:t>YG</w:t>
                  </w:r>
                  <w:r>
                    <w:rPr>
                      <w:rFonts w:hint="eastAsia" w:ascii="Times New Roman" w:hAnsi="Times New Roman"/>
                      <w:color w:val="auto"/>
                      <w:sz w:val="21"/>
                      <w:szCs w:val="21"/>
                      <w:lang w:val="en-US" w:eastAsia="zh-CN"/>
                    </w:rPr>
                    <w:t>2</w:t>
                  </w:r>
                </w:p>
              </w:tc>
              <w:tc>
                <w:tcPr>
                  <w:tcW w:w="1947" w:type="dxa"/>
                  <w:shd w:val="clear" w:color="auto" w:fill="auto"/>
                  <w:noWrap w:val="0"/>
                  <w:vAlign w:val="center"/>
                </w:tcPr>
                <w:p w14:paraId="4141A26A">
                  <w:pPr>
                    <w:jc w:val="center"/>
                    <w:rPr>
                      <w:rFonts w:hint="default"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清洗废气</w:t>
                  </w:r>
                </w:p>
              </w:tc>
              <w:tc>
                <w:tcPr>
                  <w:tcW w:w="2407" w:type="dxa"/>
                  <w:shd w:val="clear" w:color="auto" w:fill="auto"/>
                  <w:noWrap w:val="0"/>
                  <w:vAlign w:val="center"/>
                </w:tcPr>
                <w:p w14:paraId="191E5795">
                  <w:pPr>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超声波清洗</w:t>
                  </w:r>
                </w:p>
              </w:tc>
              <w:tc>
                <w:tcPr>
                  <w:tcW w:w="2438" w:type="dxa"/>
                  <w:shd w:val="clear" w:color="auto" w:fill="auto"/>
                  <w:noWrap w:val="0"/>
                  <w:vAlign w:val="center"/>
                </w:tcPr>
                <w:p w14:paraId="2C72B656">
                  <w:pPr>
                    <w:jc w:val="center"/>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非甲烷总烃、臭气浓度、</w:t>
                  </w:r>
                </w:p>
              </w:tc>
            </w:tr>
            <w:tr w14:paraId="00D2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060D6957">
                  <w:pPr>
                    <w:jc w:val="center"/>
                    <w:rPr>
                      <w:rFonts w:ascii="Times New Roman" w:hAnsi="Times New Roman"/>
                      <w:color w:val="FF0000"/>
                      <w:sz w:val="21"/>
                      <w:szCs w:val="21"/>
                    </w:rPr>
                  </w:pPr>
                </w:p>
              </w:tc>
              <w:tc>
                <w:tcPr>
                  <w:tcW w:w="868" w:type="dxa"/>
                  <w:shd w:val="clear" w:color="auto" w:fill="auto"/>
                  <w:noWrap w:val="0"/>
                  <w:vAlign w:val="center"/>
                </w:tcPr>
                <w:p w14:paraId="3F1D7C5B">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YG</w:t>
                  </w:r>
                  <w:r>
                    <w:rPr>
                      <w:rFonts w:hint="eastAsia" w:ascii="Times New Roman" w:hAnsi="Times New Roman"/>
                      <w:color w:val="auto"/>
                      <w:sz w:val="21"/>
                      <w:szCs w:val="21"/>
                      <w:lang w:val="en-US" w:eastAsia="zh-CN"/>
                    </w:rPr>
                    <w:t>3</w:t>
                  </w:r>
                </w:p>
              </w:tc>
              <w:tc>
                <w:tcPr>
                  <w:tcW w:w="1947" w:type="dxa"/>
                  <w:shd w:val="clear" w:color="auto" w:fill="auto"/>
                  <w:noWrap w:val="0"/>
                  <w:vAlign w:val="center"/>
                </w:tcPr>
                <w:p w14:paraId="7AC21863">
                  <w:pPr>
                    <w:jc w:val="center"/>
                    <w:rPr>
                      <w:rFonts w:hint="eastAsia"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塑封废气</w:t>
                  </w:r>
                </w:p>
              </w:tc>
              <w:tc>
                <w:tcPr>
                  <w:tcW w:w="2407" w:type="dxa"/>
                  <w:shd w:val="clear" w:color="auto" w:fill="auto"/>
                  <w:noWrap w:val="0"/>
                  <w:vAlign w:val="center"/>
                </w:tcPr>
                <w:p w14:paraId="35E367C6">
                  <w:pPr>
                    <w:jc w:val="center"/>
                    <w:rPr>
                      <w:rFonts w:hint="default" w:ascii="Times New Roman" w:hAnsi="Times New Roman"/>
                      <w:color w:val="FF0000"/>
                      <w:sz w:val="21"/>
                      <w:szCs w:val="21"/>
                      <w:highlight w:val="none"/>
                      <w:lang w:val="en-US" w:eastAsia="zh-CN"/>
                    </w:rPr>
                  </w:pPr>
                  <w:r>
                    <w:rPr>
                      <w:rFonts w:hint="eastAsia" w:ascii="Times New Roman" w:hAnsi="Times New Roman"/>
                      <w:color w:val="auto"/>
                      <w:sz w:val="21"/>
                      <w:szCs w:val="21"/>
                      <w:highlight w:val="none"/>
                      <w:lang w:val="en-US" w:eastAsia="zh-CN"/>
                    </w:rPr>
                    <w:t>塑封工艺</w:t>
                  </w:r>
                </w:p>
              </w:tc>
              <w:tc>
                <w:tcPr>
                  <w:tcW w:w="2438" w:type="dxa"/>
                  <w:shd w:val="clear" w:color="auto" w:fill="auto"/>
                  <w:noWrap w:val="0"/>
                  <w:vAlign w:val="center"/>
                </w:tcPr>
                <w:p w14:paraId="58AB7544">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color w:val="auto"/>
                      <w:sz w:val="21"/>
                      <w:szCs w:val="21"/>
                      <w:highlight w:val="none"/>
                      <w:lang w:val="en-US" w:eastAsia="zh-CN"/>
                    </w:rPr>
                    <w:t>非甲烷总烃、臭气浓度、苯乙烯</w:t>
                  </w:r>
                </w:p>
              </w:tc>
            </w:tr>
            <w:tr w14:paraId="7D1E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275076C6">
                  <w:pPr>
                    <w:jc w:val="center"/>
                    <w:rPr>
                      <w:rFonts w:ascii="Times New Roman" w:hAnsi="Times New Roman"/>
                      <w:color w:val="FF0000"/>
                      <w:sz w:val="21"/>
                      <w:szCs w:val="21"/>
                    </w:rPr>
                  </w:pPr>
                </w:p>
              </w:tc>
              <w:tc>
                <w:tcPr>
                  <w:tcW w:w="868" w:type="dxa"/>
                  <w:shd w:val="clear" w:color="auto" w:fill="auto"/>
                  <w:noWrap w:val="0"/>
                  <w:vAlign w:val="center"/>
                </w:tcPr>
                <w:p w14:paraId="01159C01">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YG</w:t>
                  </w:r>
                  <w:r>
                    <w:rPr>
                      <w:rFonts w:hint="eastAsia" w:ascii="Times New Roman" w:hAnsi="Times New Roman"/>
                      <w:color w:val="auto"/>
                      <w:sz w:val="21"/>
                      <w:szCs w:val="21"/>
                      <w:lang w:val="en-US" w:eastAsia="zh-CN"/>
                    </w:rPr>
                    <w:t>4</w:t>
                  </w:r>
                </w:p>
              </w:tc>
              <w:tc>
                <w:tcPr>
                  <w:tcW w:w="1947" w:type="dxa"/>
                  <w:shd w:val="clear" w:color="auto" w:fill="auto"/>
                  <w:noWrap w:val="0"/>
                  <w:vAlign w:val="center"/>
                </w:tcPr>
                <w:p w14:paraId="504A3671">
                  <w:pPr>
                    <w:jc w:val="center"/>
                    <w:rPr>
                      <w:rFonts w:hint="default"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食堂油烟废气</w:t>
                  </w:r>
                </w:p>
              </w:tc>
              <w:tc>
                <w:tcPr>
                  <w:tcW w:w="2407" w:type="dxa"/>
                  <w:shd w:val="clear" w:color="auto" w:fill="auto"/>
                  <w:noWrap w:val="0"/>
                  <w:vAlign w:val="center"/>
                </w:tcPr>
                <w:p w14:paraId="4FB6E2C8">
                  <w:pPr>
                    <w:jc w:val="center"/>
                    <w:rPr>
                      <w:rFonts w:hint="default" w:ascii="Times New Roman" w:hAnsi="Times New Roman"/>
                      <w:color w:val="FF0000"/>
                      <w:sz w:val="21"/>
                      <w:szCs w:val="21"/>
                      <w:highlight w:val="none"/>
                      <w:lang w:val="en-US" w:eastAsia="zh-CN"/>
                    </w:rPr>
                  </w:pPr>
                  <w:r>
                    <w:rPr>
                      <w:rFonts w:hint="eastAsia" w:ascii="Times New Roman" w:hAnsi="Times New Roman"/>
                      <w:color w:val="auto"/>
                      <w:sz w:val="21"/>
                      <w:szCs w:val="21"/>
                      <w:highlight w:val="none"/>
                      <w:lang w:val="en-US" w:eastAsia="zh-CN"/>
                    </w:rPr>
                    <w:t>厨房烹饪</w:t>
                  </w:r>
                </w:p>
              </w:tc>
              <w:tc>
                <w:tcPr>
                  <w:tcW w:w="2438" w:type="dxa"/>
                  <w:shd w:val="clear" w:color="auto" w:fill="auto"/>
                  <w:noWrap w:val="0"/>
                  <w:vAlign w:val="center"/>
                </w:tcPr>
                <w:p w14:paraId="6F6CE306">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auto"/>
                      <w:sz w:val="21"/>
                      <w:szCs w:val="21"/>
                      <w:lang w:val="en-US" w:eastAsia="zh-CN"/>
                    </w:rPr>
                    <w:t>油烟</w:t>
                  </w:r>
                </w:p>
              </w:tc>
            </w:tr>
            <w:tr w14:paraId="3212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restart"/>
                  <w:shd w:val="clear" w:color="auto" w:fill="auto"/>
                  <w:noWrap w:val="0"/>
                  <w:vAlign w:val="center"/>
                </w:tcPr>
                <w:p w14:paraId="66EA7F51">
                  <w:pPr>
                    <w:jc w:val="center"/>
                    <w:rPr>
                      <w:rFonts w:ascii="Times New Roman" w:hAnsi="Times New Roman"/>
                      <w:color w:val="auto"/>
                      <w:sz w:val="21"/>
                      <w:szCs w:val="21"/>
                    </w:rPr>
                  </w:pPr>
                  <w:r>
                    <w:rPr>
                      <w:rFonts w:ascii="Times New Roman" w:hAnsi="Times New Roman"/>
                      <w:color w:val="auto"/>
                      <w:sz w:val="21"/>
                      <w:szCs w:val="21"/>
                    </w:rPr>
                    <w:t>废水</w:t>
                  </w:r>
                </w:p>
              </w:tc>
              <w:tc>
                <w:tcPr>
                  <w:tcW w:w="868" w:type="dxa"/>
                  <w:shd w:val="clear" w:color="auto" w:fill="auto"/>
                  <w:noWrap w:val="0"/>
                  <w:vAlign w:val="center"/>
                </w:tcPr>
                <w:p w14:paraId="566B8656">
                  <w:pPr>
                    <w:jc w:val="center"/>
                    <w:rPr>
                      <w:rFonts w:ascii="Times New Roman" w:hAnsi="Times New Roman"/>
                      <w:color w:val="auto"/>
                      <w:sz w:val="21"/>
                      <w:szCs w:val="21"/>
                    </w:rPr>
                  </w:pPr>
                  <w:r>
                    <w:rPr>
                      <w:rFonts w:ascii="Times New Roman" w:hAnsi="Times New Roman"/>
                      <w:color w:val="auto"/>
                      <w:sz w:val="21"/>
                      <w:szCs w:val="21"/>
                    </w:rPr>
                    <w:t>YW1</w:t>
                  </w:r>
                </w:p>
              </w:tc>
              <w:tc>
                <w:tcPr>
                  <w:tcW w:w="1947" w:type="dxa"/>
                  <w:shd w:val="clear" w:color="auto" w:fill="auto"/>
                  <w:noWrap w:val="0"/>
                  <w:vAlign w:val="center"/>
                </w:tcPr>
                <w:p w14:paraId="7242C493">
                  <w:pPr>
                    <w:jc w:val="center"/>
                    <w:rPr>
                      <w:rFonts w:ascii="Times New Roman" w:hAnsi="Times New Roman"/>
                      <w:color w:val="auto"/>
                      <w:sz w:val="21"/>
                      <w:szCs w:val="21"/>
                    </w:rPr>
                  </w:pPr>
                  <w:r>
                    <w:rPr>
                      <w:rFonts w:ascii="Times New Roman" w:hAnsi="Times New Roman"/>
                      <w:color w:val="auto"/>
                      <w:sz w:val="21"/>
                      <w:szCs w:val="21"/>
                    </w:rPr>
                    <w:t>生活污水</w:t>
                  </w:r>
                </w:p>
              </w:tc>
              <w:tc>
                <w:tcPr>
                  <w:tcW w:w="2407" w:type="dxa"/>
                  <w:shd w:val="clear" w:color="auto" w:fill="auto"/>
                  <w:noWrap w:val="0"/>
                  <w:vAlign w:val="center"/>
                </w:tcPr>
                <w:p w14:paraId="20E2CBE0">
                  <w:pPr>
                    <w:jc w:val="center"/>
                    <w:rPr>
                      <w:rFonts w:ascii="Times New Roman" w:hAnsi="Times New Roman"/>
                      <w:color w:val="auto"/>
                      <w:sz w:val="21"/>
                      <w:szCs w:val="21"/>
                      <w:lang w:val="zh-CN"/>
                    </w:rPr>
                  </w:pPr>
                  <w:r>
                    <w:rPr>
                      <w:rFonts w:ascii="Times New Roman" w:hAnsi="Times New Roman"/>
                      <w:color w:val="auto"/>
                      <w:sz w:val="21"/>
                      <w:szCs w:val="21"/>
                    </w:rPr>
                    <w:t>职工生活</w:t>
                  </w:r>
                </w:p>
              </w:tc>
              <w:tc>
                <w:tcPr>
                  <w:tcW w:w="2438" w:type="dxa"/>
                  <w:shd w:val="clear" w:color="auto" w:fill="auto"/>
                  <w:noWrap w:val="0"/>
                  <w:vAlign w:val="center"/>
                </w:tcPr>
                <w:p w14:paraId="30015EFD">
                  <w:pPr>
                    <w:jc w:val="center"/>
                    <w:rPr>
                      <w:rFonts w:ascii="Times New Roman" w:hAnsi="Times New Roman"/>
                      <w:color w:val="auto"/>
                      <w:sz w:val="21"/>
                      <w:szCs w:val="21"/>
                    </w:rPr>
                  </w:pPr>
                  <w:r>
                    <w:rPr>
                      <w:rFonts w:ascii="Times New Roman" w:hAnsi="Times New Roman"/>
                      <w:color w:val="auto"/>
                      <w:sz w:val="21"/>
                      <w:szCs w:val="21"/>
                    </w:rPr>
                    <w:t>COD</w:t>
                  </w:r>
                  <w:r>
                    <w:rPr>
                      <w:rFonts w:ascii="Times New Roman" w:hAnsi="Times New Roman"/>
                      <w:color w:val="auto"/>
                      <w:sz w:val="21"/>
                      <w:szCs w:val="21"/>
                      <w:vertAlign w:val="subscript"/>
                    </w:rPr>
                    <w:t>Cr</w:t>
                  </w:r>
                  <w:r>
                    <w:rPr>
                      <w:rFonts w:ascii="Times New Roman" w:hAnsi="Times New Roman"/>
                      <w:color w:val="auto"/>
                      <w:sz w:val="21"/>
                      <w:szCs w:val="21"/>
                    </w:rPr>
                    <w:t>、NH</w:t>
                  </w:r>
                  <w:r>
                    <w:rPr>
                      <w:rFonts w:ascii="Times New Roman" w:hAnsi="Times New Roman"/>
                      <w:color w:val="auto"/>
                      <w:sz w:val="21"/>
                      <w:szCs w:val="21"/>
                      <w:vertAlign w:val="subscript"/>
                    </w:rPr>
                    <w:t>3</w:t>
                  </w:r>
                  <w:r>
                    <w:rPr>
                      <w:rFonts w:ascii="Times New Roman" w:hAnsi="Times New Roman"/>
                      <w:color w:val="auto"/>
                      <w:sz w:val="21"/>
                      <w:szCs w:val="21"/>
                    </w:rPr>
                    <w:t>-N</w:t>
                  </w:r>
                </w:p>
              </w:tc>
            </w:tr>
            <w:tr w14:paraId="5834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55E5FFBC">
                  <w:pPr>
                    <w:jc w:val="center"/>
                    <w:rPr>
                      <w:rFonts w:ascii="Times New Roman" w:hAnsi="Times New Roman"/>
                      <w:color w:val="auto"/>
                      <w:sz w:val="21"/>
                      <w:szCs w:val="21"/>
                    </w:rPr>
                  </w:pPr>
                </w:p>
              </w:tc>
              <w:tc>
                <w:tcPr>
                  <w:tcW w:w="868" w:type="dxa"/>
                  <w:shd w:val="clear" w:color="auto" w:fill="auto"/>
                  <w:noWrap w:val="0"/>
                  <w:vAlign w:val="center"/>
                </w:tcPr>
                <w:p w14:paraId="59A23BCE">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YW</w:t>
                  </w:r>
                  <w:r>
                    <w:rPr>
                      <w:rFonts w:hint="eastAsia" w:ascii="Times New Roman" w:hAnsi="Times New Roman"/>
                      <w:color w:val="auto"/>
                      <w:sz w:val="21"/>
                      <w:szCs w:val="21"/>
                      <w:lang w:val="en-US" w:eastAsia="zh-CN"/>
                    </w:rPr>
                    <w:t>2</w:t>
                  </w:r>
                </w:p>
              </w:tc>
              <w:tc>
                <w:tcPr>
                  <w:tcW w:w="1947" w:type="dxa"/>
                  <w:shd w:val="clear" w:color="auto" w:fill="auto"/>
                  <w:noWrap w:val="0"/>
                  <w:vAlign w:val="center"/>
                </w:tcPr>
                <w:p w14:paraId="62FB83E9">
                  <w:pPr>
                    <w:jc w:val="center"/>
                    <w:rPr>
                      <w:rFonts w:hint="default" w:ascii="Times New Roman" w:hAnsi="Times New Roman" w:eastAsiaTheme="minorEastAsia"/>
                      <w:color w:val="FF0000"/>
                      <w:sz w:val="21"/>
                      <w:szCs w:val="21"/>
                      <w:lang w:val="en-US" w:eastAsia="zh-CN"/>
                    </w:rPr>
                  </w:pPr>
                  <w:r>
                    <w:rPr>
                      <w:rFonts w:hint="eastAsia" w:ascii="Times New Roman" w:hAnsi="Times New Roman"/>
                      <w:color w:val="auto"/>
                      <w:sz w:val="21"/>
                      <w:szCs w:val="21"/>
                      <w:lang w:val="en-US" w:eastAsia="zh-CN"/>
                    </w:rPr>
                    <w:t>冷却水</w:t>
                  </w:r>
                </w:p>
              </w:tc>
              <w:tc>
                <w:tcPr>
                  <w:tcW w:w="2407" w:type="dxa"/>
                  <w:shd w:val="clear" w:color="auto" w:fill="auto"/>
                  <w:noWrap w:val="0"/>
                  <w:vAlign w:val="center"/>
                </w:tcPr>
                <w:p w14:paraId="406EBA6E">
                  <w:pPr>
                    <w:jc w:val="center"/>
                    <w:rPr>
                      <w:rFonts w:hint="default" w:ascii="Times New Roman" w:hAnsi="Times New Roman" w:eastAsiaTheme="minorEastAsia"/>
                      <w:color w:val="FF0000"/>
                      <w:sz w:val="21"/>
                      <w:szCs w:val="21"/>
                      <w:lang w:val="en-US" w:eastAsia="zh-CN"/>
                    </w:rPr>
                  </w:pPr>
                  <w:r>
                    <w:rPr>
                      <w:rFonts w:hint="eastAsia" w:ascii="Times New Roman" w:hAnsi="Times New Roman"/>
                      <w:color w:val="auto"/>
                      <w:sz w:val="21"/>
                      <w:szCs w:val="21"/>
                      <w:lang w:val="en-US" w:eastAsia="zh-CN"/>
                    </w:rPr>
                    <w:t>注塑机冷却</w:t>
                  </w:r>
                </w:p>
              </w:tc>
              <w:tc>
                <w:tcPr>
                  <w:tcW w:w="2438" w:type="dxa"/>
                  <w:shd w:val="clear" w:color="auto" w:fill="auto"/>
                  <w:noWrap w:val="0"/>
                  <w:vAlign w:val="center"/>
                </w:tcPr>
                <w:p w14:paraId="2B573437">
                  <w:pPr>
                    <w:jc w:val="center"/>
                    <w:rPr>
                      <w:rFonts w:hint="default" w:ascii="Times New Roman" w:hAnsi="Times New Roman" w:eastAsiaTheme="minorEastAsia"/>
                      <w:color w:val="FF0000"/>
                      <w:sz w:val="21"/>
                      <w:szCs w:val="21"/>
                      <w:lang w:val="en-US" w:eastAsia="zh-CN"/>
                    </w:rPr>
                  </w:pPr>
                  <w:r>
                    <w:rPr>
                      <w:rFonts w:hint="eastAsia" w:ascii="Times New Roman" w:hAnsi="Times New Roman"/>
                      <w:color w:val="auto"/>
                      <w:sz w:val="21"/>
                      <w:szCs w:val="21"/>
                      <w:lang w:val="en-US" w:eastAsia="zh-CN"/>
                    </w:rPr>
                    <w:t>热量</w:t>
                  </w:r>
                </w:p>
              </w:tc>
            </w:tr>
            <w:tr w14:paraId="42A4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restart"/>
                  <w:shd w:val="clear" w:color="auto" w:fill="auto"/>
                  <w:noWrap w:val="0"/>
                  <w:vAlign w:val="center"/>
                </w:tcPr>
                <w:p w14:paraId="16DAD51D">
                  <w:pPr>
                    <w:jc w:val="center"/>
                    <w:rPr>
                      <w:rFonts w:ascii="Times New Roman" w:hAnsi="Times New Roman"/>
                      <w:color w:val="auto"/>
                      <w:sz w:val="21"/>
                      <w:szCs w:val="21"/>
                    </w:rPr>
                  </w:pPr>
                  <w:r>
                    <w:rPr>
                      <w:rFonts w:ascii="Times New Roman" w:hAnsi="Times New Roman"/>
                      <w:color w:val="auto"/>
                      <w:sz w:val="21"/>
                      <w:szCs w:val="21"/>
                    </w:rPr>
                    <w:t>固废</w:t>
                  </w:r>
                </w:p>
              </w:tc>
              <w:tc>
                <w:tcPr>
                  <w:tcW w:w="868" w:type="dxa"/>
                  <w:shd w:val="clear" w:color="auto" w:fill="auto"/>
                  <w:noWrap w:val="0"/>
                  <w:vAlign w:val="center"/>
                </w:tcPr>
                <w:p w14:paraId="2DA2D565">
                  <w:pPr>
                    <w:jc w:val="center"/>
                    <w:rPr>
                      <w:rFonts w:ascii="Times New Roman" w:hAnsi="Times New Roman"/>
                      <w:color w:val="auto"/>
                      <w:sz w:val="21"/>
                      <w:szCs w:val="21"/>
                    </w:rPr>
                  </w:pPr>
                  <w:r>
                    <w:rPr>
                      <w:rFonts w:ascii="Times New Roman" w:hAnsi="Times New Roman"/>
                      <w:color w:val="auto"/>
                      <w:sz w:val="21"/>
                      <w:szCs w:val="21"/>
                    </w:rPr>
                    <w:t>YS1</w:t>
                  </w:r>
                </w:p>
              </w:tc>
              <w:tc>
                <w:tcPr>
                  <w:tcW w:w="1947" w:type="dxa"/>
                  <w:shd w:val="clear" w:color="auto" w:fill="auto"/>
                  <w:noWrap w:val="0"/>
                  <w:vAlign w:val="center"/>
                </w:tcPr>
                <w:p w14:paraId="5787ADDE">
                  <w:pPr>
                    <w:jc w:val="center"/>
                    <w:rPr>
                      <w:rFonts w:ascii="Times New Roman" w:hAnsi="Times New Roman"/>
                      <w:color w:val="auto"/>
                      <w:sz w:val="21"/>
                      <w:szCs w:val="21"/>
                    </w:rPr>
                  </w:pPr>
                  <w:r>
                    <w:rPr>
                      <w:rFonts w:ascii="Times New Roman" w:hAnsi="Times New Roman"/>
                      <w:color w:val="auto"/>
                      <w:sz w:val="21"/>
                      <w:szCs w:val="21"/>
                    </w:rPr>
                    <w:t>生活固废</w:t>
                  </w:r>
                </w:p>
              </w:tc>
              <w:tc>
                <w:tcPr>
                  <w:tcW w:w="2407" w:type="dxa"/>
                  <w:shd w:val="clear" w:color="auto" w:fill="auto"/>
                  <w:noWrap w:val="0"/>
                  <w:vAlign w:val="center"/>
                </w:tcPr>
                <w:p w14:paraId="5B60A182">
                  <w:pPr>
                    <w:jc w:val="center"/>
                    <w:rPr>
                      <w:rFonts w:ascii="Times New Roman" w:hAnsi="Times New Roman"/>
                      <w:color w:val="auto"/>
                      <w:sz w:val="21"/>
                      <w:szCs w:val="21"/>
                    </w:rPr>
                  </w:pPr>
                  <w:r>
                    <w:rPr>
                      <w:rFonts w:ascii="Times New Roman" w:hAnsi="Times New Roman"/>
                      <w:color w:val="auto"/>
                      <w:sz w:val="21"/>
                      <w:szCs w:val="21"/>
                    </w:rPr>
                    <w:t>职工生活</w:t>
                  </w:r>
                </w:p>
              </w:tc>
              <w:tc>
                <w:tcPr>
                  <w:tcW w:w="2438" w:type="dxa"/>
                  <w:shd w:val="clear" w:color="auto" w:fill="auto"/>
                  <w:noWrap w:val="0"/>
                  <w:vAlign w:val="center"/>
                </w:tcPr>
                <w:p w14:paraId="6BD58A1A">
                  <w:pPr>
                    <w:jc w:val="center"/>
                    <w:rPr>
                      <w:rFonts w:ascii="Times New Roman" w:hAnsi="Times New Roman"/>
                      <w:color w:val="auto"/>
                      <w:sz w:val="21"/>
                      <w:szCs w:val="21"/>
                      <w:lang w:val="zh-CN"/>
                    </w:rPr>
                  </w:pPr>
                  <w:r>
                    <w:rPr>
                      <w:rFonts w:ascii="Times New Roman" w:hAnsi="Times New Roman"/>
                      <w:color w:val="auto"/>
                      <w:sz w:val="21"/>
                      <w:szCs w:val="21"/>
                    </w:rPr>
                    <w:t>生活垃圾</w:t>
                  </w:r>
                </w:p>
              </w:tc>
            </w:tr>
            <w:tr w14:paraId="134E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6F7C7537">
                  <w:pPr>
                    <w:jc w:val="center"/>
                    <w:rPr>
                      <w:rFonts w:ascii="Times New Roman" w:hAnsi="Times New Roman"/>
                      <w:color w:val="FF0000"/>
                      <w:sz w:val="21"/>
                      <w:szCs w:val="21"/>
                    </w:rPr>
                  </w:pPr>
                </w:p>
              </w:tc>
              <w:tc>
                <w:tcPr>
                  <w:tcW w:w="868" w:type="dxa"/>
                  <w:vMerge w:val="restart"/>
                  <w:shd w:val="clear" w:color="auto" w:fill="auto"/>
                  <w:noWrap w:val="0"/>
                  <w:vAlign w:val="center"/>
                </w:tcPr>
                <w:p w14:paraId="44A724DC">
                  <w:pPr>
                    <w:jc w:val="center"/>
                    <w:rPr>
                      <w:rFonts w:ascii="Times New Roman" w:hAnsi="Times New Roman"/>
                      <w:color w:val="auto"/>
                      <w:sz w:val="21"/>
                      <w:szCs w:val="21"/>
                    </w:rPr>
                  </w:pPr>
                  <w:r>
                    <w:rPr>
                      <w:rFonts w:ascii="Times New Roman" w:hAnsi="Times New Roman"/>
                      <w:color w:val="auto"/>
                      <w:sz w:val="21"/>
                      <w:szCs w:val="21"/>
                    </w:rPr>
                    <w:t>YS2</w:t>
                  </w:r>
                </w:p>
              </w:tc>
              <w:tc>
                <w:tcPr>
                  <w:tcW w:w="1947" w:type="dxa"/>
                  <w:vMerge w:val="restart"/>
                  <w:shd w:val="clear" w:color="auto" w:fill="auto"/>
                  <w:noWrap w:val="0"/>
                  <w:vAlign w:val="center"/>
                </w:tcPr>
                <w:p w14:paraId="13F123EC">
                  <w:pPr>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生产固废</w:t>
                  </w:r>
                </w:p>
              </w:tc>
              <w:tc>
                <w:tcPr>
                  <w:tcW w:w="2407" w:type="dxa"/>
                  <w:shd w:val="clear" w:color="auto" w:fill="auto"/>
                  <w:noWrap w:val="0"/>
                  <w:vAlign w:val="center"/>
                </w:tcPr>
                <w:p w14:paraId="4D782175">
                  <w:pPr>
                    <w:jc w:val="center"/>
                    <w:rPr>
                      <w:rFonts w:hint="default" w:ascii="Times New Roman" w:hAnsi="Times New Roman"/>
                      <w:color w:val="auto"/>
                      <w:sz w:val="21"/>
                      <w:szCs w:val="21"/>
                      <w:lang w:val="en-US"/>
                    </w:rPr>
                  </w:pPr>
                  <w:r>
                    <w:rPr>
                      <w:rFonts w:hint="eastAsia" w:ascii="Times New Roman" w:hAnsi="Times New Roman"/>
                      <w:color w:val="auto"/>
                      <w:sz w:val="21"/>
                      <w:szCs w:val="21"/>
                      <w:lang w:val="en-US" w:eastAsia="zh-CN"/>
                    </w:rPr>
                    <w:t>原料使用完毕</w:t>
                  </w:r>
                </w:p>
              </w:tc>
              <w:tc>
                <w:tcPr>
                  <w:tcW w:w="2438" w:type="dxa"/>
                  <w:shd w:val="clear" w:color="auto" w:fill="auto"/>
                  <w:noWrap w:val="0"/>
                  <w:vAlign w:val="center"/>
                </w:tcPr>
                <w:p w14:paraId="6CA2B438">
                  <w:pPr>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废包装材料</w:t>
                  </w:r>
                </w:p>
              </w:tc>
            </w:tr>
            <w:tr w14:paraId="52F7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48401A8A">
                  <w:pPr>
                    <w:jc w:val="center"/>
                    <w:rPr>
                      <w:rFonts w:ascii="Times New Roman" w:hAnsi="Times New Roman"/>
                      <w:color w:val="FF0000"/>
                      <w:sz w:val="21"/>
                      <w:szCs w:val="21"/>
                    </w:rPr>
                  </w:pPr>
                </w:p>
              </w:tc>
              <w:tc>
                <w:tcPr>
                  <w:tcW w:w="868" w:type="dxa"/>
                  <w:vMerge w:val="continue"/>
                  <w:shd w:val="clear" w:color="auto" w:fill="auto"/>
                  <w:noWrap w:val="0"/>
                  <w:vAlign w:val="center"/>
                </w:tcPr>
                <w:p w14:paraId="36A6A2BA">
                  <w:pPr>
                    <w:jc w:val="center"/>
                    <w:rPr>
                      <w:rFonts w:ascii="Times New Roman" w:hAnsi="Times New Roman"/>
                      <w:color w:val="FF0000"/>
                      <w:sz w:val="21"/>
                      <w:szCs w:val="21"/>
                    </w:rPr>
                  </w:pPr>
                </w:p>
              </w:tc>
              <w:tc>
                <w:tcPr>
                  <w:tcW w:w="1947" w:type="dxa"/>
                  <w:vMerge w:val="continue"/>
                  <w:shd w:val="clear" w:color="auto" w:fill="auto"/>
                  <w:noWrap w:val="0"/>
                  <w:vAlign w:val="center"/>
                </w:tcPr>
                <w:p w14:paraId="2065663E">
                  <w:pPr>
                    <w:jc w:val="center"/>
                    <w:rPr>
                      <w:rFonts w:ascii="Times New Roman" w:hAnsi="Times New Roman"/>
                      <w:color w:val="FF0000"/>
                      <w:sz w:val="21"/>
                      <w:szCs w:val="21"/>
                    </w:rPr>
                  </w:pPr>
                </w:p>
              </w:tc>
              <w:tc>
                <w:tcPr>
                  <w:tcW w:w="2407" w:type="dxa"/>
                  <w:shd w:val="clear" w:color="auto" w:fill="auto"/>
                  <w:noWrap w:val="0"/>
                  <w:vAlign w:val="center"/>
                </w:tcPr>
                <w:p w14:paraId="5148E4C7">
                  <w:pPr>
                    <w:jc w:val="center"/>
                    <w:rPr>
                      <w:rFonts w:hint="default" w:ascii="Times New Roman" w:hAnsi="Times New Roman" w:eastAsiaTheme="minorEastAsia"/>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注塑</w:t>
                  </w:r>
                </w:p>
              </w:tc>
              <w:tc>
                <w:tcPr>
                  <w:tcW w:w="2438" w:type="dxa"/>
                  <w:shd w:val="clear" w:color="auto" w:fill="auto"/>
                  <w:noWrap w:val="0"/>
                  <w:vAlign w:val="center"/>
                </w:tcPr>
                <w:p w14:paraId="1CC907C5">
                  <w:pPr>
                    <w:jc w:val="center"/>
                    <w:rPr>
                      <w:rFonts w:hint="default" w:ascii="Times New Roman" w:hAnsi="Times New Roman" w:eastAsiaTheme="minorEastAsia"/>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废塑料</w:t>
                  </w:r>
                </w:p>
              </w:tc>
            </w:tr>
            <w:tr w14:paraId="68C8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6444F97B">
                  <w:pPr>
                    <w:jc w:val="center"/>
                    <w:rPr>
                      <w:rFonts w:ascii="Times New Roman" w:hAnsi="Times New Roman"/>
                      <w:color w:val="FF0000"/>
                      <w:sz w:val="21"/>
                      <w:szCs w:val="21"/>
                    </w:rPr>
                  </w:pPr>
                </w:p>
              </w:tc>
              <w:tc>
                <w:tcPr>
                  <w:tcW w:w="868" w:type="dxa"/>
                  <w:vMerge w:val="continue"/>
                  <w:shd w:val="clear" w:color="auto" w:fill="auto"/>
                  <w:noWrap w:val="0"/>
                  <w:vAlign w:val="center"/>
                </w:tcPr>
                <w:p w14:paraId="75821A94">
                  <w:pPr>
                    <w:jc w:val="center"/>
                    <w:rPr>
                      <w:rFonts w:ascii="Times New Roman" w:hAnsi="Times New Roman"/>
                      <w:color w:val="FF0000"/>
                      <w:sz w:val="21"/>
                      <w:szCs w:val="21"/>
                    </w:rPr>
                  </w:pPr>
                </w:p>
              </w:tc>
              <w:tc>
                <w:tcPr>
                  <w:tcW w:w="1947" w:type="dxa"/>
                  <w:vMerge w:val="continue"/>
                  <w:shd w:val="clear" w:color="auto" w:fill="auto"/>
                  <w:noWrap w:val="0"/>
                  <w:vAlign w:val="center"/>
                </w:tcPr>
                <w:p w14:paraId="15C5F346">
                  <w:pPr>
                    <w:jc w:val="center"/>
                    <w:rPr>
                      <w:rFonts w:ascii="Times New Roman" w:hAnsi="Times New Roman"/>
                      <w:color w:val="FF0000"/>
                      <w:sz w:val="21"/>
                      <w:szCs w:val="21"/>
                    </w:rPr>
                  </w:pPr>
                </w:p>
              </w:tc>
              <w:tc>
                <w:tcPr>
                  <w:tcW w:w="2407" w:type="dxa"/>
                  <w:shd w:val="clear" w:color="auto" w:fill="auto"/>
                  <w:noWrap w:val="0"/>
                  <w:vAlign w:val="center"/>
                </w:tcPr>
                <w:p w14:paraId="2ABB99B4">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焊锡</w:t>
                  </w:r>
                </w:p>
              </w:tc>
              <w:tc>
                <w:tcPr>
                  <w:tcW w:w="2438" w:type="dxa"/>
                  <w:shd w:val="clear" w:color="auto" w:fill="auto"/>
                  <w:noWrap w:val="0"/>
                  <w:vAlign w:val="center"/>
                </w:tcPr>
                <w:p w14:paraId="5EFD25F2">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焊渣</w:t>
                  </w:r>
                </w:p>
              </w:tc>
            </w:tr>
            <w:tr w14:paraId="79C5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6041A755">
                  <w:pPr>
                    <w:jc w:val="center"/>
                    <w:rPr>
                      <w:rFonts w:ascii="Times New Roman" w:hAnsi="Times New Roman"/>
                      <w:color w:val="FF0000"/>
                      <w:sz w:val="21"/>
                      <w:szCs w:val="21"/>
                    </w:rPr>
                  </w:pPr>
                </w:p>
              </w:tc>
              <w:tc>
                <w:tcPr>
                  <w:tcW w:w="868" w:type="dxa"/>
                  <w:vMerge w:val="continue"/>
                  <w:shd w:val="clear" w:color="auto" w:fill="auto"/>
                  <w:noWrap w:val="0"/>
                  <w:vAlign w:val="center"/>
                </w:tcPr>
                <w:p w14:paraId="50407AB1">
                  <w:pPr>
                    <w:jc w:val="center"/>
                    <w:rPr>
                      <w:rFonts w:ascii="Times New Roman" w:hAnsi="Times New Roman"/>
                      <w:color w:val="FF0000"/>
                      <w:sz w:val="21"/>
                      <w:szCs w:val="21"/>
                    </w:rPr>
                  </w:pPr>
                </w:p>
              </w:tc>
              <w:tc>
                <w:tcPr>
                  <w:tcW w:w="1947" w:type="dxa"/>
                  <w:vMerge w:val="continue"/>
                  <w:shd w:val="clear" w:color="auto" w:fill="auto"/>
                  <w:noWrap w:val="0"/>
                  <w:vAlign w:val="center"/>
                </w:tcPr>
                <w:p w14:paraId="7A6F1B8D">
                  <w:pPr>
                    <w:jc w:val="center"/>
                    <w:rPr>
                      <w:rFonts w:ascii="Times New Roman" w:hAnsi="Times New Roman"/>
                      <w:color w:val="FF0000"/>
                      <w:sz w:val="21"/>
                      <w:szCs w:val="21"/>
                    </w:rPr>
                  </w:pPr>
                </w:p>
              </w:tc>
              <w:tc>
                <w:tcPr>
                  <w:tcW w:w="2407" w:type="dxa"/>
                  <w:shd w:val="clear" w:color="auto" w:fill="auto"/>
                  <w:noWrap w:val="0"/>
                  <w:vAlign w:val="center"/>
                </w:tcPr>
                <w:p w14:paraId="5FB1C65E">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废气处理</w:t>
                  </w:r>
                </w:p>
              </w:tc>
              <w:tc>
                <w:tcPr>
                  <w:tcW w:w="2438" w:type="dxa"/>
                  <w:shd w:val="clear" w:color="auto" w:fill="auto"/>
                  <w:noWrap w:val="0"/>
                  <w:vAlign w:val="center"/>
                </w:tcPr>
                <w:p w14:paraId="2FB3BB4A">
                  <w:pPr>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废活性炭、废过滤棉</w:t>
                  </w:r>
                </w:p>
              </w:tc>
            </w:tr>
            <w:tr w14:paraId="7477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147E26D8">
                  <w:pPr>
                    <w:jc w:val="center"/>
                    <w:rPr>
                      <w:rFonts w:ascii="Times New Roman" w:hAnsi="Times New Roman"/>
                      <w:color w:val="FF0000"/>
                      <w:sz w:val="21"/>
                      <w:szCs w:val="21"/>
                    </w:rPr>
                  </w:pPr>
                </w:p>
              </w:tc>
              <w:tc>
                <w:tcPr>
                  <w:tcW w:w="868" w:type="dxa"/>
                  <w:vMerge w:val="continue"/>
                  <w:shd w:val="clear" w:color="auto" w:fill="auto"/>
                  <w:noWrap w:val="0"/>
                  <w:vAlign w:val="center"/>
                </w:tcPr>
                <w:p w14:paraId="17088529">
                  <w:pPr>
                    <w:jc w:val="center"/>
                    <w:rPr>
                      <w:rFonts w:ascii="Times New Roman" w:hAnsi="Times New Roman"/>
                      <w:color w:val="FF0000"/>
                      <w:sz w:val="21"/>
                      <w:szCs w:val="21"/>
                    </w:rPr>
                  </w:pPr>
                </w:p>
              </w:tc>
              <w:tc>
                <w:tcPr>
                  <w:tcW w:w="1947" w:type="dxa"/>
                  <w:vMerge w:val="continue"/>
                  <w:shd w:val="clear" w:color="auto" w:fill="auto"/>
                  <w:noWrap w:val="0"/>
                  <w:vAlign w:val="center"/>
                </w:tcPr>
                <w:p w14:paraId="6A934E12">
                  <w:pPr>
                    <w:jc w:val="center"/>
                    <w:rPr>
                      <w:rFonts w:ascii="Times New Roman" w:hAnsi="Times New Roman"/>
                      <w:color w:val="FF0000"/>
                      <w:sz w:val="21"/>
                      <w:szCs w:val="21"/>
                    </w:rPr>
                  </w:pPr>
                </w:p>
              </w:tc>
              <w:tc>
                <w:tcPr>
                  <w:tcW w:w="2407" w:type="dxa"/>
                  <w:shd w:val="clear" w:color="auto" w:fill="auto"/>
                  <w:noWrap w:val="0"/>
                  <w:vAlign w:val="center"/>
                </w:tcPr>
                <w:p w14:paraId="63920429">
                  <w:pPr>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auto"/>
                      <w:sz w:val="21"/>
                      <w:szCs w:val="21"/>
                      <w:highlight w:val="none"/>
                      <w:lang w:val="en-US" w:eastAsia="zh-CN"/>
                    </w:rPr>
                    <w:t>刷锡膏</w:t>
                  </w:r>
                </w:p>
              </w:tc>
              <w:tc>
                <w:tcPr>
                  <w:tcW w:w="2438" w:type="dxa"/>
                  <w:shd w:val="clear" w:color="auto" w:fill="auto"/>
                  <w:noWrap w:val="0"/>
                  <w:vAlign w:val="center"/>
                </w:tcPr>
                <w:p w14:paraId="4979373F">
                  <w:pPr>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auto"/>
                      <w:sz w:val="21"/>
                      <w:szCs w:val="21"/>
                      <w:highlight w:val="none"/>
                      <w:lang w:val="en-US" w:eastAsia="zh-CN"/>
                    </w:rPr>
                    <w:t>废丝网纸</w:t>
                  </w:r>
                </w:p>
              </w:tc>
            </w:tr>
            <w:tr w14:paraId="47FB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2DAFD2DD">
                  <w:pPr>
                    <w:jc w:val="center"/>
                    <w:rPr>
                      <w:rFonts w:ascii="Times New Roman" w:hAnsi="Times New Roman"/>
                      <w:color w:val="FF0000"/>
                      <w:sz w:val="21"/>
                      <w:szCs w:val="21"/>
                    </w:rPr>
                  </w:pPr>
                </w:p>
              </w:tc>
              <w:tc>
                <w:tcPr>
                  <w:tcW w:w="868" w:type="dxa"/>
                  <w:vMerge w:val="continue"/>
                  <w:shd w:val="clear" w:color="auto" w:fill="auto"/>
                  <w:noWrap w:val="0"/>
                  <w:vAlign w:val="center"/>
                </w:tcPr>
                <w:p w14:paraId="265F5AF0">
                  <w:pPr>
                    <w:jc w:val="center"/>
                    <w:rPr>
                      <w:rFonts w:ascii="Times New Roman" w:hAnsi="Times New Roman"/>
                      <w:color w:val="FF0000"/>
                      <w:sz w:val="21"/>
                      <w:szCs w:val="21"/>
                    </w:rPr>
                  </w:pPr>
                </w:p>
              </w:tc>
              <w:tc>
                <w:tcPr>
                  <w:tcW w:w="1947" w:type="dxa"/>
                  <w:vMerge w:val="continue"/>
                  <w:shd w:val="clear" w:color="auto" w:fill="auto"/>
                  <w:noWrap w:val="0"/>
                  <w:vAlign w:val="center"/>
                </w:tcPr>
                <w:p w14:paraId="5FFCFA86">
                  <w:pPr>
                    <w:jc w:val="center"/>
                    <w:rPr>
                      <w:rFonts w:ascii="Times New Roman" w:hAnsi="Times New Roman"/>
                      <w:color w:val="FF0000"/>
                      <w:sz w:val="21"/>
                      <w:szCs w:val="21"/>
                    </w:rPr>
                  </w:pPr>
                </w:p>
              </w:tc>
              <w:tc>
                <w:tcPr>
                  <w:tcW w:w="2407" w:type="dxa"/>
                  <w:shd w:val="clear" w:color="auto" w:fill="auto"/>
                  <w:noWrap w:val="0"/>
                  <w:vAlign w:val="center"/>
                </w:tcPr>
                <w:p w14:paraId="1168E2BF">
                  <w:pPr>
                    <w:keepNext w:val="0"/>
                    <w:keepLines w:val="0"/>
                    <w:suppressLineNumbers w:val="0"/>
                    <w:spacing w:before="0" w:beforeAutospacing="0" w:after="0" w:afterAutospacing="0"/>
                    <w:ind w:left="0" w:leftChars="0" w:right="0" w:rightChars="0"/>
                    <w:jc w:val="center"/>
                    <w:rPr>
                      <w:rFonts w:hint="default" w:ascii="Times New Roman" w:hAnsi="Times New Roman"/>
                      <w:bCs/>
                      <w:color w:val="auto"/>
                      <w:sz w:val="21"/>
                      <w:szCs w:val="21"/>
                      <w:highlight w:val="none"/>
                      <w:lang w:val="en-US" w:eastAsia="zh-CN"/>
                    </w:rPr>
                  </w:pPr>
                  <w:r>
                    <w:rPr>
                      <w:rFonts w:hint="eastAsia"/>
                      <w:bCs/>
                      <w:color w:val="auto"/>
                      <w:kern w:val="0"/>
                      <w:szCs w:val="21"/>
                      <w:highlight w:val="none"/>
                      <w:lang w:val="en-US" w:eastAsia="zh-CN"/>
                    </w:rPr>
                    <w:t>超声波清洗</w:t>
                  </w:r>
                </w:p>
              </w:tc>
              <w:tc>
                <w:tcPr>
                  <w:tcW w:w="2438" w:type="dxa"/>
                  <w:shd w:val="clear" w:color="auto" w:fill="auto"/>
                  <w:noWrap w:val="0"/>
                  <w:vAlign w:val="center"/>
                </w:tcPr>
                <w:p w14:paraId="417BB4AB">
                  <w:pPr>
                    <w:keepNext w:val="0"/>
                    <w:keepLines w:val="0"/>
                    <w:suppressLineNumbers w:val="0"/>
                    <w:spacing w:before="0" w:beforeAutospacing="0" w:after="0" w:afterAutospacing="0"/>
                    <w:ind w:left="0" w:leftChars="0" w:right="0" w:rightChars="0"/>
                    <w:jc w:val="center"/>
                    <w:rPr>
                      <w:rFonts w:hint="default" w:ascii="Times New Roman" w:hAnsi="Times New Roman"/>
                      <w:bCs/>
                      <w:color w:val="auto"/>
                      <w:sz w:val="21"/>
                      <w:szCs w:val="21"/>
                      <w:highlight w:val="none"/>
                      <w:lang w:val="en-US" w:eastAsia="zh-CN"/>
                    </w:rPr>
                  </w:pPr>
                  <w:r>
                    <w:rPr>
                      <w:rFonts w:hint="eastAsia" w:eastAsiaTheme="minorEastAsia"/>
                      <w:color w:val="auto"/>
                      <w:szCs w:val="21"/>
                      <w:highlight w:val="none"/>
                      <w:lang w:val="en-US" w:eastAsia="zh-CN"/>
                    </w:rPr>
                    <w:t>废</w:t>
                  </w:r>
                  <w:r>
                    <w:rPr>
                      <w:rFonts w:hint="eastAsia"/>
                      <w:color w:val="auto"/>
                      <w:szCs w:val="21"/>
                      <w:highlight w:val="none"/>
                      <w:lang w:val="en-US" w:eastAsia="zh-CN"/>
                    </w:rPr>
                    <w:t>清洗液</w:t>
                  </w:r>
                </w:p>
              </w:tc>
            </w:tr>
            <w:tr w14:paraId="145C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278A10C1">
                  <w:pPr>
                    <w:jc w:val="center"/>
                    <w:rPr>
                      <w:rFonts w:ascii="Times New Roman" w:hAnsi="Times New Roman"/>
                      <w:color w:val="FF0000"/>
                      <w:sz w:val="21"/>
                      <w:szCs w:val="21"/>
                    </w:rPr>
                  </w:pPr>
                </w:p>
              </w:tc>
              <w:tc>
                <w:tcPr>
                  <w:tcW w:w="868" w:type="dxa"/>
                  <w:vMerge w:val="continue"/>
                  <w:shd w:val="clear" w:color="auto" w:fill="auto"/>
                  <w:noWrap w:val="0"/>
                  <w:vAlign w:val="center"/>
                </w:tcPr>
                <w:p w14:paraId="43307D7D">
                  <w:pPr>
                    <w:jc w:val="center"/>
                    <w:rPr>
                      <w:rFonts w:ascii="Times New Roman" w:hAnsi="Times New Roman"/>
                      <w:color w:val="FF0000"/>
                      <w:sz w:val="21"/>
                      <w:szCs w:val="21"/>
                    </w:rPr>
                  </w:pPr>
                </w:p>
              </w:tc>
              <w:tc>
                <w:tcPr>
                  <w:tcW w:w="1947" w:type="dxa"/>
                  <w:vMerge w:val="continue"/>
                  <w:shd w:val="clear" w:color="auto" w:fill="auto"/>
                  <w:noWrap w:val="0"/>
                  <w:vAlign w:val="center"/>
                </w:tcPr>
                <w:p w14:paraId="22621518">
                  <w:pPr>
                    <w:jc w:val="center"/>
                    <w:rPr>
                      <w:rFonts w:ascii="Times New Roman" w:hAnsi="Times New Roman"/>
                      <w:color w:val="FF0000"/>
                      <w:sz w:val="21"/>
                      <w:szCs w:val="21"/>
                    </w:rPr>
                  </w:pPr>
                </w:p>
              </w:tc>
              <w:tc>
                <w:tcPr>
                  <w:tcW w:w="2407" w:type="dxa"/>
                  <w:shd w:val="clear" w:color="auto" w:fill="auto"/>
                  <w:noWrap w:val="0"/>
                  <w:vAlign w:val="center"/>
                </w:tcPr>
                <w:p w14:paraId="2D35E363">
                  <w:pPr>
                    <w:keepNext w:val="0"/>
                    <w:keepLines w:val="0"/>
                    <w:suppressLineNumbers w:val="0"/>
                    <w:spacing w:before="0" w:beforeAutospacing="0" w:after="0" w:afterAutospacing="0"/>
                    <w:ind w:left="0" w:leftChars="0" w:right="0" w:rightChars="0"/>
                    <w:jc w:val="center"/>
                    <w:rPr>
                      <w:rFonts w:hint="default"/>
                      <w:bCs/>
                      <w:color w:val="auto"/>
                      <w:kern w:val="0"/>
                      <w:szCs w:val="21"/>
                      <w:highlight w:val="none"/>
                      <w:lang w:val="en-US" w:eastAsia="zh-CN"/>
                    </w:rPr>
                  </w:pPr>
                  <w:r>
                    <w:rPr>
                      <w:rFonts w:hint="eastAsia"/>
                      <w:bCs/>
                      <w:color w:val="auto"/>
                      <w:kern w:val="0"/>
                      <w:szCs w:val="21"/>
                      <w:highlight w:val="none"/>
                      <w:lang w:val="en-US" w:eastAsia="zh-CN"/>
                    </w:rPr>
                    <w:t>剪脚、分板</w:t>
                  </w:r>
                </w:p>
              </w:tc>
              <w:tc>
                <w:tcPr>
                  <w:tcW w:w="2438" w:type="dxa"/>
                  <w:shd w:val="clear" w:color="auto" w:fill="auto"/>
                  <w:noWrap w:val="0"/>
                  <w:vAlign w:val="center"/>
                </w:tcPr>
                <w:p w14:paraId="584E8BC7">
                  <w:pPr>
                    <w:keepNext w:val="0"/>
                    <w:keepLines w:val="0"/>
                    <w:suppressLineNumbers w:val="0"/>
                    <w:spacing w:before="0" w:beforeAutospacing="0" w:after="0" w:afterAutospacing="0"/>
                    <w:ind w:left="0" w:leftChars="0" w:right="0" w:rightChars="0"/>
                    <w:jc w:val="center"/>
                    <w:rPr>
                      <w:rFonts w:hint="default" w:eastAsiaTheme="minorEastAsia"/>
                      <w:color w:val="auto"/>
                      <w:szCs w:val="21"/>
                      <w:highlight w:val="none"/>
                      <w:lang w:val="en-US" w:eastAsia="zh-CN"/>
                    </w:rPr>
                  </w:pPr>
                  <w:r>
                    <w:rPr>
                      <w:rFonts w:hint="eastAsia"/>
                      <w:color w:val="auto"/>
                      <w:szCs w:val="21"/>
                      <w:highlight w:val="none"/>
                      <w:lang w:val="en-US" w:eastAsia="zh-CN"/>
                    </w:rPr>
                    <w:t>边角料</w:t>
                  </w:r>
                </w:p>
              </w:tc>
            </w:tr>
            <w:tr w14:paraId="1F32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vMerge w:val="continue"/>
                  <w:shd w:val="clear" w:color="auto" w:fill="auto"/>
                  <w:noWrap w:val="0"/>
                  <w:vAlign w:val="center"/>
                </w:tcPr>
                <w:p w14:paraId="76E48475">
                  <w:pPr>
                    <w:jc w:val="center"/>
                    <w:rPr>
                      <w:rFonts w:ascii="Times New Roman" w:hAnsi="Times New Roman"/>
                      <w:color w:val="FF0000"/>
                      <w:sz w:val="21"/>
                      <w:szCs w:val="21"/>
                    </w:rPr>
                  </w:pPr>
                </w:p>
              </w:tc>
              <w:tc>
                <w:tcPr>
                  <w:tcW w:w="868" w:type="dxa"/>
                  <w:shd w:val="clear" w:color="auto" w:fill="auto"/>
                  <w:noWrap w:val="0"/>
                  <w:vAlign w:val="center"/>
                </w:tcPr>
                <w:p w14:paraId="31323A31">
                  <w:pPr>
                    <w:jc w:val="center"/>
                    <w:rPr>
                      <w:rFonts w:hint="eastAsia" w:ascii="Times New Roman" w:hAnsi="Times New Roman" w:eastAsiaTheme="minorEastAsia"/>
                      <w:color w:val="auto"/>
                      <w:sz w:val="21"/>
                      <w:szCs w:val="21"/>
                      <w:lang w:val="en-US" w:eastAsia="zh-CN"/>
                    </w:rPr>
                  </w:pPr>
                  <w:r>
                    <w:rPr>
                      <w:rFonts w:ascii="Times New Roman" w:hAnsi="Times New Roman"/>
                      <w:color w:val="auto"/>
                      <w:sz w:val="21"/>
                      <w:szCs w:val="21"/>
                    </w:rPr>
                    <w:t>YS</w:t>
                  </w:r>
                  <w:r>
                    <w:rPr>
                      <w:rFonts w:hint="eastAsia" w:ascii="Times New Roman" w:hAnsi="Times New Roman"/>
                      <w:color w:val="auto"/>
                      <w:sz w:val="21"/>
                      <w:szCs w:val="21"/>
                      <w:lang w:val="en-US" w:eastAsia="zh-CN"/>
                    </w:rPr>
                    <w:t>3</w:t>
                  </w:r>
                </w:p>
              </w:tc>
              <w:tc>
                <w:tcPr>
                  <w:tcW w:w="1947" w:type="dxa"/>
                  <w:shd w:val="clear" w:color="auto" w:fill="auto"/>
                  <w:noWrap w:val="0"/>
                  <w:vAlign w:val="center"/>
                </w:tcPr>
                <w:p w14:paraId="0CE38E40">
                  <w:pPr>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食堂固废</w:t>
                  </w:r>
                </w:p>
              </w:tc>
              <w:tc>
                <w:tcPr>
                  <w:tcW w:w="2407" w:type="dxa"/>
                  <w:shd w:val="clear" w:color="auto" w:fill="auto"/>
                  <w:noWrap w:val="0"/>
                  <w:vAlign w:val="center"/>
                </w:tcPr>
                <w:p w14:paraId="2F44D5F4">
                  <w:pPr>
                    <w:keepNext w:val="0"/>
                    <w:keepLines w:val="0"/>
                    <w:suppressLineNumbers w:val="0"/>
                    <w:spacing w:before="0" w:beforeAutospacing="0" w:after="0" w:afterAutospacing="0"/>
                    <w:ind w:left="0" w:leftChars="0" w:right="0" w:rightChars="0"/>
                    <w:jc w:val="center"/>
                    <w:rPr>
                      <w:rFonts w:hint="default"/>
                      <w:bCs/>
                      <w:color w:val="auto"/>
                      <w:kern w:val="0"/>
                      <w:szCs w:val="21"/>
                      <w:highlight w:val="none"/>
                      <w:lang w:val="en-US" w:eastAsia="zh-CN"/>
                    </w:rPr>
                  </w:pPr>
                  <w:r>
                    <w:rPr>
                      <w:rFonts w:hint="eastAsia"/>
                      <w:bCs/>
                      <w:color w:val="auto"/>
                      <w:kern w:val="0"/>
                      <w:szCs w:val="21"/>
                      <w:highlight w:val="none"/>
                      <w:lang w:val="en-US" w:eastAsia="zh-CN"/>
                    </w:rPr>
                    <w:t>职工就餐</w:t>
                  </w:r>
                </w:p>
              </w:tc>
              <w:tc>
                <w:tcPr>
                  <w:tcW w:w="2438" w:type="dxa"/>
                  <w:shd w:val="clear" w:color="auto" w:fill="auto"/>
                  <w:noWrap w:val="0"/>
                  <w:vAlign w:val="center"/>
                </w:tcPr>
                <w:p w14:paraId="1D075DC5">
                  <w:pPr>
                    <w:keepNext w:val="0"/>
                    <w:keepLines w:val="0"/>
                    <w:suppressLineNumbers w:val="0"/>
                    <w:spacing w:before="0" w:beforeAutospacing="0" w:after="0" w:afterAutospacing="0"/>
                    <w:ind w:left="0" w:leftChars="0" w:right="0" w:rightChars="0"/>
                    <w:jc w:val="center"/>
                    <w:rPr>
                      <w:rFonts w:hint="default" w:eastAsiaTheme="minorEastAsia"/>
                      <w:color w:val="auto"/>
                      <w:szCs w:val="21"/>
                      <w:highlight w:val="none"/>
                      <w:lang w:val="en-US" w:eastAsia="zh-CN"/>
                    </w:rPr>
                  </w:pPr>
                  <w:r>
                    <w:rPr>
                      <w:rFonts w:hint="eastAsia"/>
                      <w:color w:val="auto"/>
                      <w:szCs w:val="21"/>
                      <w:highlight w:val="none"/>
                      <w:lang w:val="en-US" w:eastAsia="zh-CN"/>
                    </w:rPr>
                    <w:t>泔水</w:t>
                  </w:r>
                </w:p>
              </w:tc>
            </w:tr>
            <w:tr w14:paraId="3CC1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44" w:type="dxa"/>
                  <w:shd w:val="clear" w:color="auto" w:fill="auto"/>
                  <w:noWrap w:val="0"/>
                  <w:vAlign w:val="center"/>
                </w:tcPr>
                <w:p w14:paraId="4CE5027E">
                  <w:pPr>
                    <w:jc w:val="center"/>
                    <w:rPr>
                      <w:rFonts w:ascii="Times New Roman" w:hAnsi="Times New Roman"/>
                      <w:color w:val="auto"/>
                      <w:sz w:val="21"/>
                      <w:szCs w:val="21"/>
                    </w:rPr>
                  </w:pPr>
                  <w:r>
                    <w:rPr>
                      <w:rFonts w:ascii="Times New Roman" w:hAnsi="Times New Roman"/>
                      <w:color w:val="auto"/>
                      <w:sz w:val="21"/>
                      <w:szCs w:val="21"/>
                    </w:rPr>
                    <w:t>噪声</w:t>
                  </w:r>
                </w:p>
              </w:tc>
              <w:tc>
                <w:tcPr>
                  <w:tcW w:w="868" w:type="dxa"/>
                  <w:shd w:val="clear" w:color="auto" w:fill="auto"/>
                  <w:noWrap w:val="0"/>
                  <w:vAlign w:val="center"/>
                </w:tcPr>
                <w:p w14:paraId="2AD48931">
                  <w:pPr>
                    <w:jc w:val="center"/>
                    <w:rPr>
                      <w:rFonts w:ascii="Times New Roman" w:hAnsi="Times New Roman"/>
                      <w:color w:val="auto"/>
                      <w:sz w:val="21"/>
                      <w:szCs w:val="21"/>
                    </w:rPr>
                  </w:pPr>
                  <w:r>
                    <w:rPr>
                      <w:rFonts w:ascii="Times New Roman" w:hAnsi="Times New Roman"/>
                      <w:color w:val="auto"/>
                      <w:sz w:val="21"/>
                      <w:szCs w:val="21"/>
                    </w:rPr>
                    <w:t>YN1</w:t>
                  </w:r>
                </w:p>
              </w:tc>
              <w:tc>
                <w:tcPr>
                  <w:tcW w:w="1947" w:type="dxa"/>
                  <w:shd w:val="clear" w:color="auto" w:fill="auto"/>
                  <w:noWrap w:val="0"/>
                  <w:vAlign w:val="center"/>
                </w:tcPr>
                <w:p w14:paraId="2446CE80">
                  <w:pPr>
                    <w:jc w:val="center"/>
                    <w:rPr>
                      <w:rFonts w:ascii="Times New Roman" w:hAnsi="Times New Roman"/>
                      <w:color w:val="auto"/>
                      <w:sz w:val="21"/>
                      <w:szCs w:val="21"/>
                    </w:rPr>
                  </w:pPr>
                  <w:r>
                    <w:rPr>
                      <w:rFonts w:ascii="Times New Roman" w:hAnsi="Times New Roman"/>
                      <w:color w:val="auto"/>
                      <w:sz w:val="21"/>
                      <w:szCs w:val="21"/>
                      <w:lang w:val="zh-CN"/>
                    </w:rPr>
                    <w:t>机械噪声</w:t>
                  </w:r>
                </w:p>
              </w:tc>
              <w:tc>
                <w:tcPr>
                  <w:tcW w:w="2407" w:type="dxa"/>
                  <w:shd w:val="clear" w:color="auto" w:fill="auto"/>
                  <w:noWrap w:val="0"/>
                  <w:vAlign w:val="center"/>
                </w:tcPr>
                <w:p w14:paraId="3D9CDA89">
                  <w:pPr>
                    <w:jc w:val="center"/>
                    <w:rPr>
                      <w:rFonts w:ascii="Times New Roman" w:hAnsi="Times New Roman"/>
                      <w:color w:val="auto"/>
                      <w:sz w:val="21"/>
                      <w:szCs w:val="21"/>
                    </w:rPr>
                  </w:pPr>
                  <w:r>
                    <w:rPr>
                      <w:rFonts w:ascii="Times New Roman" w:hAnsi="Times New Roman"/>
                      <w:color w:val="auto"/>
                      <w:sz w:val="21"/>
                      <w:szCs w:val="21"/>
                      <w:lang w:val="zh-CN"/>
                    </w:rPr>
                    <w:t>机械设备运行</w:t>
                  </w:r>
                </w:p>
              </w:tc>
              <w:tc>
                <w:tcPr>
                  <w:tcW w:w="2438" w:type="dxa"/>
                  <w:shd w:val="clear" w:color="auto" w:fill="auto"/>
                  <w:noWrap w:val="0"/>
                  <w:vAlign w:val="center"/>
                </w:tcPr>
                <w:p w14:paraId="7261351A">
                  <w:pPr>
                    <w:jc w:val="center"/>
                    <w:rPr>
                      <w:rFonts w:ascii="Times New Roman" w:hAnsi="Times New Roman"/>
                      <w:color w:val="auto"/>
                      <w:sz w:val="21"/>
                      <w:szCs w:val="21"/>
                    </w:rPr>
                  </w:pPr>
                  <w:r>
                    <w:rPr>
                      <w:rFonts w:ascii="Times New Roman" w:hAnsi="Times New Roman"/>
                      <w:color w:val="auto"/>
                      <w:sz w:val="21"/>
                      <w:szCs w:val="21"/>
                      <w:lang w:val="zh-CN"/>
                    </w:rPr>
                    <w:t>噪声</w:t>
                  </w:r>
                </w:p>
              </w:tc>
            </w:tr>
            <w:tr w14:paraId="2692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2" w:type="dxa"/>
                  <w:gridSpan w:val="2"/>
                  <w:shd w:val="clear" w:color="auto" w:fill="auto"/>
                  <w:noWrap w:val="0"/>
                  <w:vAlign w:val="center"/>
                </w:tcPr>
                <w:p w14:paraId="42BDA643">
                  <w:pPr>
                    <w:jc w:val="center"/>
                    <w:rPr>
                      <w:rFonts w:ascii="Times New Roman" w:hAnsi="Times New Roman"/>
                      <w:color w:val="auto"/>
                      <w:sz w:val="21"/>
                      <w:szCs w:val="21"/>
                    </w:rPr>
                  </w:pPr>
                  <w:r>
                    <w:rPr>
                      <w:rFonts w:ascii="Times New Roman" w:hAnsi="Times New Roman"/>
                      <w:color w:val="auto"/>
                      <w:sz w:val="21"/>
                      <w:szCs w:val="21"/>
                      <w:lang w:val="zh-CN"/>
                    </w:rPr>
                    <w:t>生态</w:t>
                  </w:r>
                </w:p>
              </w:tc>
              <w:tc>
                <w:tcPr>
                  <w:tcW w:w="6792" w:type="dxa"/>
                  <w:gridSpan w:val="3"/>
                  <w:shd w:val="clear" w:color="auto" w:fill="auto"/>
                  <w:noWrap w:val="0"/>
                  <w:vAlign w:val="center"/>
                </w:tcPr>
                <w:p w14:paraId="3F4A9E85">
                  <w:pPr>
                    <w:jc w:val="center"/>
                    <w:rPr>
                      <w:rFonts w:ascii="Times New Roman" w:hAnsi="Times New Roman"/>
                      <w:color w:val="auto"/>
                      <w:sz w:val="21"/>
                      <w:szCs w:val="21"/>
                    </w:rPr>
                  </w:pPr>
                  <w:r>
                    <w:rPr>
                      <w:rFonts w:ascii="Times New Roman" w:hAnsi="Times New Roman"/>
                      <w:color w:val="auto"/>
                      <w:sz w:val="21"/>
                      <w:szCs w:val="21"/>
                      <w:lang w:val="zh-CN"/>
                    </w:rPr>
                    <w:t>基本不对当地生态环境产生影响</w:t>
                  </w:r>
                </w:p>
              </w:tc>
            </w:tr>
            <w:bookmarkEnd w:id="5"/>
          </w:tbl>
          <w:p w14:paraId="66FA11AE">
            <w:pPr>
              <w:widowControl/>
              <w:wordWrap w:val="0"/>
              <w:jc w:val="left"/>
              <w:rPr>
                <w:rFonts w:ascii="Times New Roman" w:hAnsi="Times New Roman" w:eastAsia="宋体" w:cs="Times New Roman"/>
                <w:color w:val="FF0000"/>
                <w:kern w:val="0"/>
                <w:szCs w:val="21"/>
              </w:rPr>
            </w:pPr>
          </w:p>
        </w:tc>
      </w:tr>
      <w:tr w14:paraId="1AD66F59">
        <w:tblPrEx>
          <w:tblCellMar>
            <w:top w:w="0" w:type="dxa"/>
            <w:left w:w="0" w:type="dxa"/>
            <w:bottom w:w="0" w:type="dxa"/>
            <w:right w:w="0" w:type="dxa"/>
          </w:tblCellMar>
        </w:tblPrEx>
        <w:trPr>
          <w:trHeight w:val="3046"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14:paraId="7E7A1850">
            <w:pPr>
              <w:spacing w:line="360" w:lineRule="auto"/>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2.3与项目有关的原有环境污染问题</w:t>
            </w:r>
          </w:p>
          <w:p w14:paraId="52E36187">
            <w:pPr>
              <w:pStyle w:val="77"/>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本项目为新建项目，不存在与项目有关的原有污染情况及主要环境问题。</w:t>
            </w:r>
          </w:p>
          <w:p w14:paraId="215B943B">
            <w:pPr>
              <w:rPr>
                <w:rFonts w:hint="default"/>
                <w:color w:val="FF0000"/>
                <w:sz w:val="24"/>
                <w:szCs w:val="24"/>
                <w:lang w:val="en-US"/>
              </w:rPr>
            </w:pPr>
          </w:p>
          <w:p w14:paraId="21C871EB">
            <w:pPr>
              <w:rPr>
                <w:rFonts w:hint="default"/>
                <w:color w:val="FF0000"/>
                <w:sz w:val="24"/>
                <w:szCs w:val="24"/>
                <w:lang w:val="en-US"/>
              </w:rPr>
            </w:pPr>
          </w:p>
          <w:p w14:paraId="220078F7">
            <w:pPr>
              <w:rPr>
                <w:rFonts w:hint="default"/>
                <w:color w:val="FF0000"/>
                <w:sz w:val="24"/>
                <w:szCs w:val="24"/>
                <w:lang w:val="en-US"/>
              </w:rPr>
            </w:pPr>
          </w:p>
          <w:p w14:paraId="23EF25E1">
            <w:pPr>
              <w:rPr>
                <w:rFonts w:hint="default"/>
                <w:color w:val="FF0000"/>
                <w:sz w:val="24"/>
                <w:szCs w:val="24"/>
                <w:lang w:val="en-US"/>
              </w:rPr>
            </w:pPr>
          </w:p>
          <w:p w14:paraId="20E1FEF5">
            <w:pPr>
              <w:pStyle w:val="7"/>
              <w:rPr>
                <w:rFonts w:hint="default"/>
                <w:color w:val="FF0000"/>
                <w:sz w:val="24"/>
                <w:szCs w:val="24"/>
                <w:lang w:val="en-US"/>
              </w:rPr>
            </w:pPr>
          </w:p>
          <w:p w14:paraId="6A0F787A">
            <w:pPr>
              <w:rPr>
                <w:rFonts w:hint="default"/>
                <w:color w:val="FF0000"/>
                <w:sz w:val="24"/>
                <w:szCs w:val="24"/>
                <w:lang w:val="en-US"/>
              </w:rPr>
            </w:pPr>
          </w:p>
          <w:p w14:paraId="737A2C2E">
            <w:pPr>
              <w:pStyle w:val="7"/>
              <w:rPr>
                <w:rFonts w:hint="default"/>
                <w:color w:val="FF0000"/>
                <w:sz w:val="24"/>
                <w:szCs w:val="24"/>
                <w:lang w:val="en-US"/>
              </w:rPr>
            </w:pPr>
          </w:p>
          <w:p w14:paraId="391A8A64">
            <w:pPr>
              <w:pStyle w:val="7"/>
              <w:ind w:left="0" w:leftChars="0" w:firstLine="0" w:firstLineChars="0"/>
              <w:rPr>
                <w:rFonts w:hint="default"/>
                <w:color w:val="FF0000"/>
                <w:lang w:val="en-US"/>
              </w:rPr>
            </w:pPr>
          </w:p>
        </w:tc>
      </w:tr>
    </w:tbl>
    <w:p w14:paraId="741F2D1B">
      <w:pPr>
        <w:widowControl/>
        <w:shd w:val="clear" w:color="auto" w:fill="FFFFFF"/>
        <w:jc w:val="center"/>
        <w:rPr>
          <w:rFonts w:hint="eastAsia" w:ascii="黑体" w:hAnsi="黑体" w:eastAsia="黑体" w:cs="宋体"/>
          <w:color w:val="FF0000"/>
          <w:spacing w:val="9"/>
          <w:kern w:val="0"/>
          <w:sz w:val="30"/>
          <w:szCs w:val="30"/>
        </w:rPr>
        <w:sectPr>
          <w:headerReference r:id="rId5" w:type="default"/>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77EDFD6">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rPr>
      </w:pPr>
      <w:bookmarkStart w:id="6" w:name="_Toc12398"/>
      <w:r>
        <w:rPr>
          <w:rFonts w:hint="eastAsia" w:ascii="黑体" w:hAnsi="黑体" w:eastAsia="黑体" w:cs="黑体"/>
          <w:b w:val="0"/>
          <w:bCs/>
          <w:color w:val="auto"/>
          <w:sz w:val="30"/>
          <w:szCs w:val="30"/>
        </w:rPr>
        <w:t>三、区域环境质量现状、环境保护目标及评价标准</w:t>
      </w:r>
      <w:bookmarkEnd w:id="6"/>
    </w:p>
    <w:tbl>
      <w:tblPr>
        <w:tblStyle w:val="23"/>
        <w:tblW w:w="9072" w:type="dxa"/>
        <w:jc w:val="center"/>
        <w:tblLayout w:type="fixed"/>
        <w:tblCellMar>
          <w:top w:w="0" w:type="dxa"/>
          <w:left w:w="0" w:type="dxa"/>
          <w:bottom w:w="0" w:type="dxa"/>
          <w:right w:w="0" w:type="dxa"/>
        </w:tblCellMar>
      </w:tblPr>
      <w:tblGrid>
        <w:gridCol w:w="9072"/>
      </w:tblGrid>
      <w:tr w14:paraId="786F7500">
        <w:trPr>
          <w:trHeight w:val="940" w:hRule="atLeast"/>
          <w:jc w:val="center"/>
        </w:trPr>
        <w:tc>
          <w:tcPr>
            <w:tcW w:w="90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B929CF">
            <w:pPr>
              <w:spacing w:line="500" w:lineRule="exact"/>
              <w:textAlignment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3.1 区域环境质量现状</w:t>
            </w:r>
          </w:p>
          <w:p w14:paraId="463B0402">
            <w:pPr>
              <w:spacing w:line="500" w:lineRule="exact"/>
              <w:textAlignment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3.1.1 大气环境</w:t>
            </w:r>
          </w:p>
          <w:p w14:paraId="25D39D2A">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center"/>
              <w:outlineLvl w:val="9"/>
              <w:rPr>
                <w:rStyle w:val="27"/>
                <w:rFonts w:hint="default" w:ascii="Times New Roman" w:hAnsi="Times New Roman" w:eastAsia="宋体" w:cs="Times New Roman"/>
                <w:b w:val="0"/>
                <w:bCs/>
                <w:color w:val="auto"/>
                <w:sz w:val="24"/>
                <w:szCs w:val="24"/>
                <w:highlight w:val="none"/>
              </w:rPr>
            </w:pPr>
            <w:r>
              <w:rPr>
                <w:rStyle w:val="27"/>
                <w:rFonts w:ascii="Times New Roman" w:hAnsi="Times New Roman" w:cs="Times New Roman"/>
                <w:b w:val="0"/>
                <w:color w:val="auto"/>
                <w:sz w:val="24"/>
                <w:szCs w:val="24"/>
              </w:rPr>
              <w:t>根据《湖州市环境空气质量功能区划》，本项目所在区域属于环境空气质量二类功能区。</w:t>
            </w:r>
            <w:r>
              <w:rPr>
                <w:rStyle w:val="27"/>
                <w:rFonts w:hint="eastAsia" w:ascii="Times New Roman" w:hAnsi="Times New Roman" w:cs="Times New Roman"/>
                <w:b w:val="0"/>
                <w:color w:val="auto"/>
                <w:sz w:val="24"/>
                <w:szCs w:val="24"/>
              </w:rPr>
              <w:t>本评价引用湖州市生态环境局德清分局发布的《202</w:t>
            </w:r>
            <w:r>
              <w:rPr>
                <w:rStyle w:val="27"/>
                <w:rFonts w:hint="eastAsia" w:ascii="Times New Roman" w:hAnsi="Times New Roman" w:cs="Times New Roman"/>
                <w:b w:val="0"/>
                <w:color w:val="auto"/>
                <w:sz w:val="24"/>
                <w:szCs w:val="24"/>
                <w:lang w:val="en-US" w:eastAsia="zh-CN"/>
              </w:rPr>
              <w:t>3</w:t>
            </w:r>
            <w:r>
              <w:rPr>
                <w:rStyle w:val="27"/>
                <w:rFonts w:hint="eastAsia" w:ascii="Times New Roman" w:hAnsi="Times New Roman" w:cs="Times New Roman"/>
                <w:b w:val="0"/>
                <w:color w:val="auto"/>
                <w:sz w:val="24"/>
                <w:szCs w:val="24"/>
              </w:rPr>
              <w:t>年度德清县环境质量报告书》中</w:t>
            </w:r>
            <w:r>
              <w:rPr>
                <w:rStyle w:val="27"/>
                <w:rFonts w:ascii="Times New Roman" w:hAnsi="Times New Roman" w:cs="Times New Roman"/>
                <w:b w:val="0"/>
                <w:color w:val="auto"/>
                <w:sz w:val="24"/>
                <w:szCs w:val="24"/>
              </w:rPr>
              <w:t>SO</w:t>
            </w:r>
            <w:r>
              <w:rPr>
                <w:rStyle w:val="27"/>
                <w:rFonts w:ascii="Times New Roman" w:hAnsi="Times New Roman" w:cs="Times New Roman"/>
                <w:b w:val="0"/>
                <w:color w:val="auto"/>
                <w:sz w:val="24"/>
                <w:szCs w:val="24"/>
                <w:vertAlign w:val="subscript"/>
              </w:rPr>
              <w:t>2</w:t>
            </w:r>
            <w:r>
              <w:rPr>
                <w:rStyle w:val="27"/>
                <w:rFonts w:hint="eastAsia" w:ascii="Times New Roman" w:hAnsi="Times New Roman" w:cs="Times New Roman"/>
                <w:b w:val="0"/>
                <w:color w:val="auto"/>
                <w:sz w:val="24"/>
                <w:szCs w:val="24"/>
              </w:rPr>
              <w:t>、</w:t>
            </w:r>
            <w:r>
              <w:rPr>
                <w:rStyle w:val="27"/>
                <w:rFonts w:ascii="Times New Roman" w:hAnsi="Times New Roman" w:cs="Times New Roman"/>
                <w:b w:val="0"/>
                <w:color w:val="auto"/>
                <w:sz w:val="24"/>
                <w:szCs w:val="24"/>
              </w:rPr>
              <w:t>NO</w:t>
            </w:r>
            <w:r>
              <w:rPr>
                <w:rStyle w:val="27"/>
                <w:rFonts w:ascii="Times New Roman" w:hAnsi="Times New Roman" w:cs="Times New Roman"/>
                <w:b w:val="0"/>
                <w:color w:val="auto"/>
                <w:sz w:val="24"/>
                <w:szCs w:val="24"/>
                <w:vertAlign w:val="subscript"/>
              </w:rPr>
              <w:t>2</w:t>
            </w:r>
            <w:r>
              <w:rPr>
                <w:rStyle w:val="27"/>
                <w:rFonts w:hint="eastAsia" w:ascii="Times New Roman" w:hAnsi="Times New Roman" w:cs="Times New Roman"/>
                <w:b w:val="0"/>
                <w:color w:val="auto"/>
                <w:sz w:val="24"/>
                <w:szCs w:val="24"/>
              </w:rPr>
              <w:t>、</w:t>
            </w:r>
            <w:r>
              <w:rPr>
                <w:rStyle w:val="27"/>
                <w:rFonts w:ascii="Times New Roman" w:hAnsi="Times New Roman" w:cs="Times New Roman"/>
                <w:b w:val="0"/>
                <w:color w:val="auto"/>
                <w:sz w:val="24"/>
                <w:szCs w:val="24"/>
              </w:rPr>
              <w:t>PM</w:t>
            </w:r>
            <w:r>
              <w:rPr>
                <w:rStyle w:val="27"/>
                <w:rFonts w:ascii="Times New Roman" w:hAnsi="Times New Roman" w:cs="Times New Roman"/>
                <w:b w:val="0"/>
                <w:color w:val="auto"/>
                <w:sz w:val="24"/>
                <w:szCs w:val="24"/>
                <w:vertAlign w:val="subscript"/>
              </w:rPr>
              <w:t>10</w:t>
            </w:r>
            <w:r>
              <w:rPr>
                <w:rStyle w:val="27"/>
                <w:rFonts w:hint="eastAsia" w:ascii="Times New Roman" w:hAnsi="Times New Roman" w:cs="Times New Roman"/>
                <w:b w:val="0"/>
                <w:color w:val="auto"/>
                <w:sz w:val="24"/>
                <w:szCs w:val="24"/>
              </w:rPr>
              <w:t>、</w:t>
            </w:r>
            <w:r>
              <w:rPr>
                <w:rStyle w:val="27"/>
                <w:rFonts w:ascii="Times New Roman" w:hAnsi="Times New Roman" w:cs="Times New Roman"/>
                <w:b w:val="0"/>
                <w:color w:val="auto"/>
                <w:sz w:val="24"/>
                <w:szCs w:val="24"/>
              </w:rPr>
              <w:t>PM</w:t>
            </w:r>
            <w:r>
              <w:rPr>
                <w:rStyle w:val="27"/>
                <w:rFonts w:ascii="Times New Roman" w:hAnsi="Times New Roman" w:cs="Times New Roman"/>
                <w:b w:val="0"/>
                <w:color w:val="auto"/>
                <w:sz w:val="24"/>
                <w:szCs w:val="24"/>
                <w:vertAlign w:val="subscript"/>
              </w:rPr>
              <w:t>2.5</w:t>
            </w:r>
            <w:r>
              <w:rPr>
                <w:rStyle w:val="27"/>
                <w:rFonts w:hint="eastAsia" w:ascii="Times New Roman" w:hAnsi="Times New Roman" w:cs="Times New Roman"/>
                <w:b w:val="0"/>
                <w:color w:val="auto"/>
                <w:sz w:val="24"/>
                <w:szCs w:val="24"/>
              </w:rPr>
              <w:t>、</w:t>
            </w:r>
            <w:r>
              <w:rPr>
                <w:rStyle w:val="27"/>
                <w:rFonts w:ascii="Times New Roman" w:hAnsi="Times New Roman" w:cs="Times New Roman"/>
                <w:b w:val="0"/>
                <w:color w:val="auto"/>
                <w:sz w:val="24"/>
                <w:szCs w:val="24"/>
              </w:rPr>
              <w:t>CO</w:t>
            </w:r>
            <w:r>
              <w:rPr>
                <w:rStyle w:val="27"/>
                <w:rFonts w:hint="eastAsia" w:ascii="Times New Roman" w:hAnsi="Times New Roman" w:cs="Times New Roman"/>
                <w:b w:val="0"/>
                <w:color w:val="auto"/>
                <w:sz w:val="24"/>
                <w:szCs w:val="24"/>
              </w:rPr>
              <w:t>和</w:t>
            </w:r>
            <w:r>
              <w:rPr>
                <w:rStyle w:val="27"/>
                <w:rFonts w:ascii="Times New Roman" w:hAnsi="Times New Roman" w:cs="Times New Roman"/>
                <w:b w:val="0"/>
                <w:color w:val="auto"/>
                <w:sz w:val="24"/>
                <w:szCs w:val="24"/>
              </w:rPr>
              <w:t>O</w:t>
            </w:r>
            <w:r>
              <w:rPr>
                <w:rStyle w:val="27"/>
                <w:rFonts w:ascii="Times New Roman" w:hAnsi="Times New Roman" w:cs="Times New Roman"/>
                <w:b w:val="0"/>
                <w:color w:val="auto"/>
                <w:sz w:val="24"/>
                <w:szCs w:val="24"/>
                <w:vertAlign w:val="subscript"/>
              </w:rPr>
              <w:t>3</w:t>
            </w:r>
            <w:r>
              <w:rPr>
                <w:rStyle w:val="27"/>
                <w:rFonts w:hint="eastAsia" w:ascii="Times New Roman" w:hAnsi="Times New Roman" w:cs="Times New Roman"/>
                <w:b w:val="0"/>
                <w:color w:val="auto"/>
                <w:sz w:val="24"/>
                <w:szCs w:val="24"/>
              </w:rPr>
              <w:t>等环境空气</w:t>
            </w:r>
            <w:r>
              <w:rPr>
                <w:rStyle w:val="27"/>
                <w:rFonts w:ascii="Times New Roman" w:hAnsi="Times New Roman" w:cs="Times New Roman"/>
                <w:b w:val="0"/>
                <w:color w:val="auto"/>
                <w:sz w:val="24"/>
                <w:szCs w:val="24"/>
              </w:rPr>
              <w:t>常规污染因子</w:t>
            </w:r>
            <w:r>
              <w:rPr>
                <w:rStyle w:val="27"/>
                <w:rFonts w:hint="eastAsia" w:ascii="Times New Roman" w:hAnsi="Times New Roman" w:cs="Times New Roman"/>
                <w:b w:val="0"/>
                <w:color w:val="auto"/>
                <w:sz w:val="24"/>
                <w:szCs w:val="24"/>
              </w:rPr>
              <w:t>的全年监测数据，</w:t>
            </w:r>
            <w:r>
              <w:rPr>
                <w:rStyle w:val="27"/>
                <w:rFonts w:hint="default" w:ascii="Times New Roman" w:hAnsi="Times New Roman" w:eastAsia="宋体" w:cs="Times New Roman"/>
                <w:b w:val="0"/>
                <w:bCs/>
                <w:color w:val="auto"/>
                <w:sz w:val="24"/>
                <w:szCs w:val="24"/>
                <w:highlight w:val="none"/>
              </w:rPr>
              <w:t>判断所在区域是否属于达标区，具体见表</w:t>
            </w:r>
            <w:r>
              <w:rPr>
                <w:rStyle w:val="27"/>
                <w:rFonts w:hint="eastAsia" w:ascii="Times New Roman" w:hAnsi="Times New Roman" w:eastAsia="宋体" w:cs="Times New Roman"/>
                <w:b w:val="0"/>
                <w:bCs/>
                <w:color w:val="auto"/>
                <w:sz w:val="24"/>
                <w:szCs w:val="24"/>
                <w:highlight w:val="none"/>
                <w:lang w:val="en-US" w:eastAsia="zh-CN"/>
              </w:rPr>
              <w:t>3</w:t>
            </w:r>
            <w:r>
              <w:rPr>
                <w:rStyle w:val="27"/>
                <w:rFonts w:hint="default" w:ascii="Times New Roman" w:hAnsi="Times New Roman" w:eastAsia="宋体" w:cs="Times New Roman"/>
                <w:b w:val="0"/>
                <w:bCs/>
                <w:color w:val="auto"/>
                <w:sz w:val="24"/>
                <w:szCs w:val="24"/>
                <w:highlight w:val="none"/>
              </w:rPr>
              <w:t>-</w:t>
            </w:r>
            <w:r>
              <w:rPr>
                <w:rStyle w:val="27"/>
                <w:rFonts w:hint="eastAsia" w:ascii="Times New Roman" w:hAnsi="Times New Roman" w:cs="Times New Roman"/>
                <w:b w:val="0"/>
                <w:bCs/>
                <w:color w:val="auto"/>
                <w:sz w:val="24"/>
                <w:szCs w:val="24"/>
                <w:highlight w:val="none"/>
                <w:lang w:val="en-US" w:eastAsia="zh-CN"/>
              </w:rPr>
              <w:t>1</w:t>
            </w:r>
            <w:r>
              <w:rPr>
                <w:rStyle w:val="27"/>
                <w:rFonts w:hint="default" w:ascii="Times New Roman" w:hAnsi="Times New Roman" w:eastAsia="宋体" w:cs="Times New Roman"/>
                <w:b w:val="0"/>
                <w:bCs/>
                <w:color w:val="auto"/>
                <w:sz w:val="24"/>
                <w:szCs w:val="24"/>
                <w:highlight w:val="none"/>
              </w:rPr>
              <w:t>。</w:t>
            </w:r>
          </w:p>
          <w:p w14:paraId="49C0FAC8">
            <w:pPr>
              <w:pStyle w:val="7"/>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区域空气质量现状评价表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26"/>
              <w:gridCol w:w="1788"/>
              <w:gridCol w:w="1581"/>
              <w:gridCol w:w="1362"/>
              <w:gridCol w:w="890"/>
            </w:tblGrid>
            <w:tr w14:paraId="2ACA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097CF6FE">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2026" w:type="dxa"/>
                  <w:noWrap w:val="0"/>
                  <w:vAlign w:val="center"/>
                </w:tcPr>
                <w:p w14:paraId="4669BD8A">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年评价指标</w:t>
                  </w:r>
                </w:p>
              </w:tc>
              <w:tc>
                <w:tcPr>
                  <w:tcW w:w="1788" w:type="dxa"/>
                  <w:noWrap w:val="0"/>
                  <w:vAlign w:val="center"/>
                </w:tcPr>
                <w:p w14:paraId="47E2D2FE">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现状浓度（μg/m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581" w:type="dxa"/>
                  <w:noWrap w:val="0"/>
                  <w:vAlign w:val="center"/>
                </w:tcPr>
                <w:p w14:paraId="23EAFC9A">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标准值（μg/m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362" w:type="dxa"/>
                  <w:noWrap w:val="0"/>
                  <w:vAlign w:val="center"/>
                </w:tcPr>
                <w:p w14:paraId="4F8D5B07">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占标率</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eastAsia="zh-CN"/>
                    </w:rPr>
                    <w:t>）</w:t>
                  </w:r>
                </w:p>
              </w:tc>
              <w:tc>
                <w:tcPr>
                  <w:tcW w:w="890" w:type="dxa"/>
                  <w:noWrap w:val="0"/>
                  <w:vAlign w:val="center"/>
                </w:tcPr>
                <w:p w14:paraId="4342D257">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p w14:paraId="09F37416">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情况</w:t>
                  </w:r>
                </w:p>
              </w:tc>
            </w:tr>
            <w:tr w14:paraId="121E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44F8BEAD">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SO</w:t>
                  </w:r>
                  <w:r>
                    <w:rPr>
                      <w:rFonts w:hint="default" w:ascii="Times New Roman" w:hAnsi="Times New Roman" w:eastAsia="宋体" w:cs="Times New Roman"/>
                      <w:b w:val="0"/>
                      <w:bCs w:val="0"/>
                      <w:color w:val="auto"/>
                      <w:kern w:val="0"/>
                      <w:sz w:val="21"/>
                      <w:szCs w:val="21"/>
                      <w:highlight w:val="none"/>
                      <w:vertAlign w:val="subscript"/>
                    </w:rPr>
                    <w:t>2</w:t>
                  </w:r>
                </w:p>
              </w:tc>
              <w:tc>
                <w:tcPr>
                  <w:tcW w:w="2026" w:type="dxa"/>
                  <w:noWrap w:val="0"/>
                  <w:vAlign w:val="center"/>
                </w:tcPr>
                <w:p w14:paraId="7A140A4D">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年平均质量浓度</w:t>
                  </w:r>
                </w:p>
              </w:tc>
              <w:tc>
                <w:tcPr>
                  <w:tcW w:w="1788" w:type="dxa"/>
                  <w:noWrap w:val="0"/>
                  <w:vAlign w:val="center"/>
                </w:tcPr>
                <w:p w14:paraId="6AE0C635">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1581" w:type="dxa"/>
                  <w:noWrap w:val="0"/>
                  <w:vAlign w:val="center"/>
                </w:tcPr>
                <w:p w14:paraId="4B87F7E3">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60</w:t>
                  </w:r>
                </w:p>
              </w:tc>
              <w:tc>
                <w:tcPr>
                  <w:tcW w:w="1362" w:type="dxa"/>
                  <w:noWrap w:val="0"/>
                  <w:vAlign w:val="center"/>
                </w:tcPr>
                <w:p w14:paraId="2E8E8E0E">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8.33</w:t>
                  </w:r>
                </w:p>
              </w:tc>
              <w:tc>
                <w:tcPr>
                  <w:tcW w:w="890" w:type="dxa"/>
                  <w:noWrap w:val="0"/>
                  <w:vAlign w:val="center"/>
                </w:tcPr>
                <w:p w14:paraId="1EA45AD4">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4C76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1862966C">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NO</w:t>
                  </w:r>
                  <w:r>
                    <w:rPr>
                      <w:rFonts w:hint="default" w:ascii="Times New Roman" w:hAnsi="Times New Roman" w:eastAsia="宋体" w:cs="Times New Roman"/>
                      <w:b w:val="0"/>
                      <w:bCs w:val="0"/>
                      <w:color w:val="auto"/>
                      <w:kern w:val="0"/>
                      <w:sz w:val="21"/>
                      <w:szCs w:val="21"/>
                      <w:highlight w:val="none"/>
                      <w:vertAlign w:val="subscript"/>
                    </w:rPr>
                    <w:t>2</w:t>
                  </w:r>
                </w:p>
              </w:tc>
              <w:tc>
                <w:tcPr>
                  <w:tcW w:w="2026" w:type="dxa"/>
                  <w:noWrap w:val="0"/>
                  <w:vAlign w:val="center"/>
                </w:tcPr>
                <w:p w14:paraId="54F994E0">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年平均质量浓度</w:t>
                  </w:r>
                </w:p>
              </w:tc>
              <w:tc>
                <w:tcPr>
                  <w:tcW w:w="1788" w:type="dxa"/>
                  <w:noWrap w:val="0"/>
                  <w:vAlign w:val="center"/>
                </w:tcPr>
                <w:p w14:paraId="358FE555">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24</w:t>
                  </w:r>
                </w:p>
              </w:tc>
              <w:tc>
                <w:tcPr>
                  <w:tcW w:w="1581" w:type="dxa"/>
                  <w:noWrap w:val="0"/>
                  <w:vAlign w:val="center"/>
                </w:tcPr>
                <w:p w14:paraId="0D83E310">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40</w:t>
                  </w:r>
                </w:p>
              </w:tc>
              <w:tc>
                <w:tcPr>
                  <w:tcW w:w="1362" w:type="dxa"/>
                  <w:noWrap w:val="0"/>
                  <w:vAlign w:val="center"/>
                </w:tcPr>
                <w:p w14:paraId="0F03528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60.00</w:t>
                  </w:r>
                </w:p>
              </w:tc>
              <w:tc>
                <w:tcPr>
                  <w:tcW w:w="890" w:type="dxa"/>
                  <w:noWrap w:val="0"/>
                  <w:vAlign w:val="center"/>
                </w:tcPr>
                <w:p w14:paraId="3BD714E0">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5EA9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6B361BC5">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PM</w:t>
                  </w:r>
                  <w:r>
                    <w:rPr>
                      <w:rFonts w:hint="default" w:ascii="Times New Roman" w:hAnsi="Times New Roman" w:eastAsia="宋体" w:cs="Times New Roman"/>
                      <w:b w:val="0"/>
                      <w:bCs w:val="0"/>
                      <w:color w:val="auto"/>
                      <w:kern w:val="0"/>
                      <w:sz w:val="21"/>
                      <w:szCs w:val="21"/>
                      <w:highlight w:val="none"/>
                      <w:vertAlign w:val="subscript"/>
                    </w:rPr>
                    <w:t>10</w:t>
                  </w:r>
                </w:p>
              </w:tc>
              <w:tc>
                <w:tcPr>
                  <w:tcW w:w="2026" w:type="dxa"/>
                  <w:noWrap w:val="0"/>
                  <w:vAlign w:val="center"/>
                </w:tcPr>
                <w:p w14:paraId="2DE8A9BA">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年平均质量浓度</w:t>
                  </w:r>
                </w:p>
              </w:tc>
              <w:tc>
                <w:tcPr>
                  <w:tcW w:w="1788" w:type="dxa"/>
                  <w:noWrap w:val="0"/>
                  <w:vAlign w:val="center"/>
                </w:tcPr>
                <w:p w14:paraId="106F19E1">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51</w:t>
                  </w:r>
                </w:p>
              </w:tc>
              <w:tc>
                <w:tcPr>
                  <w:tcW w:w="1581" w:type="dxa"/>
                  <w:noWrap w:val="0"/>
                  <w:vAlign w:val="center"/>
                </w:tcPr>
                <w:p w14:paraId="014CB108">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70</w:t>
                  </w:r>
                </w:p>
              </w:tc>
              <w:tc>
                <w:tcPr>
                  <w:tcW w:w="1362" w:type="dxa"/>
                  <w:noWrap w:val="0"/>
                  <w:vAlign w:val="center"/>
                </w:tcPr>
                <w:p w14:paraId="39F46D35">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72.86</w:t>
                  </w:r>
                </w:p>
              </w:tc>
              <w:tc>
                <w:tcPr>
                  <w:tcW w:w="890" w:type="dxa"/>
                  <w:noWrap w:val="0"/>
                  <w:vAlign w:val="center"/>
                </w:tcPr>
                <w:p w14:paraId="3C822EE7">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2AAB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2E072BDB">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PM</w:t>
                  </w:r>
                  <w:r>
                    <w:rPr>
                      <w:rFonts w:hint="default" w:ascii="Times New Roman" w:hAnsi="Times New Roman" w:eastAsia="宋体" w:cs="Times New Roman"/>
                      <w:b w:val="0"/>
                      <w:bCs w:val="0"/>
                      <w:color w:val="auto"/>
                      <w:kern w:val="0"/>
                      <w:sz w:val="21"/>
                      <w:szCs w:val="21"/>
                      <w:highlight w:val="none"/>
                      <w:vertAlign w:val="subscript"/>
                    </w:rPr>
                    <w:t>2.5</w:t>
                  </w:r>
                </w:p>
              </w:tc>
              <w:tc>
                <w:tcPr>
                  <w:tcW w:w="2026" w:type="dxa"/>
                  <w:noWrap w:val="0"/>
                  <w:vAlign w:val="center"/>
                </w:tcPr>
                <w:p w14:paraId="573D060F">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年平均质量浓度</w:t>
                  </w:r>
                </w:p>
              </w:tc>
              <w:tc>
                <w:tcPr>
                  <w:tcW w:w="1788" w:type="dxa"/>
                  <w:noWrap w:val="0"/>
                  <w:vAlign w:val="center"/>
                </w:tcPr>
                <w:p w14:paraId="353AA050">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w:t>
                  </w:r>
                </w:p>
              </w:tc>
              <w:tc>
                <w:tcPr>
                  <w:tcW w:w="1581" w:type="dxa"/>
                  <w:noWrap w:val="0"/>
                  <w:vAlign w:val="center"/>
                </w:tcPr>
                <w:p w14:paraId="472EE900">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35</w:t>
                  </w:r>
                </w:p>
              </w:tc>
              <w:tc>
                <w:tcPr>
                  <w:tcW w:w="1362" w:type="dxa"/>
                  <w:noWrap w:val="0"/>
                  <w:vAlign w:val="center"/>
                </w:tcPr>
                <w:p w14:paraId="6516D7A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88.57</w:t>
                  </w:r>
                </w:p>
              </w:tc>
              <w:tc>
                <w:tcPr>
                  <w:tcW w:w="890" w:type="dxa"/>
                  <w:noWrap w:val="0"/>
                  <w:vAlign w:val="center"/>
                </w:tcPr>
                <w:p w14:paraId="51E5B951">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59BB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6125430B">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CO</w:t>
                  </w:r>
                </w:p>
              </w:tc>
              <w:tc>
                <w:tcPr>
                  <w:tcW w:w="2026" w:type="dxa"/>
                  <w:noWrap w:val="0"/>
                  <w:vAlign w:val="center"/>
                </w:tcPr>
                <w:p w14:paraId="739FE8E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w:t>
                  </w:r>
                </w:p>
                <w:p w14:paraId="381DC242">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第95百分位数</w:t>
                  </w:r>
                </w:p>
              </w:tc>
              <w:tc>
                <w:tcPr>
                  <w:tcW w:w="1788" w:type="dxa"/>
                  <w:noWrap w:val="0"/>
                  <w:vAlign w:val="center"/>
                </w:tcPr>
                <w:p w14:paraId="1E30997D">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800</w:t>
                  </w:r>
                </w:p>
              </w:tc>
              <w:tc>
                <w:tcPr>
                  <w:tcW w:w="1581" w:type="dxa"/>
                  <w:noWrap w:val="0"/>
                  <w:vAlign w:val="center"/>
                </w:tcPr>
                <w:p w14:paraId="12D6671C">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4000</w:t>
                  </w:r>
                </w:p>
              </w:tc>
              <w:tc>
                <w:tcPr>
                  <w:tcW w:w="1362" w:type="dxa"/>
                  <w:noWrap w:val="0"/>
                  <w:vAlign w:val="center"/>
                </w:tcPr>
                <w:p w14:paraId="4236D875">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20.00</w:t>
                  </w:r>
                </w:p>
              </w:tc>
              <w:tc>
                <w:tcPr>
                  <w:tcW w:w="890" w:type="dxa"/>
                  <w:noWrap w:val="0"/>
                  <w:vAlign w:val="center"/>
                </w:tcPr>
                <w:p w14:paraId="5120CC94">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达标</w:t>
                  </w:r>
                </w:p>
              </w:tc>
            </w:tr>
            <w:tr w14:paraId="1FAA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noWrap w:val="0"/>
                  <w:vAlign w:val="center"/>
                </w:tcPr>
                <w:p w14:paraId="3CD584BA">
                  <w:pPr>
                    <w:adjustRightInd w:val="0"/>
                    <w:snapToGrid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O</w:t>
                  </w:r>
                  <w:r>
                    <w:rPr>
                      <w:rFonts w:hint="default" w:ascii="Times New Roman" w:hAnsi="Times New Roman" w:eastAsia="宋体" w:cs="Times New Roman"/>
                      <w:b w:val="0"/>
                      <w:bCs w:val="0"/>
                      <w:color w:val="auto"/>
                      <w:sz w:val="21"/>
                      <w:szCs w:val="21"/>
                      <w:highlight w:val="none"/>
                      <w:vertAlign w:val="subscript"/>
                    </w:rPr>
                    <w:t>3</w:t>
                  </w:r>
                </w:p>
              </w:tc>
              <w:tc>
                <w:tcPr>
                  <w:tcW w:w="2026" w:type="dxa"/>
                  <w:noWrap w:val="0"/>
                  <w:vAlign w:val="center"/>
                </w:tcPr>
                <w:p w14:paraId="6FD55D3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日最大8小时平均第90百分位数</w:t>
                  </w:r>
                </w:p>
              </w:tc>
              <w:tc>
                <w:tcPr>
                  <w:tcW w:w="1788" w:type="dxa"/>
                  <w:noWrap w:val="0"/>
                  <w:vAlign w:val="center"/>
                </w:tcPr>
                <w:p w14:paraId="78FAAECE">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161</w:t>
                  </w:r>
                </w:p>
              </w:tc>
              <w:tc>
                <w:tcPr>
                  <w:tcW w:w="1581" w:type="dxa"/>
                  <w:noWrap w:val="0"/>
                  <w:vAlign w:val="center"/>
                </w:tcPr>
                <w:p w14:paraId="02B19488">
                  <w:pPr>
                    <w:adjustRightInd w:val="0"/>
                    <w:snapToGrid w:val="0"/>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160</w:t>
                  </w:r>
                </w:p>
              </w:tc>
              <w:tc>
                <w:tcPr>
                  <w:tcW w:w="1362" w:type="dxa"/>
                  <w:noWrap w:val="0"/>
                  <w:vAlign w:val="center"/>
                </w:tcPr>
                <w:p w14:paraId="317CA502">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100.63</w:t>
                  </w:r>
                </w:p>
              </w:tc>
              <w:tc>
                <w:tcPr>
                  <w:tcW w:w="890" w:type="dxa"/>
                  <w:noWrap w:val="0"/>
                  <w:vAlign w:val="center"/>
                </w:tcPr>
                <w:p w14:paraId="27A3B553">
                  <w:pPr>
                    <w:adjustRightInd w:val="0"/>
                    <w:snapToGrid w:val="0"/>
                    <w:jc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超标</w:t>
                  </w:r>
                </w:p>
              </w:tc>
            </w:tr>
          </w:tbl>
          <w:p w14:paraId="21E133F7">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center"/>
              <w:rPr>
                <w:rFonts w:ascii="Times New Roman" w:hAnsi="Times New Roman" w:cs="Times New Roman"/>
                <w:color w:val="auto"/>
                <w:sz w:val="24"/>
              </w:rPr>
            </w:pPr>
            <w:r>
              <w:rPr>
                <w:rFonts w:hint="eastAsia" w:ascii="Times New Roman" w:hAnsi="Times New Roman" w:cs="Times New Roman"/>
                <w:color w:val="auto"/>
                <w:sz w:val="24"/>
                <w:lang w:val="en-US" w:eastAsia="zh-CN"/>
              </w:rPr>
              <w:t>从上表可知，德清县2023年大气环境SO</w:t>
            </w:r>
            <w:r>
              <w:rPr>
                <w:rFonts w:hint="eastAsia" w:ascii="Times New Roman" w:hAnsi="Times New Roman" w:cs="Times New Roman"/>
                <w:color w:val="auto"/>
                <w:sz w:val="24"/>
                <w:vertAlign w:val="subscript"/>
                <w:lang w:val="en-US" w:eastAsia="zh-CN"/>
              </w:rPr>
              <w:t>2</w:t>
            </w:r>
            <w:r>
              <w:rPr>
                <w:rFonts w:hint="eastAsia" w:ascii="Times New Roman" w:hAnsi="Times New Roman" w:cs="Times New Roman"/>
                <w:color w:val="auto"/>
                <w:sz w:val="24"/>
                <w:lang w:val="en-US" w:eastAsia="zh-CN"/>
              </w:rPr>
              <w:t>、NO</w:t>
            </w:r>
            <w:r>
              <w:rPr>
                <w:rFonts w:hint="eastAsia" w:ascii="Times New Roman" w:hAnsi="Times New Roman" w:cs="Times New Roman"/>
                <w:color w:val="auto"/>
                <w:sz w:val="24"/>
                <w:vertAlign w:val="subscript"/>
                <w:lang w:val="en-US" w:eastAsia="zh-CN"/>
              </w:rPr>
              <w:t>2</w:t>
            </w:r>
            <w:r>
              <w:rPr>
                <w:rFonts w:hint="eastAsia" w:ascii="Times New Roman" w:hAnsi="Times New Roman" w:cs="Times New Roman"/>
                <w:color w:val="auto"/>
                <w:sz w:val="24"/>
                <w:lang w:val="en-US" w:eastAsia="zh-CN"/>
              </w:rPr>
              <w:t>、PM</w:t>
            </w:r>
            <w:r>
              <w:rPr>
                <w:rFonts w:hint="eastAsia" w:ascii="Times New Roman" w:hAnsi="Times New Roman" w:cs="Times New Roman"/>
                <w:color w:val="auto"/>
                <w:sz w:val="24"/>
                <w:vertAlign w:val="subscript"/>
                <w:lang w:val="en-US" w:eastAsia="zh-CN"/>
              </w:rPr>
              <w:t>10</w:t>
            </w:r>
            <w:r>
              <w:rPr>
                <w:rFonts w:hint="eastAsia" w:ascii="Times New Roman" w:hAnsi="Times New Roman" w:cs="Times New Roman"/>
                <w:color w:val="auto"/>
                <w:sz w:val="24"/>
                <w:lang w:val="en-US" w:eastAsia="zh-CN"/>
              </w:rPr>
              <w:t>、PM</w:t>
            </w:r>
            <w:r>
              <w:rPr>
                <w:rFonts w:hint="eastAsia" w:ascii="Times New Roman" w:hAnsi="Times New Roman" w:cs="Times New Roman"/>
                <w:color w:val="auto"/>
                <w:sz w:val="24"/>
                <w:vertAlign w:val="subscript"/>
                <w:lang w:val="en-US" w:eastAsia="zh-CN"/>
              </w:rPr>
              <w:t>2.5</w:t>
            </w:r>
            <w:r>
              <w:rPr>
                <w:rFonts w:hint="eastAsia" w:ascii="Times New Roman" w:hAnsi="Times New Roman" w:cs="Times New Roman"/>
                <w:color w:val="auto"/>
                <w:sz w:val="24"/>
                <w:lang w:val="en-US" w:eastAsia="zh-CN"/>
              </w:rPr>
              <w:t>年均值，CO的24小时平均值能达到《环境空气质量标准》（GB3095-2012）中的二级标准，但O</w:t>
            </w:r>
            <w:r>
              <w:rPr>
                <w:rFonts w:hint="eastAsia" w:ascii="Times New Roman" w:hAnsi="Times New Roman" w:cs="Times New Roman"/>
                <w:color w:val="auto"/>
                <w:sz w:val="24"/>
                <w:vertAlign w:val="subscript"/>
                <w:lang w:val="en-US" w:eastAsia="zh-CN"/>
              </w:rPr>
              <w:t>3</w:t>
            </w:r>
            <w:r>
              <w:rPr>
                <w:rFonts w:hint="eastAsia" w:ascii="Times New Roman" w:hAnsi="Times New Roman" w:cs="Times New Roman"/>
                <w:color w:val="auto"/>
                <w:sz w:val="24"/>
                <w:lang w:val="en-US" w:eastAsia="zh-CN"/>
              </w:rPr>
              <w:t>日最大8小时平均值有超标现象。本项目所在区域属于不达标区。</w:t>
            </w:r>
          </w:p>
          <w:p w14:paraId="0AEAAFF2">
            <w:pPr>
              <w:widowControl/>
              <w:wordWrap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湖州市人民政府早在2019年已制定了《湖州市大气环境质量限期达标规划》，要求进一步加强大气污染防治，推动大气环境质量持续改善，保障人民群众健康。相关内容如下：</w:t>
            </w:r>
          </w:p>
          <w:p w14:paraId="35C3AD08">
            <w:pPr>
              <w:widowControl/>
              <w:wordWrap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总体目标：以改善城市空气质量、保护人体健康为基本出发点，2025年环境空气质量全部达标：PM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年均浓度达到30.0µg/m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浓度达到国家环境空气质量二级标准；PM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、CO稳定达到国家环境空气质量二级标准要求。</w:t>
            </w:r>
          </w:p>
          <w:p w14:paraId="05224C81">
            <w:pPr>
              <w:widowControl/>
              <w:wordWrap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阶段目标：依据空气质量目标和达标期限，将空气质量改善任务按时间节点进行分解，2018-2020年第一阶段，PM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年均浓度达到35.0µg/m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污染恶化趋势得到遏制，PM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、CO稳定达到国家环境空气质量二级标准要求；2021-2023 年第二阶段，PM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年均浓度达到32.0µg/m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以下，O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浓度达到拐点，PM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、CO稳定达到国家环境空气质量二级标准要求；2024-2025年第三阶段，PM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年均浓度达到30.0µg/m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浓度达到国家环境空气质量二级标准，PM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、CO稳定达到国家环境空气质量二级标准要求。</w:t>
            </w:r>
          </w:p>
          <w:p w14:paraId="5ACDCF0B">
            <w:pPr>
              <w:widowControl/>
              <w:wordWrap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德清县污染防治攻坚工作领导小组办公室于2023年3月17日印发了《德清县深入打好污染防治攻坚战2023年度工作计划》（美丽德清发〔2023〕1号），德清县已开展臭氧污染防治攻坚行动。</w:t>
            </w:r>
          </w:p>
          <w:p w14:paraId="383585B4">
            <w:pPr>
              <w:widowControl/>
              <w:wordWrap w:val="0"/>
              <w:spacing w:line="360" w:lineRule="auto"/>
              <w:ind w:firstLine="480" w:firstLineChars="200"/>
              <w:rPr>
                <w:rFonts w:hint="eastAsia" w:ascii="Times New Roman" w:hAnsi="Times New Roman"/>
                <w:color w:val="auto"/>
                <w:sz w:val="24"/>
                <w:highlight w:val="none"/>
                <w:lang w:eastAsia="zh-CN"/>
              </w:rPr>
            </w:pPr>
            <w:r>
              <w:rPr>
                <w:rFonts w:hint="default" w:ascii="Times New Roman" w:hAnsi="Times New Roman" w:eastAsia="宋体" w:cs="Times New Roman"/>
                <w:color w:val="auto"/>
                <w:sz w:val="24"/>
                <w:szCs w:val="24"/>
              </w:rPr>
              <w:t>综上所述，随着当地大气污染减排计划的推进，大气污染情况将呈逐步下降的趋势，德清县将由环境空气质量不达标区逐步向达标区转变。</w:t>
            </w:r>
          </w:p>
          <w:p w14:paraId="61D571C7">
            <w:pPr>
              <w:pStyle w:val="7"/>
              <w:spacing w:line="500" w:lineRule="exact"/>
              <w:ind w:firstLine="480" w:firstLineChars="200"/>
              <w:rPr>
                <w:rFonts w:ascii="Times New Roman" w:hAnsi="Times New Roman"/>
                <w:b/>
                <w:bCs/>
                <w:color w:val="FF0000"/>
                <w:szCs w:val="21"/>
              </w:rPr>
            </w:pPr>
            <w:r>
              <w:rPr>
                <w:rFonts w:hint="eastAsia" w:ascii="Times New Roman" w:hAnsi="Times New Roman"/>
                <w:color w:val="auto"/>
                <w:sz w:val="24"/>
                <w:highlight w:val="none"/>
                <w:lang w:eastAsia="zh-CN"/>
              </w:rPr>
              <w:t>为了解</w:t>
            </w:r>
            <w:r>
              <w:rPr>
                <w:rFonts w:hint="eastAsia" w:ascii="Times New Roman" w:hAnsi="Times New Roman"/>
                <w:color w:val="auto"/>
                <w:sz w:val="24"/>
                <w:highlight w:val="none"/>
                <w:lang w:val="en-US" w:eastAsia="zh-CN"/>
              </w:rPr>
              <w:t>项目所在区域总悬浮颗粒物</w:t>
            </w:r>
            <w:r>
              <w:rPr>
                <w:rFonts w:ascii="Times New Roman" w:hAnsi="Times New Roman"/>
                <w:color w:val="auto"/>
                <w:sz w:val="24"/>
                <w:szCs w:val="24"/>
                <w:highlight w:val="none"/>
              </w:rPr>
              <w:t>的</w:t>
            </w:r>
            <w:r>
              <w:rPr>
                <w:rFonts w:hint="eastAsia" w:ascii="Times New Roman" w:hAnsi="Times New Roman"/>
                <w:color w:val="auto"/>
                <w:sz w:val="24"/>
                <w:szCs w:val="24"/>
                <w:highlight w:val="none"/>
                <w:lang w:eastAsia="zh-CN"/>
              </w:rPr>
              <w:t>环境</w:t>
            </w:r>
            <w:r>
              <w:rPr>
                <w:rFonts w:ascii="Times New Roman" w:hAnsi="Times New Roman"/>
                <w:color w:val="auto"/>
                <w:sz w:val="24"/>
                <w:szCs w:val="24"/>
                <w:highlight w:val="none"/>
              </w:rPr>
              <w:t>质量现状</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本次环评引用华浚塑料建材有限公司</w:t>
            </w:r>
            <w:r>
              <w:rPr>
                <w:rFonts w:hint="eastAsia" w:ascii="Times New Roman" w:hAnsi="Times New Roman"/>
                <w:color w:val="auto"/>
                <w:sz w:val="24"/>
                <w:szCs w:val="24"/>
                <w:highlight w:val="none"/>
                <w:lang w:eastAsia="zh-CN"/>
              </w:rPr>
              <w:t>委托</w:t>
            </w:r>
            <w:r>
              <w:rPr>
                <w:rFonts w:hint="eastAsia" w:ascii="Times New Roman" w:hAnsi="Times New Roman"/>
                <w:color w:val="auto"/>
                <w:sz w:val="24"/>
                <w:szCs w:val="24"/>
                <w:highlight w:val="none"/>
              </w:rPr>
              <w:t>耐斯检测技术服务</w:t>
            </w:r>
            <w:r>
              <w:rPr>
                <w:rFonts w:hint="default" w:ascii="Times New Roman" w:hAnsi="Times New Roman" w:eastAsia="宋体" w:cs="Times New Roman"/>
                <w:color w:val="auto"/>
                <w:sz w:val="24"/>
                <w:szCs w:val="24"/>
                <w:highlight w:val="none"/>
              </w:rPr>
              <w:t>有限公司于202</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日至</w:t>
            </w:r>
            <w:r>
              <w:rPr>
                <w:rFonts w:hint="eastAsia" w:ascii="Times New Roman" w:hAnsi="Times New Roman"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27</w:t>
            </w:r>
            <w:r>
              <w:rPr>
                <w:rFonts w:hint="default" w:ascii="Times New Roman" w:hAnsi="Times New Roman" w:eastAsia="宋体" w:cs="Times New Roman"/>
                <w:color w:val="auto"/>
                <w:sz w:val="24"/>
                <w:szCs w:val="24"/>
                <w:highlight w:val="none"/>
              </w:rPr>
              <w:t>日在</w:t>
            </w:r>
            <w:r>
              <w:rPr>
                <w:rFonts w:hint="eastAsia" w:ascii="Times New Roman" w:hAnsi="Times New Roman" w:cs="Times New Roman"/>
                <w:color w:val="auto"/>
                <w:sz w:val="24"/>
                <w:szCs w:val="24"/>
                <w:highlight w:val="none"/>
                <w:lang w:val="en-US" w:eastAsia="zh-CN"/>
              </w:rPr>
              <w:t>其</w:t>
            </w:r>
            <w:r>
              <w:rPr>
                <w:rFonts w:hint="default" w:ascii="Times New Roman" w:hAnsi="Times New Roman" w:eastAsia="宋体" w:cs="Times New Roman"/>
                <w:color w:val="auto"/>
                <w:sz w:val="24"/>
                <w:szCs w:val="24"/>
                <w:highlight w:val="none"/>
              </w:rPr>
              <w:t>项目所在地块</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本项目位于该项目的监测点东侧约1.78km，检测数据在三年以内，范围在5km以内，符合引用监测数据要求</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进行</w:t>
            </w:r>
            <w:r>
              <w:rPr>
                <w:rFonts w:hint="eastAsia" w:ascii="Times New Roman" w:hAnsi="Times New Roman"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eastAsia="zh-CN"/>
              </w:rPr>
              <w:t>检测</w:t>
            </w:r>
            <w:r>
              <w:rPr>
                <w:rFonts w:hint="eastAsia" w:ascii="Times New Roman" w:hAnsi="Times New Roman" w:cs="Times New Roman"/>
                <w:color w:val="auto"/>
                <w:sz w:val="24"/>
                <w:szCs w:val="24"/>
                <w:highlight w:val="none"/>
                <w:lang w:val="en-US" w:eastAsia="zh-CN"/>
              </w:rPr>
              <w:t>数据</w:t>
            </w:r>
            <w:r>
              <w:rPr>
                <w:rFonts w:hint="default" w:ascii="Times New Roman" w:hAnsi="Times New Roman" w:eastAsia="宋体" w:cs="Times New Roman"/>
                <w:color w:val="auto"/>
                <w:sz w:val="24"/>
                <w:szCs w:val="24"/>
                <w:highlight w:val="none"/>
              </w:rPr>
              <w:t>（报告编号：</w:t>
            </w:r>
            <w:r>
              <w:rPr>
                <w:rFonts w:hint="default" w:ascii="Times New Roman" w:hAnsi="Times New Roman" w:eastAsia="宋体" w:cs="Times New Roman"/>
                <w:color w:val="auto"/>
                <w:sz w:val="24"/>
                <w:szCs w:val="24"/>
                <w:highlight w:val="none"/>
                <w:lang w:eastAsia="zh-CN"/>
              </w:rPr>
              <w:t>检02202105079</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见表</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p>
          <w:p w14:paraId="1122D7E9">
            <w:pPr>
              <w:spacing w:line="460" w:lineRule="exact"/>
              <w:jc w:val="center"/>
              <w:rPr>
                <w:rFonts w:ascii="Times New Roman" w:hAnsi="Times New Roman"/>
                <w:color w:val="FF0000"/>
                <w:sz w:val="24"/>
                <w:szCs w:val="24"/>
              </w:rPr>
            </w:pPr>
            <w:r>
              <w:rPr>
                <w:rFonts w:ascii="Times New Roman" w:hAnsi="Times New Roman"/>
                <w:b/>
                <w:bCs/>
                <w:color w:val="auto"/>
                <w:szCs w:val="21"/>
              </w:rPr>
              <w:t>表</w:t>
            </w:r>
            <w:r>
              <w:rPr>
                <w:rFonts w:hint="eastAsia" w:ascii="Times New Roman" w:hAnsi="Times New Roman"/>
                <w:b/>
                <w:bCs/>
                <w:color w:val="auto"/>
                <w:szCs w:val="21"/>
                <w:lang w:val="en-US" w:eastAsia="zh-CN"/>
              </w:rPr>
              <w:t>3-2</w:t>
            </w:r>
            <w:r>
              <w:rPr>
                <w:rFonts w:ascii="Times New Roman" w:hAnsi="Times New Roman"/>
                <w:b/>
                <w:bCs/>
                <w:color w:val="auto"/>
                <w:szCs w:val="21"/>
              </w:rPr>
              <w:t xml:space="preserve">  </w:t>
            </w:r>
            <w:r>
              <w:rPr>
                <w:rFonts w:hint="eastAsia" w:ascii="Times New Roman" w:hAnsi="Times New Roman"/>
                <w:b/>
                <w:bCs/>
                <w:color w:val="auto"/>
                <w:szCs w:val="21"/>
                <w:lang w:val="en-US" w:eastAsia="zh-CN"/>
              </w:rPr>
              <w:t>总悬浮颗粒物</w:t>
            </w:r>
            <w:r>
              <w:rPr>
                <w:rFonts w:ascii="Times New Roman" w:hAnsi="Times New Roman"/>
                <w:b/>
                <w:bCs/>
                <w:color w:val="auto"/>
                <w:szCs w:val="21"/>
              </w:rPr>
              <w:t>环境质量现状监测结果统计表</w:t>
            </w:r>
            <w:r>
              <w:rPr>
                <w:rFonts w:ascii="Times New Roman" w:hAnsi="Times New Roman"/>
                <w:color w:val="auto"/>
                <w:szCs w:val="21"/>
              </w:rPr>
              <w:t xml:space="preserve">  </w:t>
            </w:r>
            <w:r>
              <w:rPr>
                <w:rFonts w:ascii="Times New Roman" w:hAnsi="Times New Roman"/>
                <w:color w:val="FF0000"/>
                <w:szCs w:val="21"/>
              </w:rPr>
              <w:t xml:space="preserve">                                                                </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923"/>
              <w:gridCol w:w="1322"/>
              <w:gridCol w:w="1111"/>
              <w:gridCol w:w="1589"/>
              <w:gridCol w:w="1308"/>
            </w:tblGrid>
            <w:tr w14:paraId="16AC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Align w:val="center"/>
                </w:tcPr>
                <w:p w14:paraId="72BB81B0">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采样日期</w:t>
                  </w:r>
                </w:p>
              </w:tc>
              <w:tc>
                <w:tcPr>
                  <w:tcW w:w="1923" w:type="dxa"/>
                  <w:vAlign w:val="center"/>
                </w:tcPr>
                <w:p w14:paraId="6DD52B45">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样品编号</w:t>
                  </w:r>
                </w:p>
              </w:tc>
              <w:tc>
                <w:tcPr>
                  <w:tcW w:w="1322" w:type="dxa"/>
                  <w:vAlign w:val="center"/>
                </w:tcPr>
                <w:p w14:paraId="33C8CB1A">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采样时间</w:t>
                  </w:r>
                </w:p>
              </w:tc>
              <w:tc>
                <w:tcPr>
                  <w:tcW w:w="1111" w:type="dxa"/>
                  <w:vAlign w:val="center"/>
                </w:tcPr>
                <w:p w14:paraId="047B8FBE">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采样位置</w:t>
                  </w:r>
                </w:p>
              </w:tc>
              <w:tc>
                <w:tcPr>
                  <w:tcW w:w="1589" w:type="dxa"/>
                  <w:vAlign w:val="center"/>
                </w:tcPr>
                <w:p w14:paraId="5398C435">
                  <w:pPr>
                    <w:jc w:val="center"/>
                    <w:rPr>
                      <w:rFonts w:hint="default" w:ascii="Times New Roman" w:hAnsi="Times New Roman" w:eastAsia="仿宋" w:cs="Times New Roman"/>
                      <w:b/>
                      <w:bCs/>
                      <w:color w:val="auto"/>
                      <w:sz w:val="21"/>
                      <w:szCs w:val="21"/>
                      <w:lang w:eastAsia="zh-CN"/>
                    </w:rPr>
                  </w:pPr>
                  <w:r>
                    <w:rPr>
                      <w:rFonts w:hint="default" w:ascii="Times New Roman" w:hAnsi="Times New Roman" w:eastAsia="仿宋" w:cs="Times New Roman"/>
                      <w:b/>
                      <w:bCs/>
                      <w:color w:val="auto"/>
                      <w:sz w:val="21"/>
                      <w:szCs w:val="21"/>
                      <w:lang w:eastAsia="zh-CN"/>
                    </w:rPr>
                    <w:t>总悬浮颗粒物</w:t>
                  </w:r>
                </w:p>
                <w:p w14:paraId="025F16EA">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w:t>
                  </w:r>
                  <w:r>
                    <w:rPr>
                      <w:rFonts w:hint="default" w:ascii="Times New Roman" w:hAnsi="Times New Roman" w:eastAsia="仿宋" w:cs="Times New Roman"/>
                      <w:b/>
                      <w:bCs/>
                      <w:color w:val="auto"/>
                      <w:sz w:val="21"/>
                      <w:szCs w:val="21"/>
                      <w:lang w:val="en-US" w:eastAsia="zh-CN"/>
                    </w:rPr>
                    <w:t>m</w:t>
                  </w:r>
                  <w:r>
                    <w:rPr>
                      <w:rFonts w:hint="default" w:ascii="Times New Roman" w:hAnsi="Times New Roman" w:eastAsia="仿宋" w:cs="Times New Roman"/>
                      <w:b/>
                      <w:bCs/>
                      <w:color w:val="auto"/>
                      <w:sz w:val="21"/>
                      <w:szCs w:val="21"/>
                    </w:rPr>
                    <w:t>g/m</w:t>
                  </w:r>
                  <w:r>
                    <w:rPr>
                      <w:rFonts w:hint="default" w:ascii="Times New Roman" w:hAnsi="Times New Roman" w:eastAsia="仿宋" w:cs="Times New Roman"/>
                      <w:b/>
                      <w:bCs/>
                      <w:color w:val="auto"/>
                      <w:sz w:val="21"/>
                      <w:szCs w:val="21"/>
                      <w:vertAlign w:val="superscript"/>
                    </w:rPr>
                    <w:t>3</w:t>
                  </w:r>
                  <w:r>
                    <w:rPr>
                      <w:rFonts w:hint="default" w:ascii="Times New Roman" w:hAnsi="Times New Roman" w:eastAsia="仿宋" w:cs="Times New Roman"/>
                      <w:b/>
                      <w:bCs/>
                      <w:color w:val="auto"/>
                      <w:sz w:val="21"/>
                      <w:szCs w:val="21"/>
                    </w:rPr>
                    <w:t>）</w:t>
                  </w:r>
                </w:p>
              </w:tc>
              <w:tc>
                <w:tcPr>
                  <w:tcW w:w="1308" w:type="dxa"/>
                  <w:vAlign w:val="center"/>
                </w:tcPr>
                <w:p w14:paraId="418E1FC8">
                  <w:pPr>
                    <w:jc w:val="center"/>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bCs/>
                      <w:color w:val="auto"/>
                      <w:sz w:val="21"/>
                      <w:szCs w:val="21"/>
                      <w:lang w:val="en-US" w:eastAsia="zh-CN"/>
                    </w:rPr>
                    <w:t>标准</w:t>
                  </w:r>
                </w:p>
              </w:tc>
            </w:tr>
            <w:tr w14:paraId="0066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1" w:type="dxa"/>
                  <w:vAlign w:val="center"/>
                </w:tcPr>
                <w:p w14:paraId="1828A603">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2021.10.25</w:t>
                  </w:r>
                </w:p>
              </w:tc>
              <w:tc>
                <w:tcPr>
                  <w:tcW w:w="1923" w:type="dxa"/>
                  <w:vAlign w:val="center"/>
                </w:tcPr>
                <w:p w14:paraId="2B22613E">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J-</w:t>
                  </w:r>
                  <w:r>
                    <w:rPr>
                      <w:rFonts w:hint="default" w:ascii="Times New Roman" w:hAnsi="Times New Roman" w:cs="Times New Roman"/>
                      <w:i w:val="0"/>
                      <w:iCs w:val="0"/>
                      <w:color w:val="auto"/>
                      <w:kern w:val="0"/>
                      <w:sz w:val="21"/>
                      <w:szCs w:val="21"/>
                      <w:u w:val="none"/>
                      <w:lang w:val="en-US" w:eastAsia="zh-CN" w:bidi="ar"/>
                    </w:rPr>
                    <w:t>02202105079</w:t>
                  </w:r>
                  <w:r>
                    <w:rPr>
                      <w:rFonts w:hint="default"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cs="Times New Roman"/>
                      <w:i w:val="0"/>
                      <w:iCs w:val="0"/>
                      <w:color w:val="auto"/>
                      <w:kern w:val="0"/>
                      <w:sz w:val="21"/>
                      <w:szCs w:val="21"/>
                      <w:u w:val="none"/>
                      <w:lang w:val="en-US" w:eastAsia="zh-CN" w:bidi="ar"/>
                    </w:rPr>
                    <w:t>01</w:t>
                  </w:r>
                </w:p>
              </w:tc>
              <w:tc>
                <w:tcPr>
                  <w:tcW w:w="1322" w:type="dxa"/>
                  <w:vAlign w:val="center"/>
                </w:tcPr>
                <w:p w14:paraId="1ADB5E52">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02:00-22:00</w:t>
                  </w:r>
                </w:p>
              </w:tc>
              <w:tc>
                <w:tcPr>
                  <w:tcW w:w="1111" w:type="dxa"/>
                  <w:vMerge w:val="restart"/>
                  <w:vAlign w:val="center"/>
                </w:tcPr>
                <w:p w14:paraId="6B3C4887">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下风向</w:t>
                  </w:r>
                </w:p>
              </w:tc>
              <w:tc>
                <w:tcPr>
                  <w:tcW w:w="1589" w:type="dxa"/>
                  <w:vAlign w:val="center"/>
                </w:tcPr>
                <w:p w14:paraId="236EEEB0">
                  <w:pPr>
                    <w:widowControl/>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0.007</w:t>
                  </w:r>
                </w:p>
              </w:tc>
              <w:tc>
                <w:tcPr>
                  <w:tcW w:w="1308" w:type="dxa"/>
                  <w:vMerge w:val="restart"/>
                  <w:vAlign w:val="center"/>
                </w:tcPr>
                <w:p w14:paraId="259A38B6">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年平均</w:t>
                  </w:r>
                  <w:r>
                    <w:rPr>
                      <w:rFonts w:hint="default" w:ascii="Times New Roman" w:hAnsi="Times New Roman" w:cs="Times New Roman"/>
                      <w:b w:val="0"/>
                      <w:bCs w:val="0"/>
                      <w:color w:val="auto"/>
                      <w:lang w:val="en-US" w:eastAsia="zh-CN"/>
                    </w:rPr>
                    <w:t>0.2</w:t>
                  </w:r>
                  <w:r>
                    <w:rPr>
                      <w:rFonts w:hint="default" w:ascii="Times New Roman" w:hAnsi="Times New Roman" w:eastAsia="仿宋" w:cs="Times New Roman"/>
                      <w:b w:val="0"/>
                      <w:bCs w:val="0"/>
                      <w:color w:val="auto"/>
                      <w:sz w:val="21"/>
                      <w:szCs w:val="21"/>
                      <w:lang w:val="en-US" w:eastAsia="zh-CN"/>
                    </w:rPr>
                    <w:t>m</w:t>
                  </w:r>
                  <w:r>
                    <w:rPr>
                      <w:rFonts w:hint="default" w:ascii="Times New Roman" w:hAnsi="Times New Roman" w:eastAsia="仿宋" w:cs="Times New Roman"/>
                      <w:b w:val="0"/>
                      <w:bCs w:val="0"/>
                      <w:color w:val="auto"/>
                      <w:sz w:val="21"/>
                      <w:szCs w:val="21"/>
                    </w:rPr>
                    <w:t>g/m</w:t>
                  </w:r>
                  <w:r>
                    <w:rPr>
                      <w:rFonts w:hint="default" w:ascii="Times New Roman" w:hAnsi="Times New Roman" w:eastAsia="仿宋" w:cs="Times New Roman"/>
                      <w:b w:val="0"/>
                      <w:bCs w:val="0"/>
                      <w:color w:val="auto"/>
                      <w:sz w:val="21"/>
                      <w:szCs w:val="21"/>
                      <w:vertAlign w:val="superscript"/>
                    </w:rPr>
                    <w:t>3</w:t>
                  </w:r>
                  <w:r>
                    <w:rPr>
                      <w:rFonts w:hint="default" w:ascii="Times New Roman" w:hAnsi="Times New Roman" w:cs="Times New Roman"/>
                      <w:b w:val="0"/>
                      <w:bCs w:val="0"/>
                      <w:color w:val="auto"/>
                      <w:lang w:val="en-US" w:eastAsia="zh-CN"/>
                    </w:rPr>
                    <w:t>；</w:t>
                  </w:r>
                </w:p>
                <w:p w14:paraId="52B9730F">
                  <w:pPr>
                    <w:pStyle w:val="1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24小时平均0.3</w:t>
                  </w:r>
                  <w:r>
                    <w:rPr>
                      <w:rFonts w:hint="default" w:ascii="Times New Roman" w:hAnsi="Times New Roman" w:eastAsia="仿宋" w:cs="Times New Roman"/>
                      <w:b w:val="0"/>
                      <w:bCs w:val="0"/>
                      <w:color w:val="auto"/>
                      <w:sz w:val="21"/>
                      <w:szCs w:val="21"/>
                      <w:lang w:val="en-US" w:eastAsia="zh-CN"/>
                    </w:rPr>
                    <w:t>m</w:t>
                  </w:r>
                  <w:r>
                    <w:rPr>
                      <w:rFonts w:hint="default" w:ascii="Times New Roman" w:hAnsi="Times New Roman" w:eastAsia="仿宋" w:cs="Times New Roman"/>
                      <w:b w:val="0"/>
                      <w:bCs w:val="0"/>
                      <w:color w:val="auto"/>
                      <w:sz w:val="21"/>
                      <w:szCs w:val="21"/>
                    </w:rPr>
                    <w:t>g/m</w:t>
                  </w:r>
                  <w:r>
                    <w:rPr>
                      <w:rFonts w:hint="default" w:ascii="Times New Roman" w:hAnsi="Times New Roman" w:eastAsia="仿宋" w:cs="Times New Roman"/>
                      <w:b w:val="0"/>
                      <w:bCs w:val="0"/>
                      <w:color w:val="auto"/>
                      <w:sz w:val="21"/>
                      <w:szCs w:val="21"/>
                      <w:vertAlign w:val="superscript"/>
                    </w:rPr>
                    <w:t>3</w:t>
                  </w:r>
                </w:p>
              </w:tc>
            </w:tr>
            <w:tr w14:paraId="728E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1" w:type="dxa"/>
                  <w:vAlign w:val="center"/>
                </w:tcPr>
                <w:p w14:paraId="25542D6E">
                  <w:pPr>
                    <w:jc w:val="center"/>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color w:val="auto"/>
                      <w:sz w:val="21"/>
                      <w:szCs w:val="21"/>
                      <w:lang w:val="en-US" w:eastAsia="zh-CN"/>
                    </w:rPr>
                    <w:t>2021.10.26</w:t>
                  </w:r>
                </w:p>
              </w:tc>
              <w:tc>
                <w:tcPr>
                  <w:tcW w:w="1923" w:type="dxa"/>
                  <w:vAlign w:val="center"/>
                </w:tcPr>
                <w:p w14:paraId="00697F1A">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J-</w:t>
                  </w:r>
                  <w:r>
                    <w:rPr>
                      <w:rFonts w:hint="default" w:ascii="Times New Roman" w:hAnsi="Times New Roman" w:cs="Times New Roman"/>
                      <w:i w:val="0"/>
                      <w:iCs w:val="0"/>
                      <w:color w:val="auto"/>
                      <w:kern w:val="0"/>
                      <w:sz w:val="21"/>
                      <w:szCs w:val="21"/>
                      <w:u w:val="none"/>
                      <w:lang w:val="en-US" w:eastAsia="zh-CN" w:bidi="ar"/>
                    </w:rPr>
                    <w:t>02202105079</w:t>
                  </w:r>
                  <w:r>
                    <w:rPr>
                      <w:rFonts w:hint="default"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cs="Times New Roman"/>
                      <w:i w:val="0"/>
                      <w:iCs w:val="0"/>
                      <w:color w:val="auto"/>
                      <w:kern w:val="0"/>
                      <w:sz w:val="21"/>
                      <w:szCs w:val="21"/>
                      <w:u w:val="none"/>
                      <w:lang w:val="en-US" w:eastAsia="zh-CN" w:bidi="ar"/>
                    </w:rPr>
                    <w:t>02</w:t>
                  </w:r>
                </w:p>
              </w:tc>
              <w:tc>
                <w:tcPr>
                  <w:tcW w:w="1322" w:type="dxa"/>
                  <w:vAlign w:val="center"/>
                </w:tcPr>
                <w:p w14:paraId="14879CBF">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02:00-22:00</w:t>
                  </w:r>
                </w:p>
              </w:tc>
              <w:tc>
                <w:tcPr>
                  <w:tcW w:w="1111" w:type="dxa"/>
                  <w:vMerge w:val="continue"/>
                  <w:vAlign w:val="center"/>
                </w:tcPr>
                <w:p w14:paraId="55092784">
                  <w:pPr>
                    <w:jc w:val="center"/>
                    <w:rPr>
                      <w:rFonts w:hint="default" w:ascii="Times New Roman" w:hAnsi="Times New Roman" w:eastAsia="仿宋" w:cs="Times New Roman"/>
                      <w:color w:val="auto"/>
                      <w:sz w:val="21"/>
                      <w:szCs w:val="21"/>
                    </w:rPr>
                  </w:pPr>
                </w:p>
              </w:tc>
              <w:tc>
                <w:tcPr>
                  <w:tcW w:w="1589" w:type="dxa"/>
                  <w:vAlign w:val="center"/>
                </w:tcPr>
                <w:p w14:paraId="4970B195">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0.010</w:t>
                  </w:r>
                </w:p>
              </w:tc>
              <w:tc>
                <w:tcPr>
                  <w:tcW w:w="1308" w:type="dxa"/>
                  <w:vMerge w:val="continue"/>
                  <w:vAlign w:val="center"/>
                </w:tcPr>
                <w:p w14:paraId="498BC5E4">
                  <w:pPr>
                    <w:jc w:val="center"/>
                    <w:rPr>
                      <w:rFonts w:hint="default" w:ascii="Times New Roman" w:hAnsi="Times New Roman" w:eastAsia="仿宋" w:cs="Times New Roman"/>
                      <w:color w:val="auto"/>
                      <w:sz w:val="21"/>
                      <w:szCs w:val="21"/>
                      <w:lang w:val="en-US" w:eastAsia="zh-CN"/>
                    </w:rPr>
                  </w:pPr>
                </w:p>
              </w:tc>
            </w:tr>
            <w:tr w14:paraId="6260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1" w:type="dxa"/>
                  <w:vAlign w:val="center"/>
                </w:tcPr>
                <w:p w14:paraId="1353840F">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2021.10.27</w:t>
                  </w:r>
                </w:p>
              </w:tc>
              <w:tc>
                <w:tcPr>
                  <w:tcW w:w="1923" w:type="dxa"/>
                  <w:vAlign w:val="center"/>
                </w:tcPr>
                <w:p w14:paraId="02ADD407">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J-</w:t>
                  </w:r>
                  <w:r>
                    <w:rPr>
                      <w:rFonts w:hint="default" w:ascii="Times New Roman" w:hAnsi="Times New Roman" w:cs="Times New Roman"/>
                      <w:i w:val="0"/>
                      <w:iCs w:val="0"/>
                      <w:color w:val="auto"/>
                      <w:kern w:val="0"/>
                      <w:sz w:val="21"/>
                      <w:szCs w:val="21"/>
                      <w:u w:val="none"/>
                      <w:lang w:val="en-US" w:eastAsia="zh-CN" w:bidi="ar"/>
                    </w:rPr>
                    <w:t>02202105079</w:t>
                  </w:r>
                  <w:r>
                    <w:rPr>
                      <w:rFonts w:hint="default"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cs="Times New Roman"/>
                      <w:i w:val="0"/>
                      <w:iCs w:val="0"/>
                      <w:color w:val="auto"/>
                      <w:kern w:val="0"/>
                      <w:sz w:val="21"/>
                      <w:szCs w:val="21"/>
                      <w:u w:val="none"/>
                      <w:lang w:val="en-US" w:eastAsia="zh-CN" w:bidi="ar"/>
                    </w:rPr>
                    <w:t>03</w:t>
                  </w:r>
                </w:p>
              </w:tc>
              <w:tc>
                <w:tcPr>
                  <w:tcW w:w="1322" w:type="dxa"/>
                  <w:vAlign w:val="center"/>
                </w:tcPr>
                <w:p w14:paraId="638B34E7">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02:00-22:00</w:t>
                  </w:r>
                </w:p>
              </w:tc>
              <w:tc>
                <w:tcPr>
                  <w:tcW w:w="1111" w:type="dxa"/>
                  <w:vMerge w:val="continue"/>
                  <w:vAlign w:val="center"/>
                </w:tcPr>
                <w:p w14:paraId="29B9695A">
                  <w:pPr>
                    <w:jc w:val="center"/>
                    <w:rPr>
                      <w:rFonts w:hint="default" w:ascii="Times New Roman" w:hAnsi="Times New Roman" w:eastAsia="仿宋" w:cs="Times New Roman"/>
                      <w:color w:val="auto"/>
                      <w:sz w:val="21"/>
                      <w:szCs w:val="21"/>
                    </w:rPr>
                  </w:pPr>
                </w:p>
              </w:tc>
              <w:tc>
                <w:tcPr>
                  <w:tcW w:w="1589" w:type="dxa"/>
                  <w:vAlign w:val="center"/>
                </w:tcPr>
                <w:p w14:paraId="458F91FC">
                  <w:pPr>
                    <w:widowControl/>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0.005</w:t>
                  </w:r>
                </w:p>
              </w:tc>
              <w:tc>
                <w:tcPr>
                  <w:tcW w:w="1308" w:type="dxa"/>
                  <w:vMerge w:val="continue"/>
                  <w:vAlign w:val="center"/>
                </w:tcPr>
                <w:p w14:paraId="455A39B7">
                  <w:pPr>
                    <w:widowControl/>
                    <w:jc w:val="center"/>
                    <w:rPr>
                      <w:rFonts w:hint="default" w:ascii="Times New Roman" w:hAnsi="Times New Roman" w:eastAsia="仿宋" w:cs="Times New Roman"/>
                      <w:color w:val="auto"/>
                      <w:sz w:val="21"/>
                      <w:szCs w:val="21"/>
                      <w:lang w:val="en-US" w:eastAsia="zh-CN"/>
                    </w:rPr>
                  </w:pPr>
                </w:p>
              </w:tc>
            </w:tr>
          </w:tbl>
          <w:p w14:paraId="062413F2">
            <w:pPr>
              <w:pStyle w:val="7"/>
              <w:spacing w:line="500" w:lineRule="exact"/>
              <w:ind w:firstLine="480" w:firstLineChars="200"/>
              <w:rPr>
                <w:rFonts w:hint="eastAsia" w:ascii="Times New Roman" w:hAnsi="Times New Roman"/>
                <w:color w:val="auto"/>
                <w:sz w:val="24"/>
                <w:highlight w:val="none"/>
                <w:lang w:eastAsia="zh-CN"/>
              </w:rPr>
            </w:pPr>
            <w:r>
              <w:rPr>
                <w:rFonts w:ascii="Times New Roman" w:hAnsi="Times New Roman"/>
                <w:color w:val="auto"/>
                <w:sz w:val="24"/>
              </w:rPr>
              <w:t>根据监测结果，本项目所在区域</w:t>
            </w:r>
            <w:r>
              <w:rPr>
                <w:rFonts w:hint="eastAsia" w:ascii="Times New Roman" w:hAnsi="Times New Roman"/>
                <w:color w:val="auto"/>
                <w:sz w:val="24"/>
                <w:lang w:val="en-US" w:eastAsia="zh-CN"/>
              </w:rPr>
              <w:t>总悬浮颗粒物能够满足《环境空气质量标准》（GB3095-2012）中的二级标准</w:t>
            </w:r>
            <w:r>
              <w:rPr>
                <w:rFonts w:ascii="Times New Roman" w:hAnsi="Times New Roman"/>
                <w:color w:val="auto"/>
                <w:sz w:val="24"/>
                <w:szCs w:val="22"/>
              </w:rPr>
              <w:t>。</w:t>
            </w:r>
          </w:p>
          <w:p w14:paraId="4217D0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highlight w:val="none"/>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 xml:space="preserve">2 </w:t>
            </w:r>
            <w:r>
              <w:rPr>
                <w:rFonts w:hint="default" w:ascii="Times New Roman" w:hAnsi="Times New Roman" w:eastAsia="宋体" w:cs="Times New Roman"/>
                <w:b/>
                <w:color w:val="auto"/>
                <w:sz w:val="24"/>
                <w:highlight w:val="none"/>
              </w:rPr>
              <w:t>地表水</w:t>
            </w:r>
          </w:p>
          <w:p w14:paraId="2C83878D">
            <w:pPr>
              <w:spacing w:line="360" w:lineRule="auto"/>
              <w:ind w:firstLine="480" w:firstLineChars="200"/>
              <w:rPr>
                <w:rFonts w:hint="default" w:ascii="Times New Roman" w:hAnsi="Times New Roman" w:cs="Times New Roman"/>
                <w:color w:val="FF0000"/>
                <w:sz w:val="24"/>
                <w:szCs w:val="24"/>
              </w:rPr>
            </w:pPr>
            <w:r>
              <w:rPr>
                <w:rFonts w:hint="default" w:ascii="Times New Roman" w:hAnsi="Times New Roman" w:cs="Times New Roman"/>
                <w:color w:val="auto"/>
                <w:sz w:val="24"/>
                <w:szCs w:val="24"/>
              </w:rPr>
              <w:t>本项目</w:t>
            </w:r>
            <w:r>
              <w:rPr>
                <w:rFonts w:hint="eastAsia" w:ascii="Times New Roman" w:hAnsi="Times New Roman" w:cs="Times New Roman"/>
                <w:color w:val="auto"/>
                <w:sz w:val="24"/>
                <w:szCs w:val="24"/>
                <w:lang w:val="en-US" w:eastAsia="zh-CN"/>
              </w:rPr>
              <w:t>纳污</w:t>
            </w:r>
            <w:r>
              <w:rPr>
                <w:rFonts w:hint="default" w:ascii="Times New Roman" w:hAnsi="Times New Roman" w:cs="Times New Roman"/>
                <w:color w:val="auto"/>
                <w:sz w:val="24"/>
                <w:szCs w:val="24"/>
              </w:rPr>
              <w:t>水体</w:t>
            </w:r>
            <w:r>
              <w:rPr>
                <w:rFonts w:hint="eastAsia" w:ascii="Times New Roman" w:hAnsi="Times New Roman" w:cs="Times New Roman"/>
                <w:color w:val="auto"/>
                <w:sz w:val="24"/>
                <w:szCs w:val="24"/>
                <w:lang w:val="en-US" w:eastAsia="zh-CN"/>
              </w:rPr>
              <w:t>为</w:t>
            </w:r>
            <w:r>
              <w:rPr>
                <w:rFonts w:hint="default" w:ascii="Times New Roman" w:hAnsi="Times New Roman" w:cs="Times New Roman"/>
                <w:color w:val="000000" w:themeColor="text1"/>
                <w:sz w:val="24"/>
                <w:szCs w:val="24"/>
                <w14:textFill>
                  <w14:solidFill>
                    <w14:schemeClr w14:val="tx1"/>
                  </w14:solidFill>
                </w14:textFill>
              </w:rPr>
              <w:t>余英溪</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根据《浙江省水功能区水环境功能区划分方案（2015）》，</w:t>
            </w:r>
            <w:r>
              <w:rPr>
                <w:rFonts w:hint="eastAsia" w:ascii="Times New Roman" w:hAnsi="Times New Roman" w:cs="Times New Roman"/>
                <w:color w:val="000000" w:themeColor="text1"/>
                <w:sz w:val="24"/>
                <w:szCs w:val="24"/>
                <w:lang w:eastAsia="zh-CN"/>
                <w14:textFill>
                  <w14:solidFill>
                    <w14:schemeClr w14:val="tx1"/>
                  </w14:solidFill>
                </w14:textFill>
              </w:rPr>
              <w:t>余英</w:t>
            </w:r>
            <w:r>
              <w:rPr>
                <w:rFonts w:hint="default" w:ascii="Times New Roman" w:hAnsi="Times New Roman" w:cs="Times New Roman"/>
                <w:color w:val="000000" w:themeColor="text1"/>
                <w:sz w:val="24"/>
                <w:szCs w:val="24"/>
                <w14:textFill>
                  <w14:solidFill>
                    <w14:schemeClr w14:val="tx1"/>
                  </w14:solidFill>
                </w14:textFill>
              </w:rPr>
              <w:t>溪水功能编号为苕溪89，该段水功能区为余英溪德清农业、工业用水区，水环境功能区为农业、工业用水区</w:t>
            </w:r>
            <w:r>
              <w:rPr>
                <w:rFonts w:hint="default" w:ascii="Times New Roman" w:hAnsi="Times New Roman" w:cs="Times New Roman"/>
                <w:bCs/>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目标水质执行《地表水环境质量标准》（GB3838-2002）中的Ⅲ类标准</w:t>
            </w:r>
            <w:r>
              <w:rPr>
                <w:rFonts w:hint="default" w:ascii="Times New Roman" w:hAnsi="Times New Roman" w:cs="Times New Roman"/>
                <w:color w:val="000000" w:themeColor="text1"/>
                <w:sz w:val="24"/>
                <w:szCs w:val="24"/>
                <w14:textFill>
                  <w14:solidFill>
                    <w14:schemeClr w14:val="tx1"/>
                  </w14:solidFill>
                </w14:textFill>
              </w:rPr>
              <w:t>。</w:t>
            </w:r>
          </w:p>
          <w:p w14:paraId="6EFE076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cs="Times New Roman"/>
                <w:color w:val="FF0000"/>
                <w:sz w:val="24"/>
                <w:szCs w:val="22"/>
                <w:highlight w:val="none"/>
                <w:lang w:val="en-US" w:eastAsia="zh-CN"/>
              </w:rPr>
            </w:pPr>
            <w:r>
              <w:rPr>
                <w:rFonts w:hint="eastAsia" w:ascii="Times New Roman"/>
                <w:color w:val="auto"/>
              </w:rPr>
              <w:t>本次评价引用《202</w:t>
            </w:r>
            <w:r>
              <w:rPr>
                <w:rFonts w:hint="eastAsia" w:ascii="Times New Roman"/>
                <w:color w:val="auto"/>
                <w:lang w:val="en-US" w:eastAsia="zh-CN"/>
              </w:rPr>
              <w:t>3</w:t>
            </w:r>
            <w:r>
              <w:rPr>
                <w:rFonts w:hint="eastAsia" w:ascii="Times New Roman"/>
                <w:color w:val="auto"/>
              </w:rPr>
              <w:t>年度德清县环境质量报告书》中的监测数据，</w:t>
            </w:r>
            <w:r>
              <w:rPr>
                <w:rFonts w:hint="eastAsia" w:ascii="Times New Roman" w:cs="Times New Roman"/>
                <w:color w:val="auto"/>
                <w:sz w:val="24"/>
                <w:szCs w:val="22"/>
                <w:highlight w:val="none"/>
                <w:lang w:val="en-US" w:eastAsia="zh-CN"/>
              </w:rPr>
              <w:t>具体见表3-3。</w:t>
            </w:r>
          </w:p>
          <w:p w14:paraId="44D45B53">
            <w:pPr>
              <w:spacing w:line="460" w:lineRule="exact"/>
              <w:jc w:val="center"/>
              <w:rPr>
                <w:rFonts w:hint="eastAsia" w:ascii="Times New Roman" w:hAnsi="Times New Roman" w:eastAsia="宋体" w:cs="Times New Roman"/>
                <w:b/>
                <w:bCs/>
                <w:color w:val="auto"/>
                <w:szCs w:val="21"/>
              </w:rPr>
            </w:pPr>
          </w:p>
          <w:p w14:paraId="5B8680D1">
            <w:pPr>
              <w:spacing w:line="460" w:lineRule="exact"/>
              <w:jc w:val="center"/>
              <w:rPr>
                <w:rFonts w:hint="eastAsia" w:ascii="Times New Roman" w:hAnsi="Times New Roman" w:eastAsia="宋体" w:cs="Times New Roman"/>
                <w:b/>
                <w:bCs/>
                <w:color w:val="auto"/>
                <w:szCs w:val="21"/>
              </w:rPr>
            </w:pPr>
          </w:p>
          <w:p w14:paraId="3A4D3023">
            <w:pPr>
              <w:spacing w:line="460" w:lineRule="exact"/>
              <w:jc w:val="center"/>
              <w:rPr>
                <w:rFonts w:hint="eastAsia" w:ascii="Times New Roman" w:hAnsi="Times New Roman" w:eastAsia="宋体" w:cs="Times New Roman"/>
                <w:b/>
                <w:bCs/>
                <w:color w:val="auto"/>
                <w:szCs w:val="21"/>
              </w:rPr>
            </w:pPr>
          </w:p>
          <w:p w14:paraId="03CA666E">
            <w:pPr>
              <w:spacing w:line="460" w:lineRule="exact"/>
              <w:jc w:val="center"/>
              <w:rPr>
                <w:rFonts w:hint="default" w:ascii="Times New Roman" w:hAnsi="Times New Roman" w:cs="Times New Roman" w:eastAsiaTheme="minorEastAsia"/>
                <w:b/>
                <w:bCs/>
                <w:color w:val="FF0000"/>
                <w:szCs w:val="21"/>
                <w:lang w:val="en-US" w:eastAsia="zh-CN"/>
              </w:rPr>
            </w:pPr>
            <w:r>
              <w:rPr>
                <w:rFonts w:hint="eastAsia"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b/>
                <w:bCs/>
                <w:color w:val="auto"/>
                <w:szCs w:val="21"/>
              </w:rPr>
              <w:t>-</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b/>
                <w:bCs/>
                <w:color w:val="auto"/>
                <w:szCs w:val="21"/>
                <w:lang w:val="en-US" w:eastAsia="zh-CN"/>
              </w:rPr>
              <w:t>余英溪水质监测结果</w:t>
            </w:r>
            <w:r>
              <w:rPr>
                <w:rFonts w:hint="eastAsia" w:ascii="Times New Roman" w:hAnsi="Times New Roman"/>
                <w:b/>
                <w:bCs/>
                <w:color w:val="auto"/>
                <w:szCs w:val="21"/>
                <w:lang w:val="en-US" w:eastAsia="zh-CN"/>
              </w:rPr>
              <w:t xml:space="preserve">     单位：mg/L</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587"/>
              <w:gridCol w:w="1130"/>
              <w:gridCol w:w="1117"/>
              <w:gridCol w:w="1476"/>
              <w:gridCol w:w="1476"/>
            </w:tblGrid>
            <w:tr w14:paraId="7409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vMerge w:val="restart"/>
                  <w:noWrap/>
                  <w:vAlign w:val="center"/>
                </w:tcPr>
                <w:p w14:paraId="3A6E511F">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监测点位</w:t>
                  </w:r>
                </w:p>
              </w:tc>
              <w:tc>
                <w:tcPr>
                  <w:tcW w:w="1587" w:type="dxa"/>
                  <w:vMerge w:val="restart"/>
                  <w:noWrap/>
                  <w:vAlign w:val="center"/>
                </w:tcPr>
                <w:p w14:paraId="4EBA6324">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高锰酸盐指数</w:t>
                  </w:r>
                </w:p>
              </w:tc>
              <w:tc>
                <w:tcPr>
                  <w:tcW w:w="1130" w:type="dxa"/>
                  <w:vMerge w:val="restart"/>
                  <w:noWrap/>
                  <w:vAlign w:val="center"/>
                </w:tcPr>
                <w:p w14:paraId="3E7EDCD4">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氨氮</w:t>
                  </w:r>
                </w:p>
              </w:tc>
              <w:tc>
                <w:tcPr>
                  <w:tcW w:w="1117" w:type="dxa"/>
                  <w:vMerge w:val="restart"/>
                  <w:noWrap/>
                  <w:vAlign w:val="center"/>
                </w:tcPr>
                <w:p w14:paraId="68A88897">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总磷</w:t>
                  </w:r>
                </w:p>
              </w:tc>
              <w:tc>
                <w:tcPr>
                  <w:tcW w:w="1476" w:type="dxa"/>
                  <w:vMerge w:val="restart"/>
                  <w:noWrap/>
                  <w:vAlign w:val="center"/>
                </w:tcPr>
                <w:p w14:paraId="575426F4">
                  <w:pPr>
                    <w:jc w:val="center"/>
                    <w:rPr>
                      <w:rFonts w:hint="eastAsia"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悬浮物</w:t>
                  </w:r>
                </w:p>
              </w:tc>
              <w:tc>
                <w:tcPr>
                  <w:tcW w:w="1476" w:type="dxa"/>
                  <w:noWrap/>
                  <w:vAlign w:val="center"/>
                </w:tcPr>
                <w:p w14:paraId="2AE7DA1E">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水质类别</w:t>
                  </w:r>
                </w:p>
              </w:tc>
            </w:tr>
            <w:tr w14:paraId="707D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vMerge w:val="continue"/>
                  <w:noWrap/>
                  <w:vAlign w:val="center"/>
                </w:tcPr>
                <w:p w14:paraId="19F44F85">
                  <w:pPr>
                    <w:jc w:val="center"/>
                    <w:rPr>
                      <w:rFonts w:ascii="Times New Roman" w:hAnsi="Times New Roman" w:eastAsia="宋体" w:cs="Times New Roman"/>
                      <w:b/>
                      <w:color w:val="FF0000"/>
                      <w:szCs w:val="21"/>
                    </w:rPr>
                  </w:pPr>
                </w:p>
              </w:tc>
              <w:tc>
                <w:tcPr>
                  <w:tcW w:w="1587" w:type="dxa"/>
                  <w:vMerge w:val="continue"/>
                  <w:noWrap/>
                  <w:vAlign w:val="center"/>
                </w:tcPr>
                <w:p w14:paraId="3A0373E0">
                  <w:pPr>
                    <w:jc w:val="center"/>
                    <w:rPr>
                      <w:rFonts w:ascii="Times New Roman" w:hAnsi="Times New Roman" w:eastAsia="宋体" w:cs="Times New Roman"/>
                      <w:b/>
                      <w:color w:val="FF0000"/>
                      <w:szCs w:val="21"/>
                    </w:rPr>
                  </w:pPr>
                </w:p>
              </w:tc>
              <w:tc>
                <w:tcPr>
                  <w:tcW w:w="1130" w:type="dxa"/>
                  <w:vMerge w:val="continue"/>
                  <w:noWrap/>
                  <w:vAlign w:val="center"/>
                </w:tcPr>
                <w:p w14:paraId="18480F0E">
                  <w:pPr>
                    <w:jc w:val="center"/>
                    <w:rPr>
                      <w:rFonts w:ascii="Times New Roman" w:hAnsi="Times New Roman" w:eastAsia="宋体" w:cs="Times New Roman"/>
                      <w:b/>
                      <w:color w:val="FF0000"/>
                      <w:szCs w:val="21"/>
                    </w:rPr>
                  </w:pPr>
                </w:p>
              </w:tc>
              <w:tc>
                <w:tcPr>
                  <w:tcW w:w="1117" w:type="dxa"/>
                  <w:vMerge w:val="continue"/>
                  <w:noWrap/>
                  <w:vAlign w:val="center"/>
                </w:tcPr>
                <w:p w14:paraId="0B01E746">
                  <w:pPr>
                    <w:jc w:val="center"/>
                    <w:rPr>
                      <w:rFonts w:ascii="Times New Roman" w:hAnsi="Times New Roman" w:eastAsia="宋体" w:cs="Times New Roman"/>
                      <w:b/>
                      <w:color w:val="FF0000"/>
                      <w:szCs w:val="21"/>
                    </w:rPr>
                  </w:pPr>
                </w:p>
              </w:tc>
              <w:tc>
                <w:tcPr>
                  <w:tcW w:w="1476" w:type="dxa"/>
                  <w:vMerge w:val="continue"/>
                  <w:noWrap/>
                  <w:vAlign w:val="center"/>
                </w:tcPr>
                <w:p w14:paraId="268B3B27">
                  <w:pPr>
                    <w:jc w:val="center"/>
                    <w:rPr>
                      <w:rFonts w:ascii="Times New Roman" w:hAnsi="Times New Roman" w:eastAsia="宋体" w:cs="Times New Roman"/>
                      <w:b/>
                      <w:color w:val="FF0000"/>
                      <w:szCs w:val="21"/>
                    </w:rPr>
                  </w:pPr>
                </w:p>
              </w:tc>
              <w:tc>
                <w:tcPr>
                  <w:tcW w:w="1476" w:type="dxa"/>
                  <w:noWrap/>
                  <w:vAlign w:val="center"/>
                </w:tcPr>
                <w:p w14:paraId="57F86DD6">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202</w:t>
                  </w:r>
                  <w:r>
                    <w:rPr>
                      <w:rFonts w:hint="eastAsia" w:ascii="Times New Roman" w:hAnsi="Times New Roman" w:eastAsia="宋体" w:cs="Times New Roman"/>
                      <w:b/>
                      <w:color w:val="auto"/>
                      <w:szCs w:val="21"/>
                      <w:lang w:val="en-US" w:eastAsia="zh-CN"/>
                    </w:rPr>
                    <w:t>3</w:t>
                  </w:r>
                  <w:r>
                    <w:rPr>
                      <w:rFonts w:ascii="Times New Roman" w:hAnsi="Times New Roman" w:eastAsia="宋体" w:cs="Times New Roman"/>
                      <w:b/>
                      <w:color w:val="auto"/>
                      <w:szCs w:val="21"/>
                    </w:rPr>
                    <w:t>年</w:t>
                  </w:r>
                </w:p>
              </w:tc>
            </w:tr>
            <w:tr w14:paraId="616D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1EDDE7FA">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对河口</w:t>
                  </w:r>
                </w:p>
              </w:tc>
              <w:tc>
                <w:tcPr>
                  <w:tcW w:w="1587" w:type="dxa"/>
                  <w:noWrap/>
                  <w:vAlign w:val="center"/>
                </w:tcPr>
                <w:p w14:paraId="7785CCCE">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1.7</w:t>
                  </w:r>
                </w:p>
              </w:tc>
              <w:tc>
                <w:tcPr>
                  <w:tcW w:w="1130" w:type="dxa"/>
                  <w:noWrap/>
                  <w:vAlign w:val="center"/>
                </w:tcPr>
                <w:p w14:paraId="651C824A">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w:t>
                  </w:r>
                </w:p>
              </w:tc>
              <w:tc>
                <w:tcPr>
                  <w:tcW w:w="1117" w:type="dxa"/>
                  <w:noWrap/>
                  <w:vAlign w:val="center"/>
                </w:tcPr>
                <w:p w14:paraId="1267FF39">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w:t>
                  </w:r>
                </w:p>
              </w:tc>
              <w:tc>
                <w:tcPr>
                  <w:tcW w:w="1476" w:type="dxa"/>
                  <w:noWrap/>
                  <w:vAlign w:val="center"/>
                </w:tcPr>
                <w:p w14:paraId="2077A48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w:t>
                  </w:r>
                </w:p>
              </w:tc>
              <w:tc>
                <w:tcPr>
                  <w:tcW w:w="1476" w:type="dxa"/>
                  <w:noWrap/>
                  <w:vAlign w:val="center"/>
                </w:tcPr>
                <w:p w14:paraId="5E70B099">
                  <w:pPr>
                    <w:jc w:val="center"/>
                    <w:rPr>
                      <w:rFonts w:ascii="Times New Roman" w:hAnsi="Times New Roman" w:eastAsia="宋体" w:cs="Times New Roman"/>
                      <w:bCs/>
                      <w:color w:val="FF0000"/>
                      <w:szCs w:val="21"/>
                    </w:rPr>
                  </w:pPr>
                  <w:r>
                    <w:rPr>
                      <w:rFonts w:hint="eastAsia" w:ascii="宋体" w:hAnsi="宋体" w:eastAsia="宋体" w:cs="宋体"/>
                      <w:color w:val="auto"/>
                      <w:szCs w:val="21"/>
                    </w:rPr>
                    <w:t>Ⅰ</w:t>
                  </w:r>
                  <w:r>
                    <w:rPr>
                      <w:rFonts w:hint="default" w:ascii="Times New Roman" w:hAnsi="Times New Roman" w:eastAsia="宋体" w:cs="Times New Roman"/>
                      <w:color w:val="auto"/>
                      <w:szCs w:val="21"/>
                    </w:rPr>
                    <w:t>类</w:t>
                  </w:r>
                </w:p>
              </w:tc>
            </w:tr>
            <w:tr w14:paraId="0D65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544A304E">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万堰坝</w:t>
                  </w:r>
                </w:p>
              </w:tc>
              <w:tc>
                <w:tcPr>
                  <w:tcW w:w="1587" w:type="dxa"/>
                  <w:noWrap/>
                  <w:vAlign w:val="center"/>
                </w:tcPr>
                <w:p w14:paraId="163310FA">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2.4</w:t>
                  </w:r>
                </w:p>
              </w:tc>
              <w:tc>
                <w:tcPr>
                  <w:tcW w:w="1130" w:type="dxa"/>
                  <w:noWrap/>
                  <w:vAlign w:val="center"/>
                </w:tcPr>
                <w:p w14:paraId="3253D130">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0.26</w:t>
                  </w:r>
                </w:p>
              </w:tc>
              <w:tc>
                <w:tcPr>
                  <w:tcW w:w="1117" w:type="dxa"/>
                  <w:noWrap/>
                  <w:vAlign w:val="center"/>
                </w:tcPr>
                <w:p w14:paraId="0C202AF3">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0.08</w:t>
                  </w:r>
                </w:p>
              </w:tc>
              <w:tc>
                <w:tcPr>
                  <w:tcW w:w="1476" w:type="dxa"/>
                  <w:noWrap/>
                  <w:vAlign w:val="center"/>
                </w:tcPr>
                <w:p w14:paraId="5C78E66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24</w:t>
                  </w:r>
                </w:p>
              </w:tc>
              <w:tc>
                <w:tcPr>
                  <w:tcW w:w="1476" w:type="dxa"/>
                  <w:noWrap/>
                  <w:vAlign w:val="center"/>
                </w:tcPr>
                <w:p w14:paraId="473E16E9">
                  <w:pPr>
                    <w:jc w:val="center"/>
                    <w:rPr>
                      <w:rFonts w:ascii="Times New Roman" w:hAnsi="Times New Roman" w:eastAsia="宋体" w:cs="Times New Roman"/>
                      <w:bCs/>
                      <w:color w:val="FF0000"/>
                      <w:szCs w:val="21"/>
                    </w:rPr>
                  </w:pPr>
                  <w:r>
                    <w:rPr>
                      <w:rFonts w:hint="default" w:ascii="Times New Roman" w:hAnsi="Times New Roman" w:eastAsia="宋体" w:cs="Times New Roman"/>
                      <w:color w:val="auto"/>
                      <w:szCs w:val="21"/>
                    </w:rPr>
                    <w:t>Ⅱ</w:t>
                  </w:r>
                  <w:r>
                    <w:rPr>
                      <w:rFonts w:ascii="Times New Roman" w:hAnsi="Times New Roman" w:eastAsia="宋体" w:cs="Times New Roman"/>
                      <w:color w:val="auto"/>
                      <w:szCs w:val="21"/>
                    </w:rPr>
                    <w:t>类</w:t>
                  </w:r>
                </w:p>
              </w:tc>
            </w:tr>
            <w:tr w14:paraId="0F66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2BFE9153">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山东弄闸</w:t>
                  </w:r>
                </w:p>
              </w:tc>
              <w:tc>
                <w:tcPr>
                  <w:tcW w:w="1587" w:type="dxa"/>
                  <w:noWrap/>
                  <w:vAlign w:val="center"/>
                </w:tcPr>
                <w:p w14:paraId="1EBD822A">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1.9</w:t>
                  </w:r>
                </w:p>
              </w:tc>
              <w:tc>
                <w:tcPr>
                  <w:tcW w:w="1130" w:type="dxa"/>
                  <w:noWrap/>
                  <w:vAlign w:val="center"/>
                </w:tcPr>
                <w:p w14:paraId="4A3D7884">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0.37</w:t>
                  </w:r>
                </w:p>
              </w:tc>
              <w:tc>
                <w:tcPr>
                  <w:tcW w:w="1117" w:type="dxa"/>
                  <w:noWrap/>
                  <w:vAlign w:val="center"/>
                </w:tcPr>
                <w:p w14:paraId="0BD94BD3">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0.15</w:t>
                  </w:r>
                </w:p>
              </w:tc>
              <w:tc>
                <w:tcPr>
                  <w:tcW w:w="1476" w:type="dxa"/>
                  <w:noWrap/>
                  <w:vAlign w:val="center"/>
                </w:tcPr>
                <w:p w14:paraId="2A5C125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w:t>
                  </w:r>
                </w:p>
              </w:tc>
              <w:tc>
                <w:tcPr>
                  <w:tcW w:w="1476" w:type="dxa"/>
                  <w:noWrap/>
                  <w:vAlign w:val="center"/>
                </w:tcPr>
                <w:p w14:paraId="2B0507F5">
                  <w:pPr>
                    <w:jc w:val="center"/>
                    <w:rPr>
                      <w:rFonts w:ascii="Times New Roman" w:hAnsi="Times New Roman" w:eastAsia="宋体" w:cs="Times New Roman"/>
                      <w:bCs/>
                      <w:color w:val="auto"/>
                      <w:szCs w:val="21"/>
                    </w:rPr>
                  </w:pPr>
                  <w:r>
                    <w:rPr>
                      <w:rFonts w:ascii="Times New Roman" w:hAnsi="Times New Roman" w:eastAsia="宋体" w:cs="Times New Roman"/>
                      <w:color w:val="auto"/>
                      <w:szCs w:val="21"/>
                    </w:rPr>
                    <w:t>Ⅲ类</w:t>
                  </w:r>
                </w:p>
              </w:tc>
            </w:tr>
            <w:tr w14:paraId="4F1A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088929FF">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永平路桥</w:t>
                  </w:r>
                </w:p>
              </w:tc>
              <w:tc>
                <w:tcPr>
                  <w:tcW w:w="1587" w:type="dxa"/>
                  <w:noWrap/>
                  <w:vAlign w:val="center"/>
                </w:tcPr>
                <w:p w14:paraId="0A79BC91">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3.9</w:t>
                  </w:r>
                </w:p>
              </w:tc>
              <w:tc>
                <w:tcPr>
                  <w:tcW w:w="1130" w:type="dxa"/>
                  <w:noWrap/>
                  <w:vAlign w:val="center"/>
                </w:tcPr>
                <w:p w14:paraId="748A511E">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0.51</w:t>
                  </w:r>
                </w:p>
              </w:tc>
              <w:tc>
                <w:tcPr>
                  <w:tcW w:w="1117" w:type="dxa"/>
                  <w:noWrap/>
                  <w:vAlign w:val="center"/>
                </w:tcPr>
                <w:p w14:paraId="6596C3E3">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0.11</w:t>
                  </w:r>
                </w:p>
              </w:tc>
              <w:tc>
                <w:tcPr>
                  <w:tcW w:w="1476" w:type="dxa"/>
                  <w:noWrap/>
                  <w:vAlign w:val="center"/>
                </w:tcPr>
                <w:p w14:paraId="32E066A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24</w:t>
                  </w:r>
                </w:p>
              </w:tc>
              <w:tc>
                <w:tcPr>
                  <w:tcW w:w="1476" w:type="dxa"/>
                  <w:noWrap/>
                  <w:vAlign w:val="center"/>
                </w:tcPr>
                <w:p w14:paraId="62F0A09A">
                  <w:pPr>
                    <w:jc w:val="center"/>
                    <w:rPr>
                      <w:rFonts w:ascii="Times New Roman" w:hAnsi="Times New Roman" w:eastAsia="宋体" w:cs="Times New Roman"/>
                      <w:bCs/>
                      <w:color w:val="auto"/>
                      <w:szCs w:val="21"/>
                    </w:rPr>
                  </w:pPr>
                  <w:r>
                    <w:rPr>
                      <w:rFonts w:ascii="Times New Roman" w:hAnsi="Times New Roman" w:eastAsia="宋体" w:cs="Times New Roman"/>
                      <w:color w:val="auto"/>
                      <w:szCs w:val="21"/>
                    </w:rPr>
                    <w:t>Ⅲ类</w:t>
                  </w:r>
                </w:p>
              </w:tc>
            </w:tr>
            <w:tr w14:paraId="2FA3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4D9FE68B">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兴山桥</w:t>
                  </w:r>
                </w:p>
              </w:tc>
              <w:tc>
                <w:tcPr>
                  <w:tcW w:w="1587" w:type="dxa"/>
                  <w:noWrap/>
                  <w:vAlign w:val="center"/>
                </w:tcPr>
                <w:p w14:paraId="14CAA8B3">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4.3</w:t>
                  </w:r>
                </w:p>
              </w:tc>
              <w:tc>
                <w:tcPr>
                  <w:tcW w:w="1130" w:type="dxa"/>
                  <w:noWrap/>
                  <w:vAlign w:val="center"/>
                </w:tcPr>
                <w:p w14:paraId="367AAAE3">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0.40</w:t>
                  </w:r>
                </w:p>
              </w:tc>
              <w:tc>
                <w:tcPr>
                  <w:tcW w:w="1117" w:type="dxa"/>
                  <w:noWrap/>
                  <w:vAlign w:val="center"/>
                </w:tcPr>
                <w:p w14:paraId="24E50A53">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0.19</w:t>
                  </w:r>
                </w:p>
              </w:tc>
              <w:tc>
                <w:tcPr>
                  <w:tcW w:w="1476" w:type="dxa"/>
                  <w:noWrap/>
                  <w:vAlign w:val="center"/>
                </w:tcPr>
                <w:p w14:paraId="0390B2D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28</w:t>
                  </w:r>
                </w:p>
              </w:tc>
              <w:tc>
                <w:tcPr>
                  <w:tcW w:w="1476" w:type="dxa"/>
                  <w:noWrap/>
                  <w:vAlign w:val="center"/>
                </w:tcPr>
                <w:p w14:paraId="0125A4C2">
                  <w:pPr>
                    <w:jc w:val="center"/>
                    <w:rPr>
                      <w:rFonts w:ascii="Times New Roman" w:hAnsi="Times New Roman" w:eastAsia="宋体" w:cs="Times New Roman"/>
                      <w:color w:val="FF0000"/>
                      <w:szCs w:val="21"/>
                    </w:rPr>
                  </w:pPr>
                  <w:r>
                    <w:rPr>
                      <w:rFonts w:ascii="Times New Roman" w:hAnsi="Times New Roman" w:eastAsia="宋体" w:cs="Times New Roman"/>
                      <w:color w:val="auto"/>
                      <w:szCs w:val="21"/>
                    </w:rPr>
                    <w:t>Ⅲ类</w:t>
                  </w:r>
                </w:p>
              </w:tc>
            </w:tr>
            <w:tr w14:paraId="2562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8" w:type="dxa"/>
                  <w:noWrap/>
                  <w:vAlign w:val="center"/>
                </w:tcPr>
                <w:p w14:paraId="74E5F2ED">
                  <w:pPr>
                    <w:autoSpaceDN w:val="0"/>
                    <w:jc w:val="center"/>
                    <w:textAlignment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新盟桥</w:t>
                  </w:r>
                </w:p>
              </w:tc>
              <w:tc>
                <w:tcPr>
                  <w:tcW w:w="1587" w:type="dxa"/>
                  <w:noWrap/>
                  <w:vAlign w:val="center"/>
                </w:tcPr>
                <w:p w14:paraId="6E3E2CCD">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w:t>
                  </w:r>
                </w:p>
              </w:tc>
              <w:tc>
                <w:tcPr>
                  <w:tcW w:w="1130" w:type="dxa"/>
                  <w:noWrap/>
                  <w:vAlign w:val="center"/>
                </w:tcPr>
                <w:p w14:paraId="670274AA">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0.50</w:t>
                  </w:r>
                </w:p>
              </w:tc>
              <w:tc>
                <w:tcPr>
                  <w:tcW w:w="1117" w:type="dxa"/>
                  <w:noWrap/>
                  <w:vAlign w:val="center"/>
                </w:tcPr>
                <w:p w14:paraId="0205364F">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0.17</w:t>
                  </w:r>
                </w:p>
              </w:tc>
              <w:tc>
                <w:tcPr>
                  <w:tcW w:w="1476" w:type="dxa"/>
                  <w:noWrap/>
                  <w:vAlign w:val="center"/>
                </w:tcPr>
                <w:p w14:paraId="433E52D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26</w:t>
                  </w:r>
                </w:p>
              </w:tc>
              <w:tc>
                <w:tcPr>
                  <w:tcW w:w="1476" w:type="dxa"/>
                  <w:noWrap/>
                  <w:vAlign w:val="center"/>
                </w:tcPr>
                <w:p w14:paraId="7A2E335A">
                  <w:pPr>
                    <w:jc w:val="center"/>
                    <w:rPr>
                      <w:rFonts w:ascii="Times New Roman" w:hAnsi="Times New Roman" w:eastAsia="宋体" w:cs="Times New Roman"/>
                      <w:color w:val="FF0000"/>
                      <w:szCs w:val="21"/>
                    </w:rPr>
                  </w:pPr>
                  <w:r>
                    <w:rPr>
                      <w:rFonts w:ascii="Times New Roman" w:hAnsi="Times New Roman" w:eastAsia="宋体" w:cs="Times New Roman"/>
                      <w:color w:val="auto"/>
                      <w:szCs w:val="21"/>
                    </w:rPr>
                    <w:t>Ⅲ类</w:t>
                  </w:r>
                </w:p>
              </w:tc>
            </w:tr>
          </w:tbl>
          <w:p w14:paraId="7BB76124">
            <w:pPr>
              <w:spacing w:line="460" w:lineRule="exact"/>
              <w:ind w:firstLine="480" w:firstLineChars="200"/>
              <w:jc w:val="both"/>
              <w:rPr>
                <w:rFonts w:hint="default" w:ascii="Times New Roman" w:hAnsi="Times New Roman" w:cs="Times New Roman" w:eastAsiaTheme="minorEastAsia"/>
                <w:b/>
                <w:bCs/>
                <w:color w:val="FF0000"/>
                <w:szCs w:val="21"/>
                <w:lang w:val="en-US" w:eastAsia="zh-CN"/>
              </w:rPr>
            </w:pPr>
            <w:r>
              <w:rPr>
                <w:rFonts w:hint="eastAsia"/>
                <w:color w:val="auto"/>
                <w:sz w:val="24"/>
              </w:rPr>
              <w:t>根据监测结果，</w:t>
            </w:r>
            <w:r>
              <w:rPr>
                <w:rFonts w:hint="eastAsia"/>
                <w:color w:val="000000" w:themeColor="text1"/>
                <w:sz w:val="24"/>
                <w14:textFill>
                  <w14:solidFill>
                    <w14:schemeClr w14:val="tx1"/>
                  </w14:solidFill>
                </w14:textFill>
              </w:rPr>
              <w:t>本项目所在区域地表水能达到</w:t>
            </w:r>
            <w:r>
              <w:rPr>
                <w:rFonts w:ascii="Times New Roman" w:hAnsi="Times New Roman"/>
                <w:color w:val="000000" w:themeColor="text1"/>
                <w:sz w:val="24"/>
                <w14:textFill>
                  <w14:solidFill>
                    <w14:schemeClr w14:val="tx1"/>
                  </w14:solidFill>
                </w14:textFill>
              </w:rPr>
              <w:t>《地表水环境质量标准》</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GB3838-2002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中的Ⅲ类标准</w:t>
            </w:r>
            <w:r>
              <w:rPr>
                <w:color w:val="000000" w:themeColor="text1"/>
                <w:sz w:val="24"/>
                <w14:textFill>
                  <w14:solidFill>
                    <w14:schemeClr w14:val="tx1"/>
                  </w14:solidFill>
                </w14:textFill>
              </w:rPr>
              <w:t>。</w:t>
            </w:r>
          </w:p>
          <w:p w14:paraId="2F4285E2">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 xml:space="preserve">3 </w:t>
            </w:r>
            <w:r>
              <w:rPr>
                <w:rFonts w:hint="default" w:ascii="Times New Roman" w:hAnsi="Times New Roman" w:eastAsia="宋体" w:cs="Times New Roman"/>
                <w:b/>
                <w:color w:val="auto"/>
                <w:sz w:val="24"/>
                <w:szCs w:val="22"/>
              </w:rPr>
              <w:t>声环境</w:t>
            </w:r>
          </w:p>
          <w:p w14:paraId="40DFF604">
            <w:pPr>
              <w:spacing w:line="360" w:lineRule="auto"/>
              <w:ind w:firstLine="480" w:firstLineChars="200"/>
              <w:rPr>
                <w:rFonts w:ascii="Times New Roman" w:hAnsi="Times New Roman"/>
                <w:color w:val="FF0000"/>
              </w:rPr>
            </w:pPr>
            <w:r>
              <w:rPr>
                <w:rFonts w:ascii="Times New Roman" w:hAnsi="Times New Roman"/>
                <w:color w:val="auto"/>
                <w:sz w:val="24"/>
              </w:rPr>
              <w:t>本项目</w:t>
            </w:r>
            <w:r>
              <w:rPr>
                <w:rFonts w:hint="eastAsia" w:ascii="Times New Roman" w:hAnsi="Times New Roman"/>
                <w:color w:val="auto"/>
                <w:sz w:val="24"/>
                <w:lang w:val="en-US" w:eastAsia="zh-CN"/>
              </w:rPr>
              <w:t>位于德清县阜溪街道新丰北路599号</w:t>
            </w:r>
            <w:r>
              <w:rPr>
                <w:rFonts w:ascii="Times New Roman" w:hAnsi="Times New Roman"/>
                <w:color w:val="auto"/>
                <w:sz w:val="24"/>
              </w:rPr>
              <w:t>，</w:t>
            </w:r>
            <w:r>
              <w:rPr>
                <w:rFonts w:hint="eastAsia" w:ascii="Times New Roman" w:hAnsi="Times New Roman"/>
                <w:color w:val="auto"/>
                <w:sz w:val="24"/>
                <w:lang w:val="en-US" w:eastAsia="zh-CN"/>
              </w:rPr>
              <w:t>属于工业区，声环境质量</w:t>
            </w:r>
            <w:r>
              <w:rPr>
                <w:rFonts w:ascii="Times New Roman" w:hAnsi="Times New Roman"/>
                <w:color w:val="auto"/>
                <w:sz w:val="24"/>
              </w:rPr>
              <w:t>执行《声环境质量标准》（GB3096-2008）中的3类标准。</w:t>
            </w:r>
          </w:p>
          <w:p w14:paraId="4AB7FDC1">
            <w:pPr>
              <w:spacing w:line="360" w:lineRule="auto"/>
              <w:ind w:firstLine="480" w:firstLineChars="200"/>
              <w:rPr>
                <w:rFonts w:hint="eastAsia" w:ascii="Times New Roman" w:hAnsi="Times New Roman" w:cs="Times New Roman" w:eastAsiaTheme="minorEastAsia"/>
                <w:b/>
                <w:bCs/>
                <w:color w:val="FF0000"/>
                <w:sz w:val="24"/>
                <w:szCs w:val="24"/>
                <w:lang w:val="en-US" w:eastAsia="zh-CN"/>
              </w:rPr>
            </w:pPr>
            <w:r>
              <w:rPr>
                <w:rFonts w:hint="eastAsia" w:ascii="Times New Roman" w:hAnsi="Times New Roman" w:cs="Times New Roman"/>
                <w:color w:val="auto"/>
                <w:sz w:val="24"/>
                <w:szCs w:val="24"/>
                <w:highlight w:val="none"/>
                <w:lang w:val="en-US" w:eastAsia="zh-CN"/>
              </w:rPr>
              <w:t>经现场勘查，本项目生产车间周边50米范围内无声环境保护目标，且本项目为新建项目，因此无需进行声环境质量现状监测。</w:t>
            </w:r>
          </w:p>
          <w:p w14:paraId="74AF3992">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center"/>
              <w:outlineLvl w:val="9"/>
              <w:rPr>
                <w:rFonts w:hint="eastAsia" w:ascii="Times New Roman" w:hAnsi="Times New Roman" w:eastAsia="宋体" w:cs="Times New Roman"/>
                <w:b/>
                <w:color w:val="auto"/>
                <w:sz w:val="24"/>
                <w:szCs w:val="22"/>
                <w:lang w:eastAsia="zh-CN"/>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 xml:space="preserve">4 </w:t>
            </w:r>
            <w:r>
              <w:rPr>
                <w:rFonts w:hint="eastAsia" w:ascii="Times New Roman" w:hAnsi="Times New Roman" w:eastAsia="宋体" w:cs="Times New Roman"/>
                <w:b/>
                <w:color w:val="auto"/>
                <w:sz w:val="24"/>
                <w:szCs w:val="22"/>
                <w:lang w:eastAsia="zh-CN"/>
              </w:rPr>
              <w:t>生态环境</w:t>
            </w:r>
          </w:p>
          <w:p w14:paraId="356DB2C7">
            <w:pPr>
              <w:spacing w:line="500" w:lineRule="exact"/>
              <w:ind w:firstLine="480" w:firstLineChars="200"/>
              <w:textAlignment w:val="center"/>
              <w:rPr>
                <w:rFonts w:hint="eastAsia" w:ascii="Times New Roman" w:hAnsi="Times New Roman" w:eastAsia="宋体" w:cs="Times New Roman"/>
                <w:color w:val="auto"/>
                <w:sz w:val="24"/>
                <w:szCs w:val="24"/>
                <w:highlight w:val="none"/>
                <w:lang w:val="en-US" w:eastAsia="zh-CN"/>
              </w:rPr>
            </w:pPr>
            <w:r>
              <w:rPr>
                <w:rFonts w:ascii="Times New Roman" w:hAnsi="Times New Roman"/>
                <w:color w:val="auto"/>
                <w:sz w:val="24"/>
                <w:szCs w:val="24"/>
                <w:highlight w:val="none"/>
              </w:rPr>
              <w:t>本项目所在区域</w:t>
            </w:r>
            <w:r>
              <w:rPr>
                <w:rFonts w:hint="eastAsia" w:ascii="Times New Roman" w:hAnsi="Times New Roman"/>
                <w:color w:val="auto"/>
                <w:sz w:val="24"/>
                <w:szCs w:val="24"/>
                <w:highlight w:val="none"/>
              </w:rPr>
              <w:t>属于工业区</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且用地范围内无生态环境保护目标。</w:t>
            </w:r>
            <w:r>
              <w:rPr>
                <w:rFonts w:hint="eastAsia" w:ascii="Times New Roman" w:hAnsi="Times New Roman"/>
                <w:color w:val="auto"/>
                <w:sz w:val="24"/>
                <w:szCs w:val="24"/>
                <w:highlight w:val="none"/>
              </w:rPr>
              <w:t>因此不进行生态</w:t>
            </w:r>
            <w:r>
              <w:rPr>
                <w:rFonts w:hint="eastAsia" w:ascii="Times New Roman" w:hAnsi="Times New Roman"/>
                <w:color w:val="auto"/>
                <w:sz w:val="24"/>
                <w:szCs w:val="24"/>
                <w:highlight w:val="none"/>
                <w:lang w:val="en-US" w:eastAsia="zh-CN"/>
              </w:rPr>
              <w:t>环境</w:t>
            </w:r>
            <w:r>
              <w:rPr>
                <w:rFonts w:hint="eastAsia" w:ascii="Times New Roman" w:hAnsi="Times New Roman"/>
                <w:color w:val="auto"/>
                <w:sz w:val="24"/>
                <w:szCs w:val="24"/>
                <w:highlight w:val="none"/>
              </w:rPr>
              <w:t>现状调查。</w:t>
            </w:r>
          </w:p>
          <w:p w14:paraId="30D33C0F">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center"/>
              <w:outlineLvl w:val="9"/>
              <w:rPr>
                <w:rFonts w:hint="eastAsia" w:ascii="Times New Roman" w:hAnsi="Times New Roman" w:eastAsia="宋体" w:cs="Times New Roman"/>
                <w:b/>
                <w:color w:val="auto"/>
                <w:sz w:val="24"/>
                <w:szCs w:val="22"/>
                <w:highlight w:val="none"/>
                <w:lang w:eastAsia="zh-CN"/>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 xml:space="preserve">5 </w:t>
            </w:r>
            <w:r>
              <w:rPr>
                <w:rFonts w:hint="eastAsia" w:ascii="Times New Roman" w:hAnsi="Times New Roman" w:eastAsia="宋体" w:cs="Times New Roman"/>
                <w:b/>
                <w:color w:val="auto"/>
                <w:sz w:val="24"/>
                <w:szCs w:val="22"/>
                <w:highlight w:val="none"/>
                <w:lang w:eastAsia="zh-CN"/>
              </w:rPr>
              <w:t>地下水、土壤环境</w:t>
            </w:r>
          </w:p>
          <w:p w14:paraId="3306B112">
            <w:pPr>
              <w:pStyle w:val="7"/>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本项目车间地面做好地面硬化、防渗、防腐处理后，各项污染物均可得到有效治理，正常工况下不存在地下水、土壤污染途径，故不进行环境质量现状调查。</w:t>
            </w:r>
          </w:p>
          <w:p w14:paraId="723E5047">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center"/>
              <w:outlineLvl w:val="9"/>
              <w:rPr>
                <w:rFonts w:hint="default" w:ascii="Times New Roman" w:hAnsi="Times New Roman" w:eastAsia="宋体" w:cs="Times New Roman"/>
                <w:b/>
                <w:color w:val="auto"/>
                <w:sz w:val="24"/>
                <w:szCs w:val="22"/>
                <w:highlight w:val="none"/>
                <w:lang w:val="en-US" w:eastAsia="zh-CN"/>
              </w:rPr>
            </w:pPr>
            <w:r>
              <w:rPr>
                <w:rFonts w:hint="eastAsia" w:ascii="Times New Roman" w:hAnsi="Times New Roman" w:eastAsia="宋体" w:cs="Times New Roman"/>
                <w:b/>
                <w:bCs/>
                <w:color w:val="auto"/>
                <w:sz w:val="24"/>
                <w:szCs w:val="24"/>
              </w:rPr>
              <w:t>3.1.</w:t>
            </w:r>
            <w:r>
              <w:rPr>
                <w:rFonts w:hint="eastAsia" w:ascii="Times New Roman" w:hAnsi="Times New Roman" w:eastAsia="宋体" w:cs="Times New Roman"/>
                <w:b/>
                <w:bCs/>
                <w:color w:val="auto"/>
                <w:sz w:val="24"/>
                <w:szCs w:val="24"/>
                <w:lang w:val="en-US" w:eastAsia="zh-CN"/>
              </w:rPr>
              <w:t>6</w:t>
            </w:r>
            <w:r>
              <w:rPr>
                <w:rFonts w:hint="eastAsia" w:ascii="Times New Roman" w:hAnsi="Times New Roman" w:eastAsia="宋体" w:cs="Times New Roman"/>
                <w:b/>
                <w:color w:val="auto"/>
                <w:sz w:val="24"/>
                <w:szCs w:val="22"/>
                <w:highlight w:val="none"/>
                <w:lang w:val="en-US" w:eastAsia="zh-CN"/>
              </w:rPr>
              <w:t>电磁、辐射</w:t>
            </w:r>
          </w:p>
          <w:p w14:paraId="2DD0C449">
            <w:pPr>
              <w:pStyle w:val="7"/>
              <w:spacing w:line="360" w:lineRule="auto"/>
              <w:ind w:firstLine="480" w:firstLineChars="200"/>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行业类别为工业自动控制系统装置制造</w:t>
            </w:r>
            <w:r>
              <w:rPr>
                <w:rFonts w:hint="eastAsia" w:ascii="Times New Roman" w:hAnsi="Times New Roman" w:eastAsia="宋体" w:cs="Times New Roman"/>
                <w:color w:val="auto"/>
                <w:kern w:val="0"/>
                <w:sz w:val="24"/>
                <w:szCs w:val="24"/>
                <w:highlight w:val="none"/>
                <w:lang w:val="en-US" w:eastAsia="zh-CN"/>
              </w:rPr>
              <w:t>，不属于电磁辐射类项目。因此，</w:t>
            </w:r>
            <w:r>
              <w:rPr>
                <w:rFonts w:hint="eastAsia" w:ascii="Times New Roman" w:hAnsi="Times New Roman" w:cs="Times New Roman"/>
                <w:color w:val="auto"/>
                <w:kern w:val="0"/>
                <w:sz w:val="24"/>
                <w:szCs w:val="24"/>
                <w:highlight w:val="none"/>
                <w:lang w:val="en-US" w:eastAsia="zh-CN"/>
              </w:rPr>
              <w:t>无需</w:t>
            </w:r>
            <w:r>
              <w:rPr>
                <w:rFonts w:hint="eastAsia" w:ascii="Times New Roman" w:hAnsi="Times New Roman" w:eastAsia="宋体" w:cs="Times New Roman"/>
                <w:color w:val="auto"/>
                <w:kern w:val="0"/>
                <w:sz w:val="24"/>
                <w:szCs w:val="24"/>
                <w:highlight w:val="none"/>
                <w:lang w:val="en-US" w:eastAsia="zh-CN"/>
              </w:rPr>
              <w:t>开展电磁辐射现状监测与评价。</w:t>
            </w:r>
          </w:p>
          <w:p w14:paraId="6CB72228">
            <w:pPr>
              <w:rPr>
                <w:rFonts w:hint="eastAsia" w:ascii="Times New Roman" w:hAnsi="Times New Roman" w:eastAsia="宋体" w:cs="Times New Roman"/>
                <w:color w:val="auto"/>
                <w:kern w:val="0"/>
                <w:sz w:val="24"/>
                <w:szCs w:val="24"/>
                <w:highlight w:val="none"/>
                <w:lang w:val="en-US" w:eastAsia="zh-CN"/>
              </w:rPr>
            </w:pPr>
          </w:p>
          <w:p w14:paraId="0418BA34">
            <w:pPr>
              <w:pStyle w:val="7"/>
              <w:rPr>
                <w:rFonts w:hint="eastAsia" w:ascii="Times New Roman" w:hAnsi="Times New Roman" w:eastAsia="宋体" w:cs="Times New Roman"/>
                <w:color w:val="auto"/>
                <w:kern w:val="0"/>
                <w:sz w:val="24"/>
                <w:szCs w:val="24"/>
                <w:highlight w:val="none"/>
                <w:lang w:val="en-US" w:eastAsia="zh-CN"/>
              </w:rPr>
            </w:pPr>
          </w:p>
          <w:p w14:paraId="38F597EB">
            <w:pPr>
              <w:rPr>
                <w:rFonts w:hint="eastAsia" w:ascii="Times New Roman" w:hAnsi="Times New Roman" w:eastAsia="宋体" w:cs="Times New Roman"/>
                <w:color w:val="auto"/>
                <w:kern w:val="0"/>
                <w:sz w:val="24"/>
                <w:szCs w:val="24"/>
                <w:highlight w:val="none"/>
                <w:lang w:val="en-US" w:eastAsia="zh-CN"/>
              </w:rPr>
            </w:pPr>
          </w:p>
          <w:p w14:paraId="0FBEE310">
            <w:pPr>
              <w:pStyle w:val="7"/>
              <w:rPr>
                <w:rFonts w:hint="eastAsia" w:ascii="Times New Roman" w:hAnsi="Times New Roman" w:eastAsia="宋体" w:cs="Times New Roman"/>
                <w:color w:val="auto"/>
                <w:kern w:val="0"/>
                <w:sz w:val="24"/>
                <w:szCs w:val="24"/>
                <w:highlight w:val="none"/>
                <w:lang w:val="en-US" w:eastAsia="zh-CN"/>
              </w:rPr>
            </w:pPr>
          </w:p>
          <w:p w14:paraId="6616EACA">
            <w:pPr>
              <w:rPr>
                <w:rFonts w:hint="eastAsia" w:ascii="Times New Roman" w:hAnsi="Times New Roman" w:eastAsia="宋体" w:cs="Times New Roman"/>
                <w:color w:val="auto"/>
                <w:kern w:val="0"/>
                <w:sz w:val="24"/>
                <w:szCs w:val="24"/>
                <w:highlight w:val="none"/>
                <w:lang w:val="en-US" w:eastAsia="zh-CN"/>
              </w:rPr>
            </w:pPr>
          </w:p>
          <w:p w14:paraId="0CB4B968">
            <w:pPr>
              <w:pStyle w:val="7"/>
              <w:rPr>
                <w:rFonts w:hint="eastAsia" w:ascii="Times New Roman" w:hAnsi="Times New Roman" w:eastAsia="宋体" w:cs="Times New Roman"/>
                <w:color w:val="auto"/>
                <w:kern w:val="0"/>
                <w:sz w:val="24"/>
                <w:szCs w:val="24"/>
                <w:highlight w:val="none"/>
                <w:lang w:val="en-US" w:eastAsia="zh-CN"/>
              </w:rPr>
            </w:pPr>
          </w:p>
          <w:p w14:paraId="05AAA15D">
            <w:pPr>
              <w:rPr>
                <w:rFonts w:hint="eastAsia" w:ascii="Times New Roman" w:hAnsi="Times New Roman" w:eastAsia="宋体" w:cs="Times New Roman"/>
                <w:color w:val="auto"/>
                <w:kern w:val="0"/>
                <w:sz w:val="24"/>
                <w:szCs w:val="24"/>
                <w:highlight w:val="none"/>
                <w:lang w:val="en-US" w:eastAsia="zh-CN"/>
              </w:rPr>
            </w:pPr>
          </w:p>
          <w:p w14:paraId="72BB2CF5">
            <w:pPr>
              <w:pStyle w:val="7"/>
            </w:pPr>
          </w:p>
        </w:tc>
      </w:tr>
      <w:tr w14:paraId="5A50AB54">
        <w:tblPrEx>
          <w:tblCellMar>
            <w:top w:w="0" w:type="dxa"/>
            <w:left w:w="0" w:type="dxa"/>
            <w:bottom w:w="0" w:type="dxa"/>
            <w:right w:w="0" w:type="dxa"/>
          </w:tblCellMar>
        </w:tblPrEx>
        <w:trPr>
          <w:trHeight w:val="4667" w:hRule="atLeast"/>
          <w:jc w:val="center"/>
        </w:trPr>
        <w:tc>
          <w:tcPr>
            <w:tcW w:w="90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6B6201">
            <w:pPr>
              <w:spacing w:line="360" w:lineRule="auto"/>
              <w:textAlignment w:val="center"/>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color w:val="auto"/>
                <w:sz w:val="24"/>
              </w:rPr>
              <w:t xml:space="preserve">3.2 </w:t>
            </w:r>
            <w:r>
              <w:rPr>
                <w:b/>
                <w:color w:val="auto"/>
                <w:sz w:val="24"/>
                <w:szCs w:val="24"/>
              </w:rPr>
              <w:t>主要环境保护目标（列出名单及保护级别）</w:t>
            </w:r>
          </w:p>
          <w:p w14:paraId="2B50152C">
            <w:pPr>
              <w:pStyle w:val="13"/>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center"/>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根据本项目特性和所在地环境特征，确定主要环境保护目标见表3-</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val="en-US" w:eastAsia="zh-CN"/>
              </w:rPr>
              <w:t>。</w:t>
            </w:r>
          </w:p>
          <w:p w14:paraId="3A59C2AE">
            <w:pPr>
              <w:pStyle w:val="7"/>
              <w:spacing w:line="460" w:lineRule="exact"/>
              <w:ind w:firstLine="0"/>
              <w:jc w:val="center"/>
              <w:textAlignment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表3-</w:t>
            </w:r>
            <w:r>
              <w:rPr>
                <w:rFonts w:hint="eastAsia" w:ascii="Times New Roman" w:hAnsi="Times New Roman" w:cs="Times New Roman"/>
                <w:b/>
                <w:bCs/>
                <w:color w:val="auto"/>
                <w:szCs w:val="21"/>
                <w:highlight w:val="none"/>
                <w:lang w:val="en-US" w:eastAsia="zh-CN"/>
              </w:rPr>
              <w:t>4</w:t>
            </w:r>
            <w:r>
              <w:rPr>
                <w:rFonts w:hint="default" w:ascii="Times New Roman" w:hAnsi="Times New Roman" w:eastAsia="宋体" w:cs="Times New Roman"/>
                <w:b/>
                <w:bCs/>
                <w:color w:val="auto"/>
                <w:szCs w:val="21"/>
                <w:highlight w:val="none"/>
                <w:lang w:val="en-US" w:eastAsia="zh-CN"/>
              </w:rPr>
              <w:t xml:space="preserve">  主要环境保护目标及保护级别</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612"/>
              <w:gridCol w:w="863"/>
              <w:gridCol w:w="950"/>
              <w:gridCol w:w="937"/>
              <w:gridCol w:w="850"/>
              <w:gridCol w:w="863"/>
              <w:gridCol w:w="1227"/>
              <w:gridCol w:w="877"/>
              <w:gridCol w:w="879"/>
            </w:tblGrid>
            <w:tr w14:paraId="2F84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46" w:type="dxa"/>
                  <w:vMerge w:val="restart"/>
                  <w:vAlign w:val="center"/>
                </w:tcPr>
                <w:p w14:paraId="2B06E0A1">
                  <w:pPr>
                    <w:rPr>
                      <w:rFonts w:ascii="Times New Roman" w:hAnsi="Times New Roman" w:cs="Times New Roman"/>
                      <w:b/>
                      <w:color w:val="auto"/>
                      <w:szCs w:val="21"/>
                    </w:rPr>
                  </w:pPr>
                  <w:r>
                    <w:rPr>
                      <w:rFonts w:ascii="Times New Roman" w:hAnsi="Times New Roman" w:cs="Times New Roman"/>
                      <w:b/>
                      <w:color w:val="auto"/>
                      <w:szCs w:val="21"/>
                    </w:rPr>
                    <w:t>序号</w:t>
                  </w:r>
                </w:p>
              </w:tc>
              <w:tc>
                <w:tcPr>
                  <w:tcW w:w="612" w:type="dxa"/>
                  <w:vMerge w:val="restart"/>
                  <w:vAlign w:val="center"/>
                </w:tcPr>
                <w:p w14:paraId="23DA6077">
                  <w:pPr>
                    <w:jc w:val="center"/>
                    <w:rPr>
                      <w:rFonts w:ascii="Times New Roman" w:hAnsi="Times New Roman" w:cs="Times New Roman"/>
                      <w:b/>
                      <w:color w:val="auto"/>
                      <w:szCs w:val="21"/>
                    </w:rPr>
                  </w:pPr>
                  <w:r>
                    <w:rPr>
                      <w:rFonts w:ascii="Times New Roman" w:hAnsi="Times New Roman" w:cs="Times New Roman"/>
                      <w:b/>
                      <w:color w:val="auto"/>
                      <w:szCs w:val="21"/>
                    </w:rPr>
                    <w:t>环境</w:t>
                  </w:r>
                </w:p>
                <w:p w14:paraId="5AB53B30">
                  <w:pPr>
                    <w:jc w:val="center"/>
                    <w:rPr>
                      <w:rFonts w:ascii="Times New Roman" w:hAnsi="Times New Roman" w:cs="Times New Roman"/>
                      <w:b/>
                      <w:color w:val="auto"/>
                      <w:szCs w:val="21"/>
                    </w:rPr>
                  </w:pPr>
                  <w:r>
                    <w:rPr>
                      <w:rFonts w:ascii="Times New Roman" w:hAnsi="Times New Roman" w:cs="Times New Roman"/>
                      <w:b/>
                      <w:color w:val="auto"/>
                      <w:szCs w:val="21"/>
                    </w:rPr>
                    <w:t>要素</w:t>
                  </w:r>
                </w:p>
              </w:tc>
              <w:tc>
                <w:tcPr>
                  <w:tcW w:w="863" w:type="dxa"/>
                  <w:vMerge w:val="restart"/>
                  <w:vAlign w:val="center"/>
                </w:tcPr>
                <w:p w14:paraId="6DD5226D">
                  <w:pPr>
                    <w:jc w:val="center"/>
                    <w:rPr>
                      <w:rFonts w:ascii="Times New Roman" w:hAnsi="Times New Roman" w:cs="Times New Roman"/>
                      <w:b/>
                      <w:color w:val="auto"/>
                      <w:szCs w:val="21"/>
                    </w:rPr>
                  </w:pPr>
                  <w:r>
                    <w:rPr>
                      <w:rFonts w:ascii="Times New Roman" w:hAnsi="Times New Roman" w:cs="Times New Roman"/>
                      <w:b/>
                      <w:color w:val="auto"/>
                      <w:szCs w:val="21"/>
                    </w:rPr>
                    <w:t>环境</w:t>
                  </w:r>
                </w:p>
                <w:p w14:paraId="05CB5F3D">
                  <w:pPr>
                    <w:jc w:val="center"/>
                    <w:rPr>
                      <w:rFonts w:ascii="Times New Roman" w:hAnsi="Times New Roman" w:cs="Times New Roman"/>
                      <w:b/>
                      <w:color w:val="auto"/>
                      <w:szCs w:val="21"/>
                    </w:rPr>
                  </w:pPr>
                  <w:r>
                    <w:rPr>
                      <w:rFonts w:ascii="Times New Roman" w:hAnsi="Times New Roman" w:cs="Times New Roman"/>
                      <w:b/>
                      <w:color w:val="auto"/>
                      <w:szCs w:val="21"/>
                    </w:rPr>
                    <w:t>保护</w:t>
                  </w:r>
                </w:p>
                <w:p w14:paraId="3BE16917">
                  <w:pPr>
                    <w:jc w:val="center"/>
                    <w:rPr>
                      <w:rFonts w:ascii="Times New Roman" w:hAnsi="Times New Roman" w:cs="Times New Roman"/>
                      <w:b/>
                      <w:color w:val="auto"/>
                      <w:szCs w:val="21"/>
                    </w:rPr>
                  </w:pPr>
                  <w:r>
                    <w:rPr>
                      <w:rFonts w:ascii="Times New Roman" w:hAnsi="Times New Roman" w:cs="Times New Roman"/>
                      <w:b/>
                      <w:color w:val="auto"/>
                      <w:szCs w:val="21"/>
                    </w:rPr>
                    <w:t>对象</w:t>
                  </w:r>
                </w:p>
                <w:p w14:paraId="09A56E6E">
                  <w:pPr>
                    <w:jc w:val="center"/>
                    <w:rPr>
                      <w:rFonts w:ascii="Times New Roman" w:hAnsi="Times New Roman" w:cs="Times New Roman"/>
                      <w:b/>
                      <w:color w:val="auto"/>
                      <w:szCs w:val="21"/>
                    </w:rPr>
                  </w:pPr>
                  <w:r>
                    <w:rPr>
                      <w:rFonts w:ascii="Times New Roman" w:hAnsi="Times New Roman" w:cs="Times New Roman"/>
                      <w:b/>
                      <w:color w:val="auto"/>
                      <w:szCs w:val="21"/>
                    </w:rPr>
                    <w:t>名称</w:t>
                  </w:r>
                </w:p>
              </w:tc>
              <w:tc>
                <w:tcPr>
                  <w:tcW w:w="1887" w:type="dxa"/>
                  <w:gridSpan w:val="2"/>
                  <w:vAlign w:val="center"/>
                </w:tcPr>
                <w:p w14:paraId="6FCBF871">
                  <w:pPr>
                    <w:jc w:val="center"/>
                    <w:rPr>
                      <w:rFonts w:hint="eastAsia" w:ascii="Times New Roman" w:hAnsi="Times New Roman" w:cs="Times New Roman" w:eastAsiaTheme="minorEastAsia"/>
                      <w:b/>
                      <w:color w:val="auto"/>
                      <w:szCs w:val="21"/>
                      <w:lang w:eastAsia="zh-CN"/>
                    </w:rPr>
                  </w:pPr>
                  <w:r>
                    <w:rPr>
                      <w:rFonts w:ascii="Times New Roman" w:hAnsi="Times New Roman" w:cs="Times New Roman"/>
                      <w:b/>
                      <w:color w:val="auto"/>
                      <w:szCs w:val="21"/>
                    </w:rPr>
                    <w:t>坐标</w:t>
                  </w:r>
                  <w:r>
                    <w:rPr>
                      <w:rFonts w:hint="eastAsia" w:ascii="Times New Roman" w:hAnsi="Times New Roman" w:cs="Times New Roman"/>
                      <w:b/>
                      <w:color w:val="auto"/>
                      <w:szCs w:val="21"/>
                      <w:lang w:eastAsia="zh-CN"/>
                    </w:rPr>
                    <w:t>（</w:t>
                  </w:r>
                  <w:r>
                    <w:rPr>
                      <w:rFonts w:hint="eastAsia" w:ascii="Times New Roman" w:hAnsi="Times New Roman" w:cs="Times New Roman"/>
                      <w:b/>
                      <w:color w:val="auto"/>
                      <w:szCs w:val="21"/>
                      <w:lang w:val="en-US" w:eastAsia="zh-CN"/>
                    </w:rPr>
                    <w:t>m</w:t>
                  </w:r>
                  <w:r>
                    <w:rPr>
                      <w:rFonts w:hint="eastAsia" w:ascii="Times New Roman" w:hAnsi="Times New Roman" w:cs="Times New Roman"/>
                      <w:b/>
                      <w:color w:val="auto"/>
                      <w:szCs w:val="21"/>
                      <w:lang w:eastAsia="zh-CN"/>
                    </w:rPr>
                    <w:t>）</w:t>
                  </w:r>
                </w:p>
              </w:tc>
              <w:tc>
                <w:tcPr>
                  <w:tcW w:w="850" w:type="dxa"/>
                  <w:vMerge w:val="restart"/>
                  <w:vAlign w:val="center"/>
                </w:tcPr>
                <w:p w14:paraId="3A7198B1">
                  <w:pPr>
                    <w:jc w:val="center"/>
                    <w:rPr>
                      <w:rFonts w:ascii="Times New Roman" w:hAnsi="Times New Roman" w:cs="Times New Roman"/>
                      <w:b/>
                      <w:color w:val="auto"/>
                      <w:szCs w:val="21"/>
                    </w:rPr>
                  </w:pPr>
                  <w:r>
                    <w:rPr>
                      <w:rFonts w:ascii="Times New Roman" w:hAnsi="Times New Roman" w:cs="Times New Roman"/>
                      <w:b/>
                      <w:color w:val="auto"/>
                      <w:szCs w:val="21"/>
                    </w:rPr>
                    <w:t>保护对象</w:t>
                  </w:r>
                </w:p>
              </w:tc>
              <w:tc>
                <w:tcPr>
                  <w:tcW w:w="863" w:type="dxa"/>
                  <w:vMerge w:val="restart"/>
                  <w:vAlign w:val="center"/>
                </w:tcPr>
                <w:p w14:paraId="458A9FE4">
                  <w:pPr>
                    <w:jc w:val="center"/>
                    <w:rPr>
                      <w:rFonts w:ascii="Times New Roman" w:hAnsi="Times New Roman" w:cs="Times New Roman"/>
                      <w:b/>
                      <w:color w:val="auto"/>
                      <w:szCs w:val="21"/>
                    </w:rPr>
                  </w:pPr>
                  <w:r>
                    <w:rPr>
                      <w:rFonts w:ascii="Times New Roman" w:hAnsi="Times New Roman" w:cs="Times New Roman"/>
                      <w:b/>
                      <w:color w:val="auto"/>
                      <w:szCs w:val="21"/>
                    </w:rPr>
                    <w:t>保护</w:t>
                  </w:r>
                </w:p>
                <w:p w14:paraId="5ED09721">
                  <w:pPr>
                    <w:jc w:val="center"/>
                    <w:rPr>
                      <w:rFonts w:ascii="Times New Roman" w:hAnsi="Times New Roman" w:cs="Times New Roman"/>
                      <w:b/>
                      <w:color w:val="auto"/>
                      <w:szCs w:val="21"/>
                    </w:rPr>
                  </w:pPr>
                  <w:r>
                    <w:rPr>
                      <w:rFonts w:ascii="Times New Roman" w:hAnsi="Times New Roman" w:cs="Times New Roman"/>
                      <w:b/>
                      <w:color w:val="auto"/>
                      <w:szCs w:val="21"/>
                    </w:rPr>
                    <w:t>内容</w:t>
                  </w:r>
                </w:p>
              </w:tc>
              <w:tc>
                <w:tcPr>
                  <w:tcW w:w="1227" w:type="dxa"/>
                  <w:vMerge w:val="restart"/>
                  <w:vAlign w:val="center"/>
                </w:tcPr>
                <w:p w14:paraId="01577CC1">
                  <w:pPr>
                    <w:jc w:val="center"/>
                    <w:rPr>
                      <w:rFonts w:ascii="Times New Roman" w:hAnsi="Times New Roman" w:cs="Times New Roman"/>
                      <w:b/>
                      <w:color w:val="auto"/>
                      <w:szCs w:val="21"/>
                    </w:rPr>
                  </w:pPr>
                  <w:r>
                    <w:rPr>
                      <w:rFonts w:ascii="Times New Roman" w:hAnsi="Times New Roman" w:cs="Times New Roman"/>
                      <w:b/>
                      <w:color w:val="auto"/>
                      <w:szCs w:val="21"/>
                    </w:rPr>
                    <w:t>环境</w:t>
                  </w:r>
                </w:p>
                <w:p w14:paraId="484B592D">
                  <w:pPr>
                    <w:jc w:val="center"/>
                    <w:rPr>
                      <w:rFonts w:ascii="Times New Roman" w:hAnsi="Times New Roman" w:cs="Times New Roman"/>
                      <w:b/>
                      <w:color w:val="auto"/>
                      <w:szCs w:val="21"/>
                    </w:rPr>
                  </w:pPr>
                  <w:r>
                    <w:rPr>
                      <w:rFonts w:ascii="Times New Roman" w:hAnsi="Times New Roman" w:cs="Times New Roman"/>
                      <w:b/>
                      <w:color w:val="auto"/>
                      <w:szCs w:val="21"/>
                    </w:rPr>
                    <w:t>功能区</w:t>
                  </w:r>
                </w:p>
              </w:tc>
              <w:tc>
                <w:tcPr>
                  <w:tcW w:w="877" w:type="dxa"/>
                  <w:vMerge w:val="restart"/>
                  <w:vAlign w:val="center"/>
                </w:tcPr>
                <w:p w14:paraId="111EA807">
                  <w:pPr>
                    <w:jc w:val="center"/>
                    <w:rPr>
                      <w:rFonts w:ascii="Times New Roman" w:hAnsi="Times New Roman" w:cs="Times New Roman"/>
                      <w:b/>
                      <w:color w:val="auto"/>
                      <w:szCs w:val="21"/>
                    </w:rPr>
                  </w:pPr>
                  <w:r>
                    <w:rPr>
                      <w:rFonts w:ascii="Times New Roman" w:hAnsi="Times New Roman" w:cs="Times New Roman"/>
                      <w:b/>
                      <w:color w:val="auto"/>
                      <w:szCs w:val="21"/>
                    </w:rPr>
                    <w:t>相对场址方位</w:t>
                  </w:r>
                </w:p>
              </w:tc>
              <w:tc>
                <w:tcPr>
                  <w:tcW w:w="879" w:type="dxa"/>
                  <w:vMerge w:val="restart"/>
                  <w:vAlign w:val="center"/>
                </w:tcPr>
                <w:p w14:paraId="10923540">
                  <w:pPr>
                    <w:jc w:val="center"/>
                    <w:rPr>
                      <w:rFonts w:ascii="Times New Roman" w:hAnsi="Times New Roman" w:cs="Times New Roman"/>
                      <w:b/>
                      <w:color w:val="auto"/>
                      <w:szCs w:val="21"/>
                    </w:rPr>
                  </w:pPr>
                  <w:r>
                    <w:rPr>
                      <w:rFonts w:ascii="Times New Roman" w:hAnsi="Times New Roman" w:cs="Times New Roman"/>
                      <w:b/>
                      <w:color w:val="auto"/>
                      <w:szCs w:val="21"/>
                    </w:rPr>
                    <w:t>相对场界距离</w:t>
                  </w:r>
                </w:p>
              </w:tc>
            </w:tr>
            <w:tr w14:paraId="1354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Merge w:val="continue"/>
                  <w:vAlign w:val="center"/>
                </w:tcPr>
                <w:p w14:paraId="156F8242">
                  <w:pPr>
                    <w:jc w:val="center"/>
                    <w:rPr>
                      <w:rFonts w:ascii="Times New Roman" w:hAnsi="Times New Roman" w:cs="Times New Roman"/>
                      <w:bCs/>
                      <w:color w:val="FF0000"/>
                      <w:szCs w:val="21"/>
                    </w:rPr>
                  </w:pPr>
                </w:p>
              </w:tc>
              <w:tc>
                <w:tcPr>
                  <w:tcW w:w="612" w:type="dxa"/>
                  <w:vMerge w:val="continue"/>
                  <w:vAlign w:val="center"/>
                </w:tcPr>
                <w:p w14:paraId="3EC3D2AF">
                  <w:pPr>
                    <w:jc w:val="center"/>
                    <w:rPr>
                      <w:rFonts w:ascii="Times New Roman" w:hAnsi="Times New Roman" w:cs="Times New Roman"/>
                      <w:bCs/>
                      <w:color w:val="FF0000"/>
                      <w:szCs w:val="21"/>
                    </w:rPr>
                  </w:pPr>
                </w:p>
              </w:tc>
              <w:tc>
                <w:tcPr>
                  <w:tcW w:w="863" w:type="dxa"/>
                  <w:vMerge w:val="continue"/>
                  <w:vAlign w:val="center"/>
                </w:tcPr>
                <w:p w14:paraId="05526FB1">
                  <w:pPr>
                    <w:jc w:val="center"/>
                    <w:rPr>
                      <w:rFonts w:ascii="Times New Roman" w:hAnsi="Times New Roman" w:cs="Times New Roman"/>
                      <w:bCs/>
                      <w:color w:val="auto"/>
                      <w:szCs w:val="21"/>
                    </w:rPr>
                  </w:pPr>
                </w:p>
              </w:tc>
              <w:tc>
                <w:tcPr>
                  <w:tcW w:w="950" w:type="dxa"/>
                  <w:vAlign w:val="center"/>
                </w:tcPr>
                <w:p w14:paraId="1FC3902C">
                  <w:pPr>
                    <w:jc w:val="center"/>
                    <w:rPr>
                      <w:rFonts w:ascii="Times New Roman" w:hAnsi="Times New Roman" w:cs="Times New Roman"/>
                      <w:b/>
                      <w:color w:val="auto"/>
                      <w:szCs w:val="21"/>
                    </w:rPr>
                  </w:pPr>
                  <w:r>
                    <w:rPr>
                      <w:rFonts w:hint="eastAsia" w:ascii="Times New Roman" w:hAnsi="Times New Roman" w:cs="Times New Roman"/>
                      <w:b/>
                      <w:color w:val="auto"/>
                      <w:szCs w:val="21"/>
                    </w:rPr>
                    <w:t>X</w:t>
                  </w:r>
                </w:p>
              </w:tc>
              <w:tc>
                <w:tcPr>
                  <w:tcW w:w="937" w:type="dxa"/>
                  <w:vAlign w:val="center"/>
                </w:tcPr>
                <w:p w14:paraId="54E0579E">
                  <w:pPr>
                    <w:jc w:val="center"/>
                    <w:rPr>
                      <w:rFonts w:ascii="Times New Roman" w:hAnsi="Times New Roman" w:cs="Times New Roman"/>
                      <w:b/>
                      <w:color w:val="auto"/>
                      <w:szCs w:val="21"/>
                    </w:rPr>
                  </w:pPr>
                  <w:r>
                    <w:rPr>
                      <w:rFonts w:hint="eastAsia" w:ascii="Times New Roman" w:hAnsi="Times New Roman" w:cs="Times New Roman"/>
                      <w:b/>
                      <w:color w:val="auto"/>
                      <w:szCs w:val="21"/>
                    </w:rPr>
                    <w:t>Y</w:t>
                  </w:r>
                </w:p>
              </w:tc>
              <w:tc>
                <w:tcPr>
                  <w:tcW w:w="850" w:type="dxa"/>
                  <w:vMerge w:val="continue"/>
                  <w:vAlign w:val="center"/>
                </w:tcPr>
                <w:p w14:paraId="17E5FFAE">
                  <w:pPr>
                    <w:jc w:val="center"/>
                    <w:rPr>
                      <w:rFonts w:ascii="Times New Roman" w:hAnsi="Times New Roman" w:cs="Times New Roman"/>
                      <w:bCs/>
                      <w:color w:val="auto"/>
                      <w:szCs w:val="21"/>
                    </w:rPr>
                  </w:pPr>
                </w:p>
              </w:tc>
              <w:tc>
                <w:tcPr>
                  <w:tcW w:w="863" w:type="dxa"/>
                  <w:vMerge w:val="continue"/>
                  <w:vAlign w:val="center"/>
                </w:tcPr>
                <w:p w14:paraId="2CF6B23B">
                  <w:pPr>
                    <w:jc w:val="center"/>
                    <w:rPr>
                      <w:rFonts w:ascii="Times New Roman" w:hAnsi="Times New Roman" w:cs="Times New Roman"/>
                      <w:bCs/>
                      <w:color w:val="auto"/>
                      <w:szCs w:val="21"/>
                    </w:rPr>
                  </w:pPr>
                </w:p>
              </w:tc>
              <w:tc>
                <w:tcPr>
                  <w:tcW w:w="1227" w:type="dxa"/>
                  <w:vMerge w:val="continue"/>
                  <w:vAlign w:val="center"/>
                </w:tcPr>
                <w:p w14:paraId="60FD4F2C">
                  <w:pPr>
                    <w:jc w:val="center"/>
                    <w:rPr>
                      <w:rFonts w:ascii="Times New Roman" w:hAnsi="Times New Roman" w:cs="Times New Roman"/>
                      <w:bCs/>
                      <w:color w:val="auto"/>
                      <w:szCs w:val="21"/>
                    </w:rPr>
                  </w:pPr>
                </w:p>
              </w:tc>
              <w:tc>
                <w:tcPr>
                  <w:tcW w:w="877" w:type="dxa"/>
                  <w:vMerge w:val="continue"/>
                  <w:vAlign w:val="center"/>
                </w:tcPr>
                <w:p w14:paraId="5A3245A2">
                  <w:pPr>
                    <w:jc w:val="center"/>
                    <w:rPr>
                      <w:rFonts w:ascii="Times New Roman" w:hAnsi="Times New Roman" w:cs="Times New Roman"/>
                      <w:bCs/>
                      <w:color w:val="auto"/>
                      <w:szCs w:val="21"/>
                    </w:rPr>
                  </w:pPr>
                </w:p>
              </w:tc>
              <w:tc>
                <w:tcPr>
                  <w:tcW w:w="879" w:type="dxa"/>
                  <w:vMerge w:val="continue"/>
                  <w:vAlign w:val="center"/>
                </w:tcPr>
                <w:p w14:paraId="622FA55D">
                  <w:pPr>
                    <w:jc w:val="center"/>
                    <w:rPr>
                      <w:rFonts w:ascii="Times New Roman" w:hAnsi="Times New Roman" w:cs="Times New Roman"/>
                      <w:bCs/>
                      <w:color w:val="auto"/>
                      <w:szCs w:val="21"/>
                    </w:rPr>
                  </w:pPr>
                </w:p>
              </w:tc>
            </w:tr>
            <w:tr w14:paraId="3BD2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46" w:type="dxa"/>
                  <w:vAlign w:val="center"/>
                </w:tcPr>
                <w:p w14:paraId="18D997E5">
                  <w:pPr>
                    <w:jc w:val="center"/>
                    <w:rPr>
                      <w:rFonts w:ascii="Times New Roman" w:hAnsi="Times New Roman" w:cs="Times New Roman"/>
                      <w:color w:val="auto"/>
                      <w:szCs w:val="21"/>
                    </w:rPr>
                  </w:pPr>
                  <w:r>
                    <w:rPr>
                      <w:rFonts w:ascii="Times New Roman" w:hAnsi="Times New Roman" w:cs="Times New Roman"/>
                      <w:color w:val="auto"/>
                      <w:szCs w:val="21"/>
                    </w:rPr>
                    <w:t>1</w:t>
                  </w:r>
                </w:p>
              </w:tc>
              <w:tc>
                <w:tcPr>
                  <w:tcW w:w="612" w:type="dxa"/>
                  <w:vAlign w:val="center"/>
                </w:tcPr>
                <w:p w14:paraId="32FE9B38">
                  <w:pPr>
                    <w:jc w:val="center"/>
                    <w:rPr>
                      <w:rFonts w:ascii="Times New Roman" w:hAnsi="Times New Roman" w:cs="Times New Roman"/>
                      <w:color w:val="auto"/>
                      <w:szCs w:val="21"/>
                    </w:rPr>
                  </w:pPr>
                  <w:r>
                    <w:rPr>
                      <w:rFonts w:ascii="Times New Roman" w:hAnsi="Times New Roman" w:cs="Times New Roman"/>
                      <w:color w:val="auto"/>
                      <w:szCs w:val="21"/>
                    </w:rPr>
                    <w:t>环境</w:t>
                  </w:r>
                </w:p>
                <w:p w14:paraId="5E9CAE9D">
                  <w:pPr>
                    <w:jc w:val="center"/>
                    <w:rPr>
                      <w:rFonts w:ascii="Times New Roman" w:hAnsi="Times New Roman" w:cs="Times New Roman"/>
                      <w:color w:val="auto"/>
                      <w:szCs w:val="21"/>
                    </w:rPr>
                  </w:pPr>
                  <w:r>
                    <w:rPr>
                      <w:rFonts w:ascii="Times New Roman" w:hAnsi="Times New Roman" w:cs="Times New Roman"/>
                      <w:color w:val="auto"/>
                      <w:szCs w:val="21"/>
                    </w:rPr>
                    <w:t>空气</w:t>
                  </w:r>
                </w:p>
              </w:tc>
              <w:tc>
                <w:tcPr>
                  <w:tcW w:w="863" w:type="dxa"/>
                  <w:vAlign w:val="center"/>
                </w:tcPr>
                <w:p w14:paraId="2027F547">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德清县求是高级中学</w:t>
                  </w:r>
                </w:p>
              </w:tc>
              <w:tc>
                <w:tcPr>
                  <w:tcW w:w="950" w:type="dxa"/>
                  <w:vAlign w:val="center"/>
                </w:tcPr>
                <w:p w14:paraId="61E3D33E">
                  <w:pPr>
                    <w:widowControl/>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787054.42</w:t>
                  </w:r>
                </w:p>
              </w:tc>
              <w:tc>
                <w:tcPr>
                  <w:tcW w:w="937" w:type="dxa"/>
                  <w:vAlign w:val="center"/>
                </w:tcPr>
                <w:p w14:paraId="344C6E14">
                  <w:pPr>
                    <w:widowControl/>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3385470.98</w:t>
                  </w:r>
                </w:p>
              </w:tc>
              <w:tc>
                <w:tcPr>
                  <w:tcW w:w="850" w:type="dxa"/>
                  <w:vAlign w:val="center"/>
                </w:tcPr>
                <w:p w14:paraId="0D1A690F">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师生</w:t>
                  </w:r>
                </w:p>
              </w:tc>
              <w:tc>
                <w:tcPr>
                  <w:tcW w:w="863" w:type="dxa"/>
                  <w:vAlign w:val="center"/>
                </w:tcPr>
                <w:p w14:paraId="33259474">
                  <w:pPr>
                    <w:jc w:val="center"/>
                    <w:rPr>
                      <w:rFonts w:ascii="Times New Roman" w:hAnsi="Times New Roman" w:cs="Times New Roman"/>
                      <w:color w:val="auto"/>
                      <w:szCs w:val="21"/>
                    </w:rPr>
                  </w:pPr>
                  <w:r>
                    <w:rPr>
                      <w:rFonts w:ascii="Times New Roman" w:hAnsi="Times New Roman" w:cs="Times New Roman"/>
                      <w:color w:val="auto"/>
                      <w:szCs w:val="21"/>
                    </w:rPr>
                    <w:t>环境空气</w:t>
                  </w:r>
                </w:p>
              </w:tc>
              <w:tc>
                <w:tcPr>
                  <w:tcW w:w="1227" w:type="dxa"/>
                  <w:vAlign w:val="center"/>
                </w:tcPr>
                <w:p w14:paraId="31748068">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环境空气二类功能区</w:t>
                  </w:r>
                </w:p>
              </w:tc>
              <w:tc>
                <w:tcPr>
                  <w:tcW w:w="877" w:type="dxa"/>
                  <w:vAlign w:val="center"/>
                </w:tcPr>
                <w:p w14:paraId="0B9BD9C1">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西侧</w:t>
                  </w:r>
                </w:p>
              </w:tc>
              <w:tc>
                <w:tcPr>
                  <w:tcW w:w="879" w:type="dxa"/>
                  <w:vAlign w:val="center"/>
                </w:tcPr>
                <w:p w14:paraId="6C411761">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391</w:t>
                  </w:r>
                  <w:r>
                    <w:rPr>
                      <w:rFonts w:ascii="Times New Roman" w:hAnsi="Times New Roman" w:cs="Times New Roman"/>
                      <w:color w:val="auto"/>
                      <w:szCs w:val="21"/>
                    </w:rPr>
                    <w:t>m</w:t>
                  </w:r>
                </w:p>
              </w:tc>
            </w:tr>
            <w:tr w14:paraId="2215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Align w:val="center"/>
                </w:tcPr>
                <w:p w14:paraId="3428CF20">
                  <w:pPr>
                    <w:jc w:val="center"/>
                    <w:rPr>
                      <w:rFonts w:ascii="Times New Roman" w:hAnsi="Times New Roman" w:cs="Times New Roman"/>
                      <w:color w:val="auto"/>
                      <w:szCs w:val="21"/>
                    </w:rPr>
                  </w:pPr>
                  <w:r>
                    <w:rPr>
                      <w:rFonts w:ascii="Times New Roman" w:hAnsi="Times New Roman" w:cs="Times New Roman"/>
                      <w:color w:val="auto"/>
                      <w:szCs w:val="21"/>
                    </w:rPr>
                    <w:t>2</w:t>
                  </w:r>
                </w:p>
              </w:tc>
              <w:tc>
                <w:tcPr>
                  <w:tcW w:w="612" w:type="dxa"/>
                  <w:vAlign w:val="center"/>
                </w:tcPr>
                <w:p w14:paraId="358328D5">
                  <w:pPr>
                    <w:jc w:val="center"/>
                    <w:rPr>
                      <w:rFonts w:ascii="Times New Roman" w:hAnsi="Times New Roman" w:cs="Times New Roman"/>
                      <w:color w:val="auto"/>
                      <w:szCs w:val="21"/>
                    </w:rPr>
                  </w:pPr>
                  <w:r>
                    <w:rPr>
                      <w:rFonts w:hint="eastAsia" w:ascii="Times New Roman" w:hAnsi="Times New Roman" w:cs="Times New Roman"/>
                      <w:color w:val="auto"/>
                      <w:szCs w:val="21"/>
                    </w:rPr>
                    <w:t>声</w:t>
                  </w:r>
                  <w:r>
                    <w:rPr>
                      <w:rFonts w:ascii="Times New Roman" w:hAnsi="Times New Roman" w:cs="Times New Roman"/>
                      <w:color w:val="auto"/>
                      <w:szCs w:val="21"/>
                    </w:rPr>
                    <w:t>环境</w:t>
                  </w:r>
                </w:p>
              </w:tc>
              <w:tc>
                <w:tcPr>
                  <w:tcW w:w="4463" w:type="dxa"/>
                  <w:gridSpan w:val="5"/>
                  <w:vAlign w:val="center"/>
                </w:tcPr>
                <w:p w14:paraId="015CF67C">
                  <w:pPr>
                    <w:jc w:val="center"/>
                    <w:rPr>
                      <w:rFonts w:ascii="Times New Roman" w:hAnsi="Times New Roman" w:cs="Times New Roman"/>
                      <w:color w:val="auto"/>
                      <w:szCs w:val="21"/>
                    </w:rPr>
                  </w:pPr>
                  <w:r>
                    <w:rPr>
                      <w:rFonts w:hint="eastAsia" w:ascii="Times New Roman" w:hAnsi="Times New Roman" w:eastAsia="宋体" w:cs="Times New Roman"/>
                      <w:color w:val="auto"/>
                      <w:szCs w:val="21"/>
                    </w:rPr>
                    <w:t>厂界外50米范围内无声环境保护目标</w:t>
                  </w:r>
                </w:p>
              </w:tc>
              <w:tc>
                <w:tcPr>
                  <w:tcW w:w="1227" w:type="dxa"/>
                  <w:vAlign w:val="center"/>
                </w:tcPr>
                <w:p w14:paraId="5D18BA2E">
                  <w:pPr>
                    <w:jc w:val="center"/>
                    <w:rPr>
                      <w:rFonts w:ascii="Times New Roman" w:hAnsi="Times New Roman" w:cs="Times New Roman"/>
                      <w:color w:val="auto"/>
                      <w:szCs w:val="21"/>
                    </w:rPr>
                  </w:pPr>
                  <w:r>
                    <w:rPr>
                      <w:rFonts w:ascii="Times New Roman" w:hAnsi="Times New Roman" w:cs="Times New Roman"/>
                      <w:color w:val="auto"/>
                      <w:szCs w:val="21"/>
                    </w:rPr>
                    <w:t>3类</w:t>
                  </w:r>
                </w:p>
              </w:tc>
              <w:tc>
                <w:tcPr>
                  <w:tcW w:w="877" w:type="dxa"/>
                  <w:vAlign w:val="center"/>
                </w:tcPr>
                <w:p w14:paraId="590681EA">
                  <w:pPr>
                    <w:jc w:val="center"/>
                    <w:rPr>
                      <w:rFonts w:ascii="Times New Roman" w:hAnsi="Times New Roman" w:cs="Times New Roman"/>
                      <w:color w:val="auto"/>
                      <w:szCs w:val="21"/>
                    </w:rPr>
                  </w:pPr>
                  <w:r>
                    <w:rPr>
                      <w:rFonts w:ascii="Times New Roman" w:hAnsi="Times New Roman" w:cs="Times New Roman"/>
                      <w:color w:val="auto"/>
                      <w:szCs w:val="21"/>
                    </w:rPr>
                    <w:t>/</w:t>
                  </w:r>
                </w:p>
              </w:tc>
              <w:tc>
                <w:tcPr>
                  <w:tcW w:w="879" w:type="dxa"/>
                  <w:vAlign w:val="center"/>
                </w:tcPr>
                <w:p w14:paraId="3832AB96">
                  <w:pPr>
                    <w:jc w:val="center"/>
                    <w:rPr>
                      <w:rFonts w:ascii="Times New Roman" w:hAnsi="Times New Roman" w:cs="Times New Roman"/>
                      <w:color w:val="auto"/>
                      <w:szCs w:val="21"/>
                    </w:rPr>
                  </w:pPr>
                  <w:r>
                    <w:rPr>
                      <w:rFonts w:ascii="Times New Roman" w:hAnsi="Times New Roman" w:cs="Times New Roman"/>
                      <w:color w:val="auto"/>
                      <w:szCs w:val="21"/>
                    </w:rPr>
                    <w:t>/</w:t>
                  </w:r>
                </w:p>
              </w:tc>
            </w:tr>
            <w:tr w14:paraId="1DF3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Align w:val="center"/>
                </w:tcPr>
                <w:p w14:paraId="6B97B207">
                  <w:pPr>
                    <w:jc w:val="center"/>
                    <w:rPr>
                      <w:rFonts w:ascii="Times New Roman" w:hAnsi="Times New Roman" w:eastAsia="Calibri" w:cs="Times New Roman"/>
                      <w:color w:val="auto"/>
                      <w:szCs w:val="21"/>
                    </w:rPr>
                  </w:pPr>
                  <w:r>
                    <w:rPr>
                      <w:rFonts w:ascii="Times New Roman" w:hAnsi="Times New Roman" w:cs="Times New Roman"/>
                      <w:color w:val="auto"/>
                      <w:szCs w:val="21"/>
                    </w:rPr>
                    <w:t>3</w:t>
                  </w:r>
                </w:p>
              </w:tc>
              <w:tc>
                <w:tcPr>
                  <w:tcW w:w="612" w:type="dxa"/>
                  <w:vAlign w:val="center"/>
                </w:tcPr>
                <w:p w14:paraId="108E96D6">
                  <w:pPr>
                    <w:jc w:val="center"/>
                    <w:rPr>
                      <w:rFonts w:ascii="Times New Roman" w:hAnsi="Times New Roman" w:cs="Times New Roman"/>
                      <w:color w:val="auto"/>
                      <w:szCs w:val="21"/>
                    </w:rPr>
                  </w:pPr>
                  <w:r>
                    <w:rPr>
                      <w:rFonts w:ascii="Times New Roman" w:hAnsi="Times New Roman" w:cs="Times New Roman"/>
                      <w:color w:val="auto"/>
                      <w:szCs w:val="21"/>
                    </w:rPr>
                    <w:t>地下水</w:t>
                  </w:r>
                  <w:r>
                    <w:rPr>
                      <w:rFonts w:hint="eastAsia" w:ascii="Times New Roman" w:hAnsi="Times New Roman" w:cs="Times New Roman"/>
                      <w:color w:val="auto"/>
                      <w:szCs w:val="21"/>
                    </w:rPr>
                    <w:t>环境</w:t>
                  </w:r>
                </w:p>
              </w:tc>
              <w:tc>
                <w:tcPr>
                  <w:tcW w:w="4463" w:type="dxa"/>
                  <w:gridSpan w:val="5"/>
                  <w:vAlign w:val="center"/>
                </w:tcPr>
                <w:p w14:paraId="4E161E87">
                  <w:pPr>
                    <w:jc w:val="center"/>
                    <w:rPr>
                      <w:rFonts w:ascii="Times New Roman" w:hAnsi="Times New Roman" w:cs="Times New Roman"/>
                      <w:color w:val="auto"/>
                      <w:szCs w:val="21"/>
                    </w:rPr>
                  </w:pPr>
                  <w:r>
                    <w:rPr>
                      <w:rFonts w:hint="eastAsia" w:ascii="Times New Roman" w:hAnsi="Times New Roman" w:eastAsia="宋体" w:cs="Times New Roman"/>
                      <w:color w:val="auto"/>
                      <w:szCs w:val="21"/>
                    </w:rPr>
                    <w:t>厂界外500米范围内无地下水环境保护目标</w:t>
                  </w:r>
                </w:p>
              </w:tc>
              <w:tc>
                <w:tcPr>
                  <w:tcW w:w="1227" w:type="dxa"/>
                  <w:vAlign w:val="center"/>
                </w:tcPr>
                <w:p w14:paraId="7CD4CF29">
                  <w:pPr>
                    <w:jc w:val="center"/>
                    <w:rPr>
                      <w:rFonts w:ascii="Times New Roman" w:hAnsi="Times New Roman" w:cs="Times New Roman"/>
                      <w:color w:val="auto"/>
                      <w:szCs w:val="21"/>
                    </w:rPr>
                  </w:pPr>
                  <w:r>
                    <w:rPr>
                      <w:rFonts w:ascii="Times New Roman" w:hAnsi="Times New Roman" w:cs="Times New Roman"/>
                      <w:color w:val="auto"/>
                      <w:szCs w:val="21"/>
                    </w:rPr>
                    <w:t>Ⅲ类</w:t>
                  </w:r>
                </w:p>
              </w:tc>
              <w:tc>
                <w:tcPr>
                  <w:tcW w:w="877" w:type="dxa"/>
                  <w:vAlign w:val="center"/>
                </w:tcPr>
                <w:p w14:paraId="3DC43B7C">
                  <w:pPr>
                    <w:jc w:val="center"/>
                    <w:rPr>
                      <w:rFonts w:ascii="Times New Roman" w:hAnsi="Times New Roman" w:cs="Times New Roman"/>
                      <w:color w:val="auto"/>
                      <w:szCs w:val="21"/>
                    </w:rPr>
                  </w:pPr>
                  <w:r>
                    <w:rPr>
                      <w:rFonts w:ascii="Times New Roman" w:hAnsi="Times New Roman" w:cs="Times New Roman"/>
                      <w:color w:val="auto"/>
                      <w:szCs w:val="21"/>
                    </w:rPr>
                    <w:t>/</w:t>
                  </w:r>
                </w:p>
              </w:tc>
              <w:tc>
                <w:tcPr>
                  <w:tcW w:w="879" w:type="dxa"/>
                  <w:vAlign w:val="center"/>
                </w:tcPr>
                <w:p w14:paraId="6C15536A">
                  <w:pPr>
                    <w:jc w:val="center"/>
                    <w:rPr>
                      <w:rFonts w:ascii="Times New Roman" w:hAnsi="Times New Roman" w:cs="Times New Roman"/>
                      <w:color w:val="auto"/>
                      <w:szCs w:val="21"/>
                    </w:rPr>
                  </w:pPr>
                  <w:r>
                    <w:rPr>
                      <w:rFonts w:ascii="Times New Roman" w:hAnsi="Times New Roman" w:cs="Times New Roman"/>
                      <w:color w:val="auto"/>
                      <w:szCs w:val="21"/>
                    </w:rPr>
                    <w:t>/</w:t>
                  </w:r>
                </w:p>
              </w:tc>
            </w:tr>
            <w:tr w14:paraId="172F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vAlign w:val="center"/>
                </w:tcPr>
                <w:p w14:paraId="19407A18">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612" w:type="dxa"/>
                  <w:vAlign w:val="center"/>
                </w:tcPr>
                <w:p w14:paraId="5E667D4C">
                  <w:pPr>
                    <w:jc w:val="center"/>
                    <w:rPr>
                      <w:rFonts w:ascii="Times New Roman" w:hAnsi="Times New Roman" w:cs="Times New Roman"/>
                      <w:color w:val="auto"/>
                      <w:szCs w:val="21"/>
                    </w:rPr>
                  </w:pPr>
                  <w:r>
                    <w:rPr>
                      <w:rFonts w:ascii="Times New Roman" w:hAnsi="Times New Roman" w:cs="Times New Roman"/>
                      <w:color w:val="auto"/>
                      <w:szCs w:val="21"/>
                    </w:rPr>
                    <w:t>生态</w:t>
                  </w:r>
                  <w:r>
                    <w:rPr>
                      <w:rFonts w:hint="eastAsia" w:ascii="Times New Roman" w:hAnsi="Times New Roman" w:cs="Times New Roman"/>
                      <w:color w:val="auto"/>
                      <w:szCs w:val="21"/>
                    </w:rPr>
                    <w:t>环境</w:t>
                  </w:r>
                </w:p>
              </w:tc>
              <w:tc>
                <w:tcPr>
                  <w:tcW w:w="6567" w:type="dxa"/>
                  <w:gridSpan w:val="7"/>
                  <w:vAlign w:val="center"/>
                </w:tcPr>
                <w:p w14:paraId="3A09EE77">
                  <w:pPr>
                    <w:jc w:val="center"/>
                    <w:rPr>
                      <w:rFonts w:ascii="Times New Roman" w:hAnsi="Times New Roman" w:cs="Times New Roman"/>
                      <w:color w:val="auto"/>
                      <w:szCs w:val="21"/>
                    </w:rPr>
                  </w:pPr>
                  <w:r>
                    <w:rPr>
                      <w:rFonts w:ascii="Times New Roman" w:hAnsi="Times New Roman" w:cs="Times New Roman"/>
                      <w:color w:val="auto"/>
                      <w:szCs w:val="21"/>
                    </w:rPr>
                    <w:t>不属于产业园区外新增用地项目，无生态环境保护目标</w:t>
                  </w:r>
                </w:p>
              </w:tc>
              <w:tc>
                <w:tcPr>
                  <w:tcW w:w="879" w:type="dxa"/>
                  <w:vAlign w:val="center"/>
                </w:tcPr>
                <w:p w14:paraId="15F28417">
                  <w:pPr>
                    <w:jc w:val="center"/>
                    <w:rPr>
                      <w:rFonts w:ascii="Times New Roman" w:hAnsi="Times New Roman" w:cs="Times New Roman"/>
                      <w:color w:val="auto"/>
                      <w:szCs w:val="21"/>
                    </w:rPr>
                  </w:pPr>
                  <w:r>
                    <w:rPr>
                      <w:rFonts w:ascii="Times New Roman" w:hAnsi="Times New Roman" w:cs="Times New Roman"/>
                      <w:color w:val="auto"/>
                      <w:szCs w:val="21"/>
                    </w:rPr>
                    <w:t>/</w:t>
                  </w:r>
                </w:p>
              </w:tc>
            </w:tr>
          </w:tbl>
          <w:p w14:paraId="7F74147D">
            <w:pPr>
              <w:pStyle w:val="35"/>
              <w:jc w:val="both"/>
              <w:rPr>
                <w:color w:val="FF0000"/>
              </w:rPr>
            </w:pPr>
          </w:p>
          <w:p w14:paraId="23056011">
            <w:pPr>
              <w:rPr>
                <w:color w:val="FF0000"/>
              </w:rPr>
            </w:pPr>
          </w:p>
          <w:p w14:paraId="423CD606">
            <w:pPr>
              <w:pStyle w:val="3"/>
              <w:rPr>
                <w:color w:val="FF0000"/>
              </w:rPr>
            </w:pPr>
          </w:p>
          <w:p w14:paraId="2F14F18E">
            <w:pPr>
              <w:rPr>
                <w:color w:val="FF0000"/>
              </w:rPr>
            </w:pPr>
          </w:p>
          <w:p w14:paraId="5851ADD6">
            <w:pPr>
              <w:pStyle w:val="22"/>
              <w:rPr>
                <w:color w:val="FF0000"/>
              </w:rPr>
            </w:pPr>
          </w:p>
          <w:p w14:paraId="72300CDB">
            <w:pPr>
              <w:rPr>
                <w:color w:val="FF0000"/>
              </w:rPr>
            </w:pPr>
          </w:p>
          <w:p w14:paraId="603D4098">
            <w:pPr>
              <w:pStyle w:val="7"/>
              <w:rPr>
                <w:color w:val="FF0000"/>
              </w:rPr>
            </w:pPr>
          </w:p>
          <w:p w14:paraId="543BC880">
            <w:pPr>
              <w:rPr>
                <w:color w:val="FF0000"/>
              </w:rPr>
            </w:pPr>
          </w:p>
          <w:p w14:paraId="2A5C5D07">
            <w:pPr>
              <w:pStyle w:val="7"/>
              <w:rPr>
                <w:color w:val="FF0000"/>
              </w:rPr>
            </w:pPr>
          </w:p>
          <w:p w14:paraId="261C60A7">
            <w:pPr>
              <w:rPr>
                <w:color w:val="FF0000"/>
              </w:rPr>
            </w:pPr>
          </w:p>
          <w:p w14:paraId="792A9C7D">
            <w:pPr>
              <w:pStyle w:val="7"/>
            </w:pPr>
          </w:p>
        </w:tc>
      </w:tr>
      <w:tr w14:paraId="6AD7BF11">
        <w:tblPrEx>
          <w:tblCellMar>
            <w:top w:w="0" w:type="dxa"/>
            <w:left w:w="0" w:type="dxa"/>
            <w:bottom w:w="0" w:type="dxa"/>
            <w:right w:w="0" w:type="dxa"/>
          </w:tblCellMar>
        </w:tblPrEx>
        <w:trPr>
          <w:trHeight w:val="12272" w:hRule="atLeast"/>
          <w:jc w:val="center"/>
        </w:trPr>
        <w:tc>
          <w:tcPr>
            <w:tcW w:w="907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A6BBC0B">
            <w:pPr>
              <w:spacing w:line="360" w:lineRule="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3.3 污染物排放标准</w:t>
            </w:r>
          </w:p>
          <w:p w14:paraId="761C62F4">
            <w:pPr>
              <w:spacing w:line="360" w:lineRule="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 xml:space="preserve">3.3.1 </w:t>
            </w:r>
            <w:r>
              <w:rPr>
                <w:rFonts w:ascii="Times New Roman" w:hAnsi="Times New Roman" w:cs="Times New Roman"/>
                <w:b/>
                <w:bCs/>
                <w:color w:val="auto"/>
                <w:sz w:val="24"/>
                <w:szCs w:val="24"/>
              </w:rPr>
              <w:t>废气</w:t>
            </w:r>
          </w:p>
          <w:p w14:paraId="286B234E">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color w:val="FF0000"/>
                <w:sz w:val="24"/>
                <w:szCs w:val="24"/>
                <w:lang w:val="en-US" w:eastAsia="zh-CN"/>
              </w:rPr>
            </w:pPr>
            <w:r>
              <w:rPr>
                <w:rFonts w:hint="eastAsia" w:ascii="Times New Roman" w:hAnsi="Times New Roman"/>
                <w:color w:val="auto"/>
                <w:sz w:val="24"/>
                <w:szCs w:val="24"/>
                <w:lang w:val="en-US" w:eastAsia="zh-CN"/>
              </w:rPr>
              <w:t>（1）</w:t>
            </w:r>
            <w:r>
              <w:rPr>
                <w:rFonts w:hint="eastAsia" w:ascii="Times New Roman" w:hAnsi="Times New Roman" w:cs="Times New Roman"/>
                <w:b w:val="0"/>
                <w:bCs w:val="0"/>
                <w:color w:val="auto"/>
                <w:sz w:val="24"/>
                <w:szCs w:val="24"/>
                <w:lang w:val="en-US" w:eastAsia="zh-CN"/>
              </w:rPr>
              <w:t>焊锡</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废气、清洗废气</w:t>
            </w:r>
          </w:p>
          <w:p w14:paraId="4CFA7761">
            <w:pPr>
              <w:spacing w:line="500" w:lineRule="exact"/>
              <w:ind w:firstLine="480" w:firstLineChars="200"/>
              <w:rPr>
                <w:rFonts w:hint="default" w:ascii="Times New Roman" w:hAnsi="Times New Roman" w:cs="Times New Roman" w:eastAsiaTheme="minorEastAsia"/>
                <w:b/>
                <w:bCs/>
                <w:color w:val="FF0000"/>
                <w:sz w:val="24"/>
                <w:szCs w:val="24"/>
                <w:lang w:val="en-US" w:eastAsia="zh-CN"/>
              </w:rPr>
            </w:pPr>
            <w:r>
              <w:rPr>
                <w:rFonts w:hint="default" w:ascii="Times New Roman" w:hAnsi="Times New Roman" w:cs="Times New Roman"/>
                <w:color w:val="auto"/>
                <w:sz w:val="24"/>
                <w:szCs w:val="24"/>
                <w:lang w:val="en-US" w:eastAsia="zh-CN"/>
              </w:rPr>
              <w:t>本项目</w:t>
            </w:r>
            <w:r>
              <w:rPr>
                <w:rFonts w:hint="eastAsia" w:ascii="Times New Roman" w:hAnsi="Times New Roman" w:cs="Times New Roman"/>
                <w:b w:val="0"/>
                <w:bCs w:val="0"/>
                <w:color w:val="auto"/>
                <w:sz w:val="24"/>
                <w:szCs w:val="24"/>
                <w:lang w:val="en-US" w:eastAsia="zh-CN"/>
              </w:rPr>
              <w:t>焊锡</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废气、</w:t>
            </w:r>
            <w:r>
              <w:rPr>
                <w:rFonts w:hint="eastAsia" w:ascii="Times New Roman" w:hAnsi="Times New Roman" w:cs="Times New Roman"/>
                <w:b w:val="0"/>
                <w:bCs w:val="0"/>
                <w:color w:val="auto"/>
                <w:sz w:val="24"/>
                <w:szCs w:val="24"/>
                <w:lang w:val="en-US" w:eastAsia="zh-CN"/>
              </w:rPr>
              <w:t>清洗废气</w:t>
            </w:r>
            <w:r>
              <w:rPr>
                <w:rFonts w:hint="eastAsia" w:ascii="Times New Roman" w:hAnsi="Times New Roman"/>
                <w:color w:val="auto"/>
                <w:sz w:val="24"/>
                <w:szCs w:val="24"/>
                <w:lang w:val="en-US" w:eastAsia="zh-CN"/>
              </w:rPr>
              <w:t>中的</w:t>
            </w:r>
            <w:r>
              <w:rPr>
                <w:rFonts w:hint="default" w:ascii="Times New Roman" w:hAnsi="Times New Roman" w:cs="Times New Roman"/>
                <w:color w:val="auto"/>
                <w:sz w:val="24"/>
                <w:szCs w:val="24"/>
                <w:lang w:val="en-US" w:eastAsia="zh-CN"/>
              </w:rPr>
              <w:t>污染因子为</w:t>
            </w:r>
            <w:r>
              <w:rPr>
                <w:rFonts w:hint="eastAsia" w:ascii="Times New Roman" w:hAnsi="Times New Roman" w:cs="Times New Roman"/>
                <w:color w:val="auto"/>
                <w:sz w:val="24"/>
                <w:szCs w:val="24"/>
                <w:lang w:val="en-US" w:eastAsia="zh-CN"/>
              </w:rPr>
              <w:t>非甲烷总烃、颗粒物、锡及其化合物、臭气浓度</w:t>
            </w:r>
            <w:r>
              <w:rPr>
                <w:rFonts w:hint="default" w:ascii="Times New Roman" w:hAnsi="Times New Roman" w:cs="Times New Roman"/>
                <w:color w:val="auto"/>
                <w:sz w:val="24"/>
                <w:szCs w:val="24"/>
                <w:lang w:val="en-US" w:eastAsia="zh-CN"/>
              </w:rPr>
              <w:t>，其</w:t>
            </w:r>
            <w:r>
              <w:rPr>
                <w:rFonts w:hint="eastAsia" w:ascii="Times New Roman" w:hAnsi="Times New Roman" w:cs="Times New Roman"/>
                <w:color w:val="auto"/>
                <w:sz w:val="24"/>
                <w:szCs w:val="24"/>
                <w:lang w:val="en-US" w:eastAsia="zh-CN"/>
              </w:rPr>
              <w:t>中非甲烷总烃、颗粒物、锡及其化合物</w:t>
            </w:r>
            <w:r>
              <w:rPr>
                <w:rFonts w:hint="default" w:ascii="Times New Roman" w:hAnsi="Times New Roman" w:cs="Times New Roman"/>
                <w:color w:val="auto"/>
                <w:sz w:val="24"/>
                <w:szCs w:val="24"/>
                <w:lang w:val="en-US" w:eastAsia="zh-CN"/>
              </w:rPr>
              <w:t>有组织排放执行《</w:t>
            </w:r>
            <w:r>
              <w:rPr>
                <w:rFonts w:hint="eastAsia" w:ascii="Times New Roman" w:hAnsi="Times New Roman" w:cs="Times New Roman"/>
                <w:color w:val="auto"/>
                <w:sz w:val="24"/>
                <w:szCs w:val="24"/>
                <w:lang w:val="en-US" w:eastAsia="zh-CN"/>
              </w:rPr>
              <w:t>大气污染物综合排放标准</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G</w:t>
            </w:r>
            <w:r>
              <w:rPr>
                <w:rFonts w:hint="default" w:ascii="Times New Roman" w:hAnsi="Times New Roman" w:cs="Times New Roman"/>
                <w:color w:val="auto"/>
                <w:sz w:val="24"/>
                <w:szCs w:val="24"/>
                <w:lang w:val="en-US" w:eastAsia="zh-CN"/>
              </w:rPr>
              <w:t>B</w:t>
            </w:r>
            <w:r>
              <w:rPr>
                <w:rFonts w:hint="eastAsia" w:ascii="Times New Roman" w:hAnsi="Times New Roman" w:cs="Times New Roman"/>
                <w:color w:val="auto"/>
                <w:sz w:val="24"/>
                <w:szCs w:val="24"/>
                <w:lang w:val="en-US" w:eastAsia="zh-CN"/>
              </w:rPr>
              <w:t>16297-1996</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中的“新污染源、二级标准”，无组织排放执行《大气污染物综合排放标准》（GB16297-1996）表2无组织排放监控浓度限值。臭气浓度有组织排放执行《恶臭污染物排放标准》（GB14554-93）表2标准值，厂界无组织排放执行《恶臭污染物排放标准》（GB14554-93）表 1“二级、新扩改建”标准值，</w:t>
            </w:r>
            <w:r>
              <w:rPr>
                <w:rFonts w:hint="default" w:ascii="Times New Roman" w:hAnsi="Times New Roman" w:cs="Times New Roman"/>
                <w:color w:val="auto"/>
                <w:sz w:val="24"/>
                <w:szCs w:val="24"/>
                <w:lang w:val="en-US" w:eastAsia="zh-CN"/>
              </w:rPr>
              <w:t>具体见表3-</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val="en-US" w:eastAsia="zh-CN"/>
              </w:rPr>
              <w:t>。</w:t>
            </w:r>
          </w:p>
          <w:p w14:paraId="7BA0AEA9">
            <w:pPr>
              <w:spacing w:line="460" w:lineRule="exact"/>
              <w:jc w:val="center"/>
              <w:rPr>
                <w:rFonts w:hint="default" w:ascii="Times New Roman" w:hAnsi="Times New Roman" w:eastAsiaTheme="minorEastAsia"/>
                <w:b/>
                <w:color w:val="auto"/>
                <w:szCs w:val="21"/>
                <w:lang w:val="en-US" w:eastAsia="zh-CN"/>
              </w:rPr>
            </w:pPr>
            <w:r>
              <w:rPr>
                <w:rFonts w:ascii="Times New Roman" w:hAnsi="Times New Roman"/>
                <w:b/>
                <w:color w:val="auto"/>
                <w:szCs w:val="21"/>
              </w:rPr>
              <w:t>表</w:t>
            </w:r>
            <w:r>
              <w:rPr>
                <w:rFonts w:hint="eastAsia" w:ascii="Times New Roman" w:hAnsi="Times New Roman"/>
                <w:b/>
                <w:color w:val="auto"/>
                <w:szCs w:val="21"/>
                <w:lang w:val="en-US" w:eastAsia="zh-CN"/>
              </w:rPr>
              <w:t>3-5</w:t>
            </w:r>
            <w:r>
              <w:rPr>
                <w:rFonts w:ascii="Times New Roman" w:hAnsi="Times New Roman"/>
                <w:b/>
                <w:color w:val="auto"/>
                <w:szCs w:val="21"/>
              </w:rPr>
              <w:t xml:space="preserve">  </w:t>
            </w:r>
            <w:r>
              <w:rPr>
                <w:rFonts w:hint="eastAsia" w:ascii="Times New Roman" w:hAnsi="Times New Roman"/>
                <w:b/>
                <w:color w:val="auto"/>
                <w:szCs w:val="21"/>
                <w:lang w:val="en-US" w:eastAsia="zh-CN"/>
              </w:rPr>
              <w:t>废气排放标准</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590"/>
              <w:gridCol w:w="1300"/>
              <w:gridCol w:w="1510"/>
              <w:gridCol w:w="1190"/>
              <w:gridCol w:w="1377"/>
            </w:tblGrid>
            <w:tr w14:paraId="53D8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7" w:type="dxa"/>
                  <w:vMerge w:val="restart"/>
                  <w:noWrap w:val="0"/>
                  <w:vAlign w:val="center"/>
                </w:tcPr>
                <w:p w14:paraId="374A7AE0">
                  <w:pPr>
                    <w:pStyle w:val="45"/>
                    <w:keepNext w:val="0"/>
                    <w:keepLines w:val="0"/>
                    <w:pageBreakBefore w:val="0"/>
                    <w:widowControl w:val="0"/>
                    <w:kinsoku/>
                    <w:wordWrap/>
                    <w:overflowPunct/>
                    <w:topLinePunct w:val="0"/>
                    <w:autoSpaceDE/>
                    <w:autoSpaceDN/>
                    <w:bidi w:val="0"/>
                    <w:adjustRightInd/>
                    <w:snapToGrid/>
                    <w:textAlignment w:val="auto"/>
                    <w:rPr>
                      <w:rFonts w:ascii="Times New Roman" w:hAnsi="Times New Roman"/>
                      <w:b/>
                      <w:bCs/>
                      <w:color w:val="FF0000"/>
                      <w:spacing w:val="0"/>
                      <w:sz w:val="21"/>
                      <w:szCs w:val="21"/>
                    </w:rPr>
                  </w:pPr>
                  <w:r>
                    <w:rPr>
                      <w:rFonts w:ascii="Times New Roman" w:hAnsi="Times New Roman"/>
                      <w:b/>
                      <w:bCs/>
                      <w:color w:val="auto"/>
                      <w:spacing w:val="0"/>
                      <w:sz w:val="21"/>
                      <w:szCs w:val="21"/>
                    </w:rPr>
                    <w:t>污染物</w:t>
                  </w:r>
                </w:p>
              </w:tc>
              <w:tc>
                <w:tcPr>
                  <w:tcW w:w="1590" w:type="dxa"/>
                  <w:vMerge w:val="restart"/>
                  <w:noWrap w:val="0"/>
                  <w:vAlign w:val="center"/>
                </w:tcPr>
                <w:p w14:paraId="44216F15">
                  <w:pPr>
                    <w:pStyle w:val="4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b/>
                      <w:bCs/>
                      <w:color w:val="FF0000"/>
                      <w:spacing w:val="0"/>
                      <w:sz w:val="21"/>
                      <w:szCs w:val="21"/>
                      <w:lang w:val="en-US" w:eastAsia="zh-CN"/>
                    </w:rPr>
                  </w:pPr>
                  <w:r>
                    <w:rPr>
                      <w:rFonts w:hint="eastAsia" w:ascii="Times New Roman" w:hAnsi="Times New Roman"/>
                      <w:b/>
                      <w:bCs/>
                      <w:color w:val="auto"/>
                      <w:spacing w:val="0"/>
                      <w:sz w:val="21"/>
                      <w:szCs w:val="21"/>
                      <w:lang w:val="en-US" w:eastAsia="zh-CN"/>
                    </w:rPr>
                    <w:t>最高允许排放浓度（mg/m</w:t>
                  </w:r>
                  <w:r>
                    <w:rPr>
                      <w:rFonts w:hint="eastAsia" w:ascii="Times New Roman" w:hAnsi="Times New Roman"/>
                      <w:b/>
                      <w:bCs/>
                      <w:color w:val="auto"/>
                      <w:spacing w:val="0"/>
                      <w:sz w:val="21"/>
                      <w:szCs w:val="21"/>
                      <w:vertAlign w:val="superscript"/>
                      <w:lang w:val="en-US" w:eastAsia="zh-CN"/>
                    </w:rPr>
                    <w:t>3</w:t>
                  </w:r>
                  <w:r>
                    <w:rPr>
                      <w:rFonts w:hint="eastAsia" w:ascii="Times New Roman" w:hAnsi="Times New Roman"/>
                      <w:b/>
                      <w:bCs/>
                      <w:color w:val="auto"/>
                      <w:spacing w:val="0"/>
                      <w:sz w:val="21"/>
                      <w:szCs w:val="21"/>
                      <w:lang w:val="en-US" w:eastAsia="zh-CN"/>
                    </w:rPr>
                    <w:t>）</w:t>
                  </w:r>
                </w:p>
              </w:tc>
              <w:tc>
                <w:tcPr>
                  <w:tcW w:w="2810" w:type="dxa"/>
                  <w:gridSpan w:val="2"/>
                  <w:noWrap w:val="0"/>
                  <w:vAlign w:val="center"/>
                </w:tcPr>
                <w:p w14:paraId="5738FCAE">
                  <w:pPr>
                    <w:pStyle w:val="4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heme="minorEastAsia"/>
                      <w:b/>
                      <w:bCs/>
                      <w:color w:val="auto"/>
                      <w:spacing w:val="0"/>
                      <w:sz w:val="21"/>
                      <w:szCs w:val="21"/>
                      <w:lang w:val="en-US" w:eastAsia="zh-CN"/>
                    </w:rPr>
                  </w:pPr>
                  <w:r>
                    <w:rPr>
                      <w:rFonts w:hint="eastAsia" w:ascii="Times New Roman" w:hAnsi="Times New Roman"/>
                      <w:b/>
                      <w:bCs/>
                      <w:color w:val="auto"/>
                      <w:spacing w:val="0"/>
                      <w:sz w:val="21"/>
                      <w:szCs w:val="21"/>
                      <w:lang w:val="en-US" w:eastAsia="zh-CN"/>
                    </w:rPr>
                    <w:t>最高允许排放速率</w:t>
                  </w:r>
                </w:p>
              </w:tc>
              <w:tc>
                <w:tcPr>
                  <w:tcW w:w="2567" w:type="dxa"/>
                  <w:gridSpan w:val="2"/>
                  <w:noWrap w:val="0"/>
                  <w:vAlign w:val="center"/>
                </w:tcPr>
                <w:p w14:paraId="71CD2FC0">
                  <w:pPr>
                    <w:pStyle w:val="4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heme="minorEastAsia"/>
                      <w:b/>
                      <w:bCs/>
                      <w:color w:val="auto"/>
                      <w:spacing w:val="0"/>
                      <w:sz w:val="21"/>
                      <w:szCs w:val="21"/>
                      <w:lang w:val="en-US" w:eastAsia="zh-CN"/>
                    </w:rPr>
                  </w:pPr>
                  <w:r>
                    <w:rPr>
                      <w:rFonts w:hint="eastAsia" w:ascii="Times New Roman" w:hAnsi="Times New Roman"/>
                      <w:b/>
                      <w:bCs/>
                      <w:color w:val="auto"/>
                      <w:spacing w:val="0"/>
                      <w:sz w:val="21"/>
                      <w:szCs w:val="21"/>
                      <w:lang w:val="en-US" w:eastAsia="zh-CN"/>
                    </w:rPr>
                    <w:t>无组织排放监控浓度限值</w:t>
                  </w:r>
                </w:p>
              </w:tc>
            </w:tr>
            <w:tr w14:paraId="11E3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7" w:type="dxa"/>
                  <w:vMerge w:val="continue"/>
                  <w:noWrap w:val="0"/>
                  <w:vAlign w:val="center"/>
                </w:tcPr>
                <w:p w14:paraId="6CE7590D">
                  <w:pPr>
                    <w:pStyle w:val="45"/>
                    <w:keepNext w:val="0"/>
                    <w:keepLines w:val="0"/>
                    <w:pageBreakBefore w:val="0"/>
                    <w:widowControl w:val="0"/>
                    <w:kinsoku/>
                    <w:wordWrap/>
                    <w:overflowPunct/>
                    <w:topLinePunct w:val="0"/>
                    <w:autoSpaceDE/>
                    <w:autoSpaceDN/>
                    <w:bidi w:val="0"/>
                    <w:adjustRightInd/>
                    <w:snapToGrid/>
                    <w:textAlignment w:val="auto"/>
                    <w:rPr>
                      <w:rFonts w:ascii="Times New Roman" w:hAnsi="Times New Roman"/>
                      <w:b/>
                      <w:bCs/>
                      <w:color w:val="FF0000"/>
                      <w:spacing w:val="0"/>
                      <w:sz w:val="21"/>
                      <w:szCs w:val="21"/>
                    </w:rPr>
                  </w:pPr>
                </w:p>
              </w:tc>
              <w:tc>
                <w:tcPr>
                  <w:tcW w:w="1590" w:type="dxa"/>
                  <w:vMerge w:val="continue"/>
                  <w:noWrap w:val="0"/>
                  <w:vAlign w:val="center"/>
                </w:tcPr>
                <w:p w14:paraId="4CEC9A7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b w:val="0"/>
                      <w:bCs w:val="0"/>
                      <w:color w:val="FF0000"/>
                      <w:sz w:val="21"/>
                      <w:szCs w:val="21"/>
                      <w:lang w:val="en-US" w:eastAsia="zh-CN"/>
                    </w:rPr>
                  </w:pPr>
                </w:p>
              </w:tc>
              <w:tc>
                <w:tcPr>
                  <w:tcW w:w="1300" w:type="dxa"/>
                  <w:noWrap w:val="0"/>
                  <w:vAlign w:val="center"/>
                </w:tcPr>
                <w:p w14:paraId="39C28F7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排气筒高度</w:t>
                  </w:r>
                </w:p>
                <w:p w14:paraId="2401EA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b w:val="0"/>
                      <w:bCs w:val="0"/>
                      <w:color w:val="auto"/>
                      <w:sz w:val="21"/>
                      <w:szCs w:val="21"/>
                      <w:lang w:val="en-US" w:eastAsia="zh-CN"/>
                    </w:rPr>
                  </w:pPr>
                  <w:r>
                    <w:rPr>
                      <w:rFonts w:hint="eastAsia" w:ascii="Times New Roman" w:hAnsi="Times New Roman"/>
                      <w:b w:val="0"/>
                      <w:bCs w:val="0"/>
                      <w:color w:val="auto"/>
                      <w:sz w:val="21"/>
                      <w:szCs w:val="21"/>
                      <w:lang w:val="en-US" w:eastAsia="zh-CN"/>
                    </w:rPr>
                    <w:t>（m）</w:t>
                  </w:r>
                </w:p>
              </w:tc>
              <w:tc>
                <w:tcPr>
                  <w:tcW w:w="1510" w:type="dxa"/>
                  <w:noWrap w:val="0"/>
                  <w:vAlign w:val="center"/>
                </w:tcPr>
                <w:p w14:paraId="60CA29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b w:val="0"/>
                      <w:bCs w:val="0"/>
                      <w:color w:val="auto"/>
                      <w:sz w:val="21"/>
                      <w:szCs w:val="21"/>
                      <w:lang w:val="en-US" w:eastAsia="zh-CN"/>
                    </w:rPr>
                  </w:pPr>
                  <w:r>
                    <w:rPr>
                      <w:rFonts w:hint="eastAsia" w:ascii="Times New Roman" w:hAnsi="Times New Roman"/>
                      <w:b w:val="0"/>
                      <w:bCs w:val="0"/>
                      <w:color w:val="auto"/>
                      <w:sz w:val="21"/>
                      <w:szCs w:val="21"/>
                      <w:lang w:val="en-US" w:eastAsia="zh-CN"/>
                    </w:rPr>
                    <w:t>二级标准（kg/h）</w:t>
                  </w:r>
                </w:p>
              </w:tc>
              <w:tc>
                <w:tcPr>
                  <w:tcW w:w="1190" w:type="dxa"/>
                  <w:noWrap w:val="0"/>
                  <w:vAlign w:val="center"/>
                </w:tcPr>
                <w:p w14:paraId="5950DF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b w:val="0"/>
                      <w:bCs w:val="0"/>
                      <w:color w:val="auto"/>
                      <w:sz w:val="21"/>
                      <w:szCs w:val="21"/>
                      <w:lang w:val="en-US" w:eastAsia="zh-CN"/>
                    </w:rPr>
                  </w:pPr>
                  <w:r>
                    <w:rPr>
                      <w:rFonts w:hint="eastAsia" w:ascii="Times New Roman" w:hAnsi="Times New Roman"/>
                      <w:b w:val="0"/>
                      <w:bCs w:val="0"/>
                      <w:color w:val="auto"/>
                      <w:sz w:val="21"/>
                      <w:szCs w:val="21"/>
                      <w:lang w:val="en-US" w:eastAsia="zh-CN"/>
                    </w:rPr>
                    <w:t>监控点</w:t>
                  </w:r>
                </w:p>
              </w:tc>
              <w:tc>
                <w:tcPr>
                  <w:tcW w:w="1377" w:type="dxa"/>
                  <w:noWrap w:val="0"/>
                  <w:vAlign w:val="center"/>
                </w:tcPr>
                <w:p w14:paraId="69A4D2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b w:val="0"/>
                      <w:bCs w:val="0"/>
                      <w:color w:val="auto"/>
                      <w:sz w:val="21"/>
                      <w:szCs w:val="21"/>
                      <w:lang w:val="en-US" w:eastAsia="zh-CN"/>
                    </w:rPr>
                  </w:pPr>
                  <w:r>
                    <w:rPr>
                      <w:rFonts w:hint="eastAsia" w:ascii="Times New Roman" w:hAnsi="Times New Roman"/>
                      <w:b w:val="0"/>
                      <w:bCs w:val="0"/>
                      <w:color w:val="auto"/>
                      <w:sz w:val="21"/>
                      <w:szCs w:val="21"/>
                      <w:lang w:val="en-US" w:eastAsia="zh-CN"/>
                    </w:rPr>
                    <w:t>浓度限值（mg/m</w:t>
                  </w:r>
                  <w:r>
                    <w:rPr>
                      <w:rFonts w:hint="eastAsia" w:ascii="Times New Roman" w:hAnsi="Times New Roman"/>
                      <w:b w:val="0"/>
                      <w:bCs w:val="0"/>
                      <w:color w:val="auto"/>
                      <w:sz w:val="21"/>
                      <w:szCs w:val="21"/>
                      <w:vertAlign w:val="superscript"/>
                      <w:lang w:val="en-US" w:eastAsia="zh-CN"/>
                    </w:rPr>
                    <w:t>3</w:t>
                  </w:r>
                  <w:r>
                    <w:rPr>
                      <w:rFonts w:hint="eastAsia" w:ascii="Times New Roman" w:hAnsi="Times New Roman"/>
                      <w:b w:val="0"/>
                      <w:bCs w:val="0"/>
                      <w:color w:val="auto"/>
                      <w:sz w:val="21"/>
                      <w:szCs w:val="21"/>
                      <w:lang w:val="en-US" w:eastAsia="zh-CN"/>
                    </w:rPr>
                    <w:t>）</w:t>
                  </w:r>
                </w:p>
              </w:tc>
            </w:tr>
            <w:tr w14:paraId="431E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7" w:type="dxa"/>
                  <w:noWrap w:val="0"/>
                  <w:vAlign w:val="center"/>
                </w:tcPr>
                <w:p w14:paraId="1E022AAA">
                  <w:pPr>
                    <w:pStyle w:val="4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heme="minorEastAsia"/>
                      <w:color w:val="auto"/>
                      <w:spacing w:val="0"/>
                      <w:sz w:val="21"/>
                      <w:szCs w:val="21"/>
                      <w:lang w:val="en-US" w:eastAsia="zh-CN"/>
                    </w:rPr>
                  </w:pPr>
                  <w:r>
                    <w:rPr>
                      <w:rFonts w:hint="eastAsia" w:ascii="Times New Roman" w:hAnsi="Times New Roman"/>
                      <w:color w:val="auto"/>
                      <w:spacing w:val="0"/>
                      <w:sz w:val="21"/>
                      <w:szCs w:val="21"/>
                      <w:lang w:val="en-US" w:eastAsia="zh-CN"/>
                    </w:rPr>
                    <w:t>非甲烷总烃</w:t>
                  </w:r>
                </w:p>
              </w:tc>
              <w:tc>
                <w:tcPr>
                  <w:tcW w:w="1590" w:type="dxa"/>
                  <w:noWrap w:val="0"/>
                  <w:vAlign w:val="center"/>
                </w:tcPr>
                <w:p w14:paraId="3A0831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120</w:t>
                  </w:r>
                </w:p>
              </w:tc>
              <w:tc>
                <w:tcPr>
                  <w:tcW w:w="1300" w:type="dxa"/>
                  <w:noWrap w:val="0"/>
                  <w:vAlign w:val="center"/>
                </w:tcPr>
                <w:p w14:paraId="089C6A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15</w:t>
                  </w:r>
                </w:p>
              </w:tc>
              <w:tc>
                <w:tcPr>
                  <w:tcW w:w="1510" w:type="dxa"/>
                  <w:noWrap w:val="0"/>
                  <w:vAlign w:val="center"/>
                </w:tcPr>
                <w:p w14:paraId="49400F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10</w:t>
                  </w:r>
                </w:p>
              </w:tc>
              <w:tc>
                <w:tcPr>
                  <w:tcW w:w="1190" w:type="dxa"/>
                  <w:vMerge w:val="restart"/>
                  <w:noWrap w:val="0"/>
                  <w:vAlign w:val="center"/>
                </w:tcPr>
                <w:p w14:paraId="5F7F3A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周界外浓度最高点</w:t>
                  </w:r>
                </w:p>
              </w:tc>
              <w:tc>
                <w:tcPr>
                  <w:tcW w:w="1377" w:type="dxa"/>
                  <w:noWrap w:val="0"/>
                  <w:vAlign w:val="center"/>
                </w:tcPr>
                <w:p w14:paraId="4C6E44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4.0</w:t>
                  </w:r>
                </w:p>
              </w:tc>
            </w:tr>
            <w:tr w14:paraId="1D93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7" w:type="dxa"/>
                  <w:noWrap w:val="0"/>
                  <w:vAlign w:val="center"/>
                </w:tcPr>
                <w:p w14:paraId="170DF1E7">
                  <w:pPr>
                    <w:pStyle w:val="4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olor w:val="auto"/>
                      <w:spacing w:val="0"/>
                      <w:sz w:val="21"/>
                      <w:szCs w:val="21"/>
                      <w:lang w:val="en-US" w:eastAsia="zh-CN"/>
                    </w:rPr>
                  </w:pPr>
                  <w:r>
                    <w:rPr>
                      <w:rFonts w:hint="eastAsia" w:ascii="Times New Roman" w:hAnsi="Times New Roman"/>
                      <w:color w:val="auto"/>
                      <w:spacing w:val="0"/>
                      <w:sz w:val="21"/>
                      <w:szCs w:val="21"/>
                      <w:lang w:val="en-US" w:eastAsia="zh-CN"/>
                    </w:rPr>
                    <w:t>臭气浓度</w:t>
                  </w:r>
                </w:p>
              </w:tc>
              <w:tc>
                <w:tcPr>
                  <w:tcW w:w="1590" w:type="dxa"/>
                  <w:noWrap w:val="0"/>
                  <w:vAlign w:val="center"/>
                </w:tcPr>
                <w:p w14:paraId="5512EE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2000（无量纲）</w:t>
                  </w:r>
                </w:p>
              </w:tc>
              <w:tc>
                <w:tcPr>
                  <w:tcW w:w="1300" w:type="dxa"/>
                  <w:noWrap w:val="0"/>
                  <w:vAlign w:val="center"/>
                </w:tcPr>
                <w:p w14:paraId="7D30BB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15</w:t>
                  </w:r>
                </w:p>
              </w:tc>
              <w:tc>
                <w:tcPr>
                  <w:tcW w:w="1510" w:type="dxa"/>
                  <w:noWrap w:val="0"/>
                  <w:vAlign w:val="center"/>
                </w:tcPr>
                <w:p w14:paraId="0C9996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w:t>
                  </w:r>
                </w:p>
              </w:tc>
              <w:tc>
                <w:tcPr>
                  <w:tcW w:w="1190" w:type="dxa"/>
                  <w:vMerge w:val="continue"/>
                  <w:noWrap w:val="0"/>
                  <w:vAlign w:val="center"/>
                </w:tcPr>
                <w:p w14:paraId="42BEA5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FF0000"/>
                      <w:sz w:val="21"/>
                      <w:szCs w:val="21"/>
                      <w:lang w:val="en-US" w:eastAsia="zh-CN"/>
                    </w:rPr>
                  </w:pPr>
                </w:p>
              </w:tc>
              <w:tc>
                <w:tcPr>
                  <w:tcW w:w="1377" w:type="dxa"/>
                  <w:noWrap w:val="0"/>
                  <w:vAlign w:val="center"/>
                </w:tcPr>
                <w:p w14:paraId="7441A1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20（无量纲）</w:t>
                  </w:r>
                </w:p>
              </w:tc>
            </w:tr>
            <w:tr w14:paraId="23AF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7" w:type="dxa"/>
                  <w:noWrap w:val="0"/>
                  <w:vAlign w:val="center"/>
                </w:tcPr>
                <w:p w14:paraId="185DE98D">
                  <w:pPr>
                    <w:pStyle w:val="4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olor w:val="auto"/>
                      <w:spacing w:val="0"/>
                      <w:sz w:val="21"/>
                      <w:szCs w:val="21"/>
                      <w:lang w:val="en-US" w:eastAsia="zh-CN"/>
                    </w:rPr>
                  </w:pPr>
                  <w:r>
                    <w:rPr>
                      <w:rFonts w:hint="eastAsia" w:ascii="Times New Roman" w:hAnsi="Times New Roman"/>
                      <w:color w:val="auto"/>
                      <w:spacing w:val="0"/>
                      <w:sz w:val="21"/>
                      <w:szCs w:val="21"/>
                      <w:lang w:val="en-US" w:eastAsia="zh-CN"/>
                    </w:rPr>
                    <w:t>颗粒物</w:t>
                  </w:r>
                </w:p>
              </w:tc>
              <w:tc>
                <w:tcPr>
                  <w:tcW w:w="1590" w:type="dxa"/>
                  <w:noWrap w:val="0"/>
                  <w:vAlign w:val="center"/>
                </w:tcPr>
                <w:p w14:paraId="637123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120</w:t>
                  </w:r>
                </w:p>
              </w:tc>
              <w:tc>
                <w:tcPr>
                  <w:tcW w:w="1300" w:type="dxa"/>
                  <w:noWrap w:val="0"/>
                  <w:vAlign w:val="center"/>
                </w:tcPr>
                <w:p w14:paraId="707A82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15</w:t>
                  </w:r>
                </w:p>
              </w:tc>
              <w:tc>
                <w:tcPr>
                  <w:tcW w:w="1510" w:type="dxa"/>
                  <w:noWrap w:val="0"/>
                  <w:vAlign w:val="center"/>
                </w:tcPr>
                <w:p w14:paraId="79ECCB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3.5</w:t>
                  </w:r>
                </w:p>
              </w:tc>
              <w:tc>
                <w:tcPr>
                  <w:tcW w:w="1190" w:type="dxa"/>
                  <w:vMerge w:val="continue"/>
                  <w:noWrap w:val="0"/>
                  <w:vAlign w:val="center"/>
                </w:tcPr>
                <w:p w14:paraId="36483C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FF0000"/>
                      <w:sz w:val="21"/>
                      <w:szCs w:val="21"/>
                      <w:lang w:val="en-US" w:eastAsia="zh-CN"/>
                    </w:rPr>
                  </w:pPr>
                </w:p>
              </w:tc>
              <w:tc>
                <w:tcPr>
                  <w:tcW w:w="1377" w:type="dxa"/>
                  <w:noWrap w:val="0"/>
                  <w:vAlign w:val="center"/>
                </w:tcPr>
                <w:p w14:paraId="5D74A3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1,0</w:t>
                  </w:r>
                </w:p>
              </w:tc>
            </w:tr>
            <w:tr w14:paraId="587B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7" w:type="dxa"/>
                  <w:noWrap w:val="0"/>
                  <w:vAlign w:val="center"/>
                </w:tcPr>
                <w:p w14:paraId="56AA8D7C">
                  <w:pPr>
                    <w:pStyle w:val="4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olor w:val="auto"/>
                      <w:spacing w:val="0"/>
                      <w:sz w:val="21"/>
                      <w:szCs w:val="21"/>
                      <w:lang w:val="en-US" w:eastAsia="zh-CN"/>
                    </w:rPr>
                  </w:pPr>
                  <w:r>
                    <w:rPr>
                      <w:rFonts w:hint="eastAsia" w:ascii="Times New Roman" w:hAnsi="Times New Roman"/>
                      <w:color w:val="auto"/>
                      <w:spacing w:val="0"/>
                      <w:sz w:val="21"/>
                      <w:szCs w:val="21"/>
                      <w:lang w:val="en-US" w:eastAsia="zh-CN"/>
                    </w:rPr>
                    <w:t>锡及其化合物</w:t>
                  </w:r>
                </w:p>
              </w:tc>
              <w:tc>
                <w:tcPr>
                  <w:tcW w:w="1590" w:type="dxa"/>
                  <w:noWrap w:val="0"/>
                  <w:vAlign w:val="center"/>
                </w:tcPr>
                <w:p w14:paraId="03C0F0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8.5</w:t>
                  </w:r>
                </w:p>
              </w:tc>
              <w:tc>
                <w:tcPr>
                  <w:tcW w:w="1300" w:type="dxa"/>
                  <w:noWrap w:val="0"/>
                  <w:vAlign w:val="center"/>
                </w:tcPr>
                <w:p w14:paraId="38B0E7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15</w:t>
                  </w:r>
                </w:p>
              </w:tc>
              <w:tc>
                <w:tcPr>
                  <w:tcW w:w="1510" w:type="dxa"/>
                  <w:noWrap w:val="0"/>
                  <w:vAlign w:val="center"/>
                </w:tcPr>
                <w:p w14:paraId="35DFCD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0.31</w:t>
                  </w:r>
                </w:p>
              </w:tc>
              <w:tc>
                <w:tcPr>
                  <w:tcW w:w="1190" w:type="dxa"/>
                  <w:vMerge w:val="continue"/>
                  <w:noWrap w:val="0"/>
                  <w:vAlign w:val="center"/>
                </w:tcPr>
                <w:p w14:paraId="302037B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FF0000"/>
                      <w:sz w:val="21"/>
                      <w:szCs w:val="21"/>
                      <w:lang w:val="en-US" w:eastAsia="zh-CN"/>
                    </w:rPr>
                  </w:pPr>
                </w:p>
              </w:tc>
              <w:tc>
                <w:tcPr>
                  <w:tcW w:w="1377" w:type="dxa"/>
                  <w:noWrap w:val="0"/>
                  <w:vAlign w:val="center"/>
                </w:tcPr>
                <w:p w14:paraId="153666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0.24</w:t>
                  </w:r>
                </w:p>
              </w:tc>
            </w:tr>
          </w:tbl>
          <w:p w14:paraId="67E84DF5">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塑封</w:t>
            </w:r>
            <w:r>
              <w:rPr>
                <w:rFonts w:hint="default" w:ascii="Times New Roman" w:hAnsi="Times New Roman" w:cs="Times New Roman"/>
                <w:color w:val="auto"/>
                <w:sz w:val="24"/>
                <w:szCs w:val="24"/>
                <w:lang w:val="en-US" w:eastAsia="zh-CN"/>
              </w:rPr>
              <w:t>废气</w:t>
            </w:r>
          </w:p>
          <w:p w14:paraId="518B6D3B">
            <w:pPr>
              <w:spacing w:line="500" w:lineRule="exact"/>
              <w:ind w:firstLine="480" w:firstLineChars="200"/>
              <w:rPr>
                <w:rFonts w:hint="default" w:ascii="Times New Roman" w:hAnsi="Times New Roman" w:cs="Times New Roman" w:eastAsiaTheme="minorEastAsia"/>
                <w:b/>
                <w:bCs/>
                <w:color w:val="FF0000"/>
                <w:sz w:val="24"/>
                <w:szCs w:val="24"/>
                <w:lang w:val="en-US" w:eastAsia="zh-CN"/>
              </w:rPr>
            </w:pPr>
            <w:r>
              <w:rPr>
                <w:rFonts w:hint="default" w:ascii="Times New Roman" w:hAnsi="Times New Roman" w:cs="Times New Roman"/>
                <w:color w:val="auto"/>
                <w:sz w:val="24"/>
                <w:szCs w:val="24"/>
                <w:lang w:val="en-US" w:eastAsia="zh-CN"/>
              </w:rPr>
              <w:t>本项目</w:t>
            </w:r>
            <w:r>
              <w:rPr>
                <w:rFonts w:hint="eastAsia" w:ascii="Times New Roman" w:hAnsi="Times New Roman" w:cs="Times New Roman"/>
                <w:b w:val="0"/>
                <w:bCs w:val="0"/>
                <w:color w:val="auto"/>
                <w:sz w:val="24"/>
                <w:szCs w:val="24"/>
                <w:lang w:val="en-US" w:eastAsia="zh-CN"/>
              </w:rPr>
              <w:t>塑封废气</w:t>
            </w:r>
            <w:r>
              <w:rPr>
                <w:rFonts w:hint="eastAsia" w:ascii="Times New Roman" w:hAnsi="Times New Roman"/>
                <w:color w:val="auto"/>
                <w:sz w:val="24"/>
                <w:szCs w:val="24"/>
                <w:lang w:val="en-US" w:eastAsia="zh-CN"/>
              </w:rPr>
              <w:t>中的</w:t>
            </w:r>
            <w:r>
              <w:rPr>
                <w:rFonts w:hint="default" w:ascii="Times New Roman" w:hAnsi="Times New Roman" w:cs="Times New Roman"/>
                <w:color w:val="auto"/>
                <w:sz w:val="24"/>
                <w:szCs w:val="24"/>
                <w:lang w:val="en-US" w:eastAsia="zh-CN"/>
              </w:rPr>
              <w:t>污染因子为</w:t>
            </w:r>
            <w:r>
              <w:rPr>
                <w:rFonts w:hint="eastAsia" w:ascii="Times New Roman" w:hAnsi="Times New Roman" w:cs="Times New Roman"/>
                <w:color w:val="auto"/>
                <w:sz w:val="24"/>
                <w:szCs w:val="24"/>
                <w:lang w:val="en-US" w:eastAsia="zh-CN"/>
              </w:rPr>
              <w:t>非甲烷总烃、臭气浓度和苯乙烯</w:t>
            </w:r>
            <w:r>
              <w:rPr>
                <w:rFonts w:hint="default" w:ascii="Times New Roman" w:hAnsi="Times New Roman" w:cs="Times New Roman"/>
                <w:color w:val="auto"/>
                <w:sz w:val="24"/>
                <w:szCs w:val="24"/>
                <w:lang w:val="en-US" w:eastAsia="zh-CN"/>
              </w:rPr>
              <w:t>，其</w:t>
            </w:r>
            <w:r>
              <w:rPr>
                <w:rFonts w:hint="eastAsia" w:ascii="Times New Roman" w:hAnsi="Times New Roman" w:cs="Times New Roman"/>
                <w:color w:val="auto"/>
                <w:sz w:val="24"/>
                <w:szCs w:val="24"/>
                <w:lang w:val="en-US" w:eastAsia="zh-CN"/>
              </w:rPr>
              <w:t>中非甲烷总烃、苯乙烯</w:t>
            </w:r>
            <w:r>
              <w:rPr>
                <w:rFonts w:hint="default" w:ascii="Times New Roman" w:hAnsi="Times New Roman" w:cs="Times New Roman"/>
                <w:color w:val="auto"/>
                <w:sz w:val="24"/>
                <w:szCs w:val="24"/>
                <w:lang w:val="en-US" w:eastAsia="zh-CN"/>
              </w:rPr>
              <w:t>有组织排放执行《合成树脂工业污染物排放标准》（GB31572-2015）</w:t>
            </w:r>
            <w:r>
              <w:rPr>
                <w:rFonts w:hint="eastAsia" w:ascii="Times New Roman" w:hAnsi="Times New Roman" w:cs="Times New Roman"/>
                <w:color w:val="auto"/>
                <w:sz w:val="24"/>
                <w:szCs w:val="24"/>
                <w:lang w:val="en-US" w:eastAsia="zh-CN"/>
              </w:rPr>
              <w:t>（含2024年修改单）</w:t>
            </w:r>
            <w:r>
              <w:rPr>
                <w:rFonts w:hint="default" w:ascii="Times New Roman" w:hAnsi="Times New Roman" w:cs="Times New Roman"/>
                <w:color w:val="auto"/>
                <w:sz w:val="24"/>
                <w:szCs w:val="24"/>
                <w:lang w:val="en-US" w:eastAsia="zh-CN"/>
              </w:rPr>
              <w:t>表5及表9 的标准限值要求</w:t>
            </w:r>
            <w:r>
              <w:rPr>
                <w:rFonts w:hint="eastAsia" w:ascii="Times New Roman" w:hAnsi="Times New Roman" w:cs="Times New Roman"/>
                <w:color w:val="auto"/>
                <w:sz w:val="24"/>
                <w:szCs w:val="24"/>
                <w:lang w:val="en-US" w:eastAsia="zh-CN"/>
              </w:rPr>
              <w:t>，臭气浓度厂界排放标准执行《恶臭污染物排放标准》（GB14554-93）的二级标准，有组织排放标准参照《关于印发&lt;湖州市木业、漆包线及塑料行业废气整治规范&gt;的通知》要求的限值 1000（无量纲），</w:t>
            </w:r>
            <w:r>
              <w:rPr>
                <w:rFonts w:hint="default" w:ascii="Times New Roman" w:hAnsi="Times New Roman" w:cs="Times New Roman"/>
                <w:color w:val="auto"/>
                <w:sz w:val="24"/>
                <w:szCs w:val="24"/>
                <w:lang w:val="en-US" w:eastAsia="zh-CN"/>
              </w:rPr>
              <w:t>具体见表3-</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w:t>
            </w:r>
          </w:p>
          <w:p w14:paraId="75D57D12">
            <w:pPr>
              <w:spacing w:line="460" w:lineRule="exact"/>
              <w:jc w:val="center"/>
              <w:rPr>
                <w:rFonts w:hint="default" w:ascii="Times New Roman" w:hAnsi="Times New Roman" w:eastAsiaTheme="minorEastAsia"/>
                <w:b/>
                <w:color w:val="auto"/>
                <w:szCs w:val="21"/>
                <w:lang w:val="en-US" w:eastAsia="zh-CN"/>
              </w:rPr>
            </w:pPr>
            <w:r>
              <w:rPr>
                <w:rFonts w:hint="eastAsia" w:ascii="Times New Roman" w:hAnsi="Times New Roman"/>
                <w:b/>
                <w:color w:val="auto"/>
                <w:szCs w:val="21"/>
                <w:lang w:val="en-US" w:eastAsia="zh-CN"/>
              </w:rPr>
              <w:t xml:space="preserve">                     </w:t>
            </w:r>
            <w:r>
              <w:rPr>
                <w:rFonts w:ascii="Times New Roman" w:hAnsi="Times New Roman"/>
                <w:b/>
                <w:color w:val="auto"/>
                <w:szCs w:val="21"/>
              </w:rPr>
              <w:t>表</w:t>
            </w:r>
            <w:r>
              <w:rPr>
                <w:rFonts w:hint="eastAsia" w:ascii="Times New Roman" w:hAnsi="Times New Roman"/>
                <w:b/>
                <w:color w:val="auto"/>
                <w:szCs w:val="21"/>
                <w:lang w:val="en-US" w:eastAsia="zh-CN"/>
              </w:rPr>
              <w:t>3-6</w:t>
            </w:r>
            <w:r>
              <w:rPr>
                <w:rFonts w:ascii="Times New Roman" w:hAnsi="Times New Roman"/>
                <w:b/>
                <w:color w:val="auto"/>
                <w:szCs w:val="21"/>
              </w:rPr>
              <w:t xml:space="preserve">  </w:t>
            </w:r>
            <w:r>
              <w:rPr>
                <w:rFonts w:hint="eastAsia" w:ascii="Times New Roman" w:hAnsi="Times New Roman"/>
                <w:b/>
                <w:color w:val="auto"/>
                <w:szCs w:val="21"/>
                <w:lang w:val="en-US" w:eastAsia="zh-CN"/>
              </w:rPr>
              <w:t>废气排放标准          单位mg/m</w:t>
            </w:r>
            <w:r>
              <w:rPr>
                <w:rFonts w:hint="eastAsia" w:ascii="Times New Roman" w:hAnsi="Times New Roman"/>
                <w:b/>
                <w:color w:val="auto"/>
                <w:szCs w:val="21"/>
                <w:vertAlign w:val="superscript"/>
                <w:lang w:val="en-US" w:eastAsia="zh-CN"/>
              </w:rPr>
              <w:t>3</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767"/>
              <w:gridCol w:w="1743"/>
              <w:gridCol w:w="1613"/>
              <w:gridCol w:w="1569"/>
            </w:tblGrid>
            <w:tr w14:paraId="3B95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12" w:type="dxa"/>
                  <w:vMerge w:val="restart"/>
                  <w:vAlign w:val="center"/>
                </w:tcPr>
                <w:p w14:paraId="1C7972D5">
                  <w:pPr>
                    <w:adjustRightInd w:val="0"/>
                    <w:snapToGrid w:val="0"/>
                    <w:jc w:val="center"/>
                    <w:rPr>
                      <w:rFonts w:ascii="Times New Roman" w:hAnsi="Times New Roman" w:cs="Times New Roman"/>
                      <w:b/>
                      <w:bCs/>
                      <w:color w:val="FF0000"/>
                    </w:rPr>
                  </w:pPr>
                  <w:r>
                    <w:rPr>
                      <w:rFonts w:ascii="Times New Roman" w:hAnsi="Times New Roman" w:cs="Times New Roman"/>
                      <w:b/>
                      <w:bCs/>
                      <w:color w:val="auto"/>
                    </w:rPr>
                    <w:t>污染物</w:t>
                  </w:r>
                </w:p>
              </w:tc>
              <w:tc>
                <w:tcPr>
                  <w:tcW w:w="3510" w:type="dxa"/>
                  <w:gridSpan w:val="2"/>
                  <w:vAlign w:val="center"/>
                </w:tcPr>
                <w:p w14:paraId="60AC4F87">
                  <w:pPr>
                    <w:adjustRightInd w:val="0"/>
                    <w:snapToGrid w:val="0"/>
                    <w:jc w:val="center"/>
                    <w:rPr>
                      <w:rFonts w:hint="default" w:ascii="Times New Roman" w:hAnsi="Times New Roman" w:cs="Times New Roman" w:eastAsiaTheme="minorEastAsia"/>
                      <w:b/>
                      <w:bCs/>
                      <w:color w:val="FF0000"/>
                      <w:lang w:val="en-US" w:eastAsia="zh-CN"/>
                    </w:rPr>
                  </w:pPr>
                  <w:r>
                    <w:rPr>
                      <w:rFonts w:hint="eastAsia" w:ascii="Times New Roman" w:hAnsi="Times New Roman" w:cs="Times New Roman"/>
                      <w:b/>
                      <w:bCs/>
                      <w:color w:val="auto"/>
                      <w:lang w:val="en-US" w:eastAsia="zh-CN"/>
                    </w:rPr>
                    <w:t>车间或生产设施排气筒</w:t>
                  </w:r>
                </w:p>
              </w:tc>
              <w:tc>
                <w:tcPr>
                  <w:tcW w:w="3182" w:type="dxa"/>
                  <w:gridSpan w:val="2"/>
                  <w:vAlign w:val="center"/>
                </w:tcPr>
                <w:p w14:paraId="7C35E792">
                  <w:pPr>
                    <w:adjustRightInd w:val="0"/>
                    <w:snapToGrid w:val="0"/>
                    <w:jc w:val="center"/>
                    <w:rPr>
                      <w:rFonts w:hint="default" w:ascii="Times New Roman" w:hAnsi="Times New Roman" w:cs="Times New Roman" w:eastAsiaTheme="minorEastAsia"/>
                      <w:b/>
                      <w:bCs/>
                      <w:color w:val="FF0000"/>
                      <w:lang w:val="en-US" w:eastAsia="zh-CN"/>
                    </w:rPr>
                  </w:pPr>
                  <w:r>
                    <w:rPr>
                      <w:rFonts w:hint="eastAsia" w:ascii="Times New Roman" w:hAnsi="Times New Roman" w:cs="Times New Roman"/>
                      <w:b/>
                      <w:bCs/>
                      <w:color w:val="auto"/>
                      <w:lang w:val="en-US" w:eastAsia="zh-CN"/>
                    </w:rPr>
                    <w:t>无组织排放监控浓度限值</w:t>
                  </w:r>
                </w:p>
              </w:tc>
            </w:tr>
            <w:tr w14:paraId="6677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12" w:type="dxa"/>
                  <w:vMerge w:val="continue"/>
                  <w:vAlign w:val="center"/>
                </w:tcPr>
                <w:p w14:paraId="11F82BB6">
                  <w:pPr>
                    <w:adjustRightInd w:val="0"/>
                    <w:snapToGrid w:val="0"/>
                    <w:jc w:val="center"/>
                    <w:rPr>
                      <w:rFonts w:ascii="Times New Roman" w:hAnsi="Times New Roman" w:cs="Times New Roman"/>
                      <w:bCs/>
                      <w:color w:val="FF0000"/>
                    </w:rPr>
                  </w:pPr>
                </w:p>
              </w:tc>
              <w:tc>
                <w:tcPr>
                  <w:tcW w:w="1767" w:type="dxa"/>
                  <w:vAlign w:val="center"/>
                </w:tcPr>
                <w:p w14:paraId="362BD359">
                  <w:pPr>
                    <w:adjustRightInd w:val="0"/>
                    <w:snapToGrid w:val="0"/>
                    <w:jc w:val="center"/>
                    <w:rPr>
                      <w:rFonts w:hint="default" w:ascii="Times New Roman" w:hAnsi="Times New Roman" w:cs="Times New Roman" w:eastAsiaTheme="minorEastAsia"/>
                      <w:bCs/>
                      <w:color w:val="auto"/>
                      <w:lang w:val="en-US" w:eastAsia="zh-CN"/>
                    </w:rPr>
                  </w:pPr>
                  <w:r>
                    <w:rPr>
                      <w:rFonts w:hint="eastAsia" w:ascii="Times New Roman" w:hAnsi="Times New Roman" w:cs="Times New Roman"/>
                      <w:bCs/>
                      <w:color w:val="auto"/>
                      <w:lang w:val="en-US" w:eastAsia="zh-CN"/>
                    </w:rPr>
                    <w:t>排放限值</w:t>
                  </w:r>
                </w:p>
              </w:tc>
              <w:tc>
                <w:tcPr>
                  <w:tcW w:w="1743" w:type="dxa"/>
                  <w:vAlign w:val="center"/>
                </w:tcPr>
                <w:p w14:paraId="7DA74AA4">
                  <w:pPr>
                    <w:adjustRightInd w:val="0"/>
                    <w:snapToGrid w:val="0"/>
                    <w:jc w:val="center"/>
                    <w:rPr>
                      <w:rFonts w:hint="default" w:ascii="Times New Roman" w:hAnsi="Times New Roman" w:cs="Times New Roman" w:eastAsiaTheme="minorEastAsia"/>
                      <w:bCs/>
                      <w:color w:val="auto"/>
                      <w:lang w:val="en-US" w:eastAsia="zh-CN"/>
                    </w:rPr>
                  </w:pPr>
                  <w:r>
                    <w:rPr>
                      <w:rFonts w:hint="eastAsia" w:ascii="Times New Roman" w:hAnsi="Times New Roman" w:cs="Times New Roman"/>
                      <w:bCs/>
                      <w:color w:val="auto"/>
                      <w:lang w:val="en-US" w:eastAsia="zh-CN"/>
                    </w:rPr>
                    <w:t>单位产品排放量</w:t>
                  </w:r>
                </w:p>
              </w:tc>
              <w:tc>
                <w:tcPr>
                  <w:tcW w:w="1613" w:type="dxa"/>
                  <w:vAlign w:val="center"/>
                </w:tcPr>
                <w:p w14:paraId="2747DB24">
                  <w:pPr>
                    <w:adjustRightInd w:val="0"/>
                    <w:snapToGrid w:val="0"/>
                    <w:jc w:val="center"/>
                    <w:rPr>
                      <w:rFonts w:hint="default" w:ascii="Times New Roman" w:hAnsi="Times New Roman" w:cs="Times New Roman" w:eastAsiaTheme="minorEastAsia"/>
                      <w:bCs/>
                      <w:color w:val="auto"/>
                      <w:lang w:val="en-US" w:eastAsia="zh-CN"/>
                    </w:rPr>
                  </w:pPr>
                  <w:r>
                    <w:rPr>
                      <w:rFonts w:hint="eastAsia" w:ascii="Times New Roman" w:hAnsi="Times New Roman" w:cs="Times New Roman"/>
                      <w:bCs/>
                      <w:color w:val="auto"/>
                      <w:lang w:val="en-US" w:eastAsia="zh-CN"/>
                    </w:rPr>
                    <w:t>监控点</w:t>
                  </w:r>
                </w:p>
              </w:tc>
              <w:tc>
                <w:tcPr>
                  <w:tcW w:w="1569" w:type="dxa"/>
                  <w:vAlign w:val="center"/>
                </w:tcPr>
                <w:p w14:paraId="1443D37B">
                  <w:pPr>
                    <w:adjustRightInd w:val="0"/>
                    <w:snapToGrid w:val="0"/>
                    <w:jc w:val="center"/>
                    <w:rPr>
                      <w:rFonts w:hint="eastAsia" w:ascii="Times New Roman" w:hAnsi="Times New Roman" w:cs="Times New Roman" w:eastAsiaTheme="minorEastAsia"/>
                      <w:bCs/>
                      <w:color w:val="auto"/>
                      <w:lang w:val="en-US" w:eastAsia="zh-CN"/>
                    </w:rPr>
                  </w:pPr>
                  <w:r>
                    <w:rPr>
                      <w:rFonts w:hint="eastAsia" w:ascii="Times New Roman" w:hAnsi="Times New Roman" w:cs="Times New Roman"/>
                      <w:bCs/>
                      <w:color w:val="auto"/>
                      <w:lang w:val="en-US" w:eastAsia="zh-CN"/>
                    </w:rPr>
                    <w:t>浓度</w:t>
                  </w:r>
                </w:p>
              </w:tc>
            </w:tr>
            <w:tr w14:paraId="0E0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12" w:type="dxa"/>
                  <w:vAlign w:val="center"/>
                </w:tcPr>
                <w:p w14:paraId="3472B9CB">
                  <w:pPr>
                    <w:jc w:val="center"/>
                    <w:rPr>
                      <w:rFonts w:ascii="Times New Roman" w:hAnsi="Times New Roman" w:cs="Times New Roman"/>
                      <w:bCs/>
                      <w:color w:val="FF0000"/>
                    </w:rPr>
                  </w:pPr>
                  <w:r>
                    <w:rPr>
                      <w:rFonts w:ascii="Times New Roman" w:hAnsi="Times New Roman" w:cs="Times New Roman"/>
                      <w:color w:val="auto"/>
                    </w:rPr>
                    <w:t>非甲烷总烃</w:t>
                  </w:r>
                </w:p>
              </w:tc>
              <w:tc>
                <w:tcPr>
                  <w:tcW w:w="1767" w:type="dxa"/>
                  <w:vAlign w:val="center"/>
                </w:tcPr>
                <w:p w14:paraId="6AB99A3A">
                  <w:pPr>
                    <w:jc w:val="center"/>
                    <w:rPr>
                      <w:rFonts w:hint="default" w:ascii="Times New Roman" w:hAnsi="Times New Roman" w:cs="Times New Roman" w:eastAsiaTheme="minorEastAsia"/>
                      <w:bCs/>
                      <w:color w:val="auto"/>
                      <w:lang w:val="en-US" w:eastAsia="zh-CN"/>
                    </w:rPr>
                  </w:pPr>
                  <w:r>
                    <w:rPr>
                      <w:rFonts w:hint="eastAsia" w:ascii="Times New Roman" w:hAnsi="Times New Roman" w:cs="Times New Roman"/>
                      <w:color w:val="auto"/>
                      <w:lang w:val="en-US" w:eastAsia="zh-CN"/>
                    </w:rPr>
                    <w:t>60</w:t>
                  </w:r>
                </w:p>
              </w:tc>
              <w:tc>
                <w:tcPr>
                  <w:tcW w:w="1743" w:type="dxa"/>
                  <w:vAlign w:val="center"/>
                </w:tcPr>
                <w:p w14:paraId="3CFD154E">
                  <w:pPr>
                    <w:jc w:val="center"/>
                    <w:rPr>
                      <w:rFonts w:hint="default" w:ascii="Times New Roman" w:hAnsi="Times New Roman" w:cs="Times New Roman" w:eastAsiaTheme="minorEastAsia"/>
                      <w:bCs/>
                      <w:color w:val="auto"/>
                      <w:lang w:val="en-US" w:eastAsia="zh-CN"/>
                    </w:rPr>
                  </w:pPr>
                  <w:r>
                    <w:rPr>
                      <w:rFonts w:hint="eastAsia" w:ascii="Times New Roman" w:hAnsi="Times New Roman" w:cs="Times New Roman"/>
                      <w:bCs/>
                      <w:color w:val="auto"/>
                      <w:lang w:val="en-US" w:eastAsia="zh-CN"/>
                    </w:rPr>
                    <w:t>0.3kg/t</w:t>
                  </w:r>
                </w:p>
              </w:tc>
              <w:tc>
                <w:tcPr>
                  <w:tcW w:w="1613" w:type="dxa"/>
                  <w:vMerge w:val="restart"/>
                  <w:vAlign w:val="center"/>
                </w:tcPr>
                <w:p w14:paraId="3FD26346">
                  <w:pPr>
                    <w:jc w:val="center"/>
                    <w:rPr>
                      <w:rFonts w:hint="default" w:ascii="Times New Roman" w:hAnsi="Times New Roman" w:cs="Times New Roman" w:eastAsiaTheme="minorEastAsia"/>
                      <w:bCs/>
                      <w:color w:val="auto"/>
                      <w:lang w:val="en-US" w:eastAsia="zh-CN"/>
                    </w:rPr>
                  </w:pPr>
                  <w:r>
                    <w:rPr>
                      <w:rFonts w:hint="eastAsia" w:ascii="Times New Roman" w:hAnsi="Times New Roman" w:cs="Times New Roman"/>
                      <w:bCs/>
                      <w:color w:val="auto"/>
                      <w:lang w:val="en-US" w:eastAsia="zh-CN"/>
                    </w:rPr>
                    <w:t>周界外浓度最高点</w:t>
                  </w:r>
                </w:p>
              </w:tc>
              <w:tc>
                <w:tcPr>
                  <w:tcW w:w="1569" w:type="dxa"/>
                  <w:vAlign w:val="center"/>
                </w:tcPr>
                <w:p w14:paraId="56AACB56">
                  <w:pPr>
                    <w:jc w:val="center"/>
                    <w:rPr>
                      <w:rFonts w:ascii="Times New Roman" w:hAnsi="Times New Roman" w:cs="Times New Roman"/>
                      <w:bCs/>
                      <w:color w:val="FF0000"/>
                    </w:rPr>
                  </w:pPr>
                  <w:r>
                    <w:rPr>
                      <w:rFonts w:ascii="Times New Roman" w:hAnsi="Times New Roman" w:cs="Times New Roman"/>
                      <w:color w:val="auto"/>
                    </w:rPr>
                    <w:t>4.0</w:t>
                  </w:r>
                </w:p>
              </w:tc>
            </w:tr>
            <w:tr w14:paraId="0EF4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12" w:type="dxa"/>
                  <w:vAlign w:val="center"/>
                </w:tcPr>
                <w:p w14:paraId="212901F5">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苯乙烯</w:t>
                  </w:r>
                </w:p>
              </w:tc>
              <w:tc>
                <w:tcPr>
                  <w:tcW w:w="1767" w:type="dxa"/>
                  <w:vAlign w:val="center"/>
                </w:tcPr>
                <w:p w14:paraId="5780886F">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w:t>
                  </w:r>
                </w:p>
              </w:tc>
              <w:tc>
                <w:tcPr>
                  <w:tcW w:w="1743" w:type="dxa"/>
                  <w:vAlign w:val="center"/>
                </w:tcPr>
                <w:p w14:paraId="01717545">
                  <w:pPr>
                    <w:jc w:val="center"/>
                    <w:rPr>
                      <w:rFonts w:hint="eastAsia" w:ascii="Times New Roman" w:hAnsi="Times New Roman" w:cs="Times New Roman" w:eastAsiaTheme="minorEastAsia"/>
                      <w:bCs/>
                      <w:color w:val="auto"/>
                      <w:lang w:val="en-US" w:eastAsia="zh-CN"/>
                    </w:rPr>
                  </w:pPr>
                  <w:r>
                    <w:rPr>
                      <w:rFonts w:hint="eastAsia" w:ascii="Times New Roman" w:hAnsi="Times New Roman" w:cs="Times New Roman"/>
                      <w:bCs/>
                      <w:color w:val="auto"/>
                      <w:lang w:val="en-US" w:eastAsia="zh-CN"/>
                    </w:rPr>
                    <w:t>/</w:t>
                  </w:r>
                </w:p>
              </w:tc>
              <w:tc>
                <w:tcPr>
                  <w:tcW w:w="1613" w:type="dxa"/>
                  <w:vMerge w:val="continue"/>
                  <w:vAlign w:val="center"/>
                </w:tcPr>
                <w:p w14:paraId="3A552289">
                  <w:pPr>
                    <w:jc w:val="center"/>
                    <w:rPr>
                      <w:rFonts w:ascii="Times New Roman" w:hAnsi="Times New Roman" w:cs="Times New Roman"/>
                      <w:bCs/>
                      <w:color w:val="FF0000"/>
                    </w:rPr>
                  </w:pPr>
                </w:p>
              </w:tc>
              <w:tc>
                <w:tcPr>
                  <w:tcW w:w="1569" w:type="dxa"/>
                  <w:vAlign w:val="center"/>
                </w:tcPr>
                <w:p w14:paraId="0774EA4F">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w:t>
                  </w:r>
                </w:p>
              </w:tc>
            </w:tr>
            <w:tr w14:paraId="5BC2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12" w:type="dxa"/>
                  <w:vAlign w:val="center"/>
                </w:tcPr>
                <w:p w14:paraId="75DDAD48">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臭气浓度</w:t>
                  </w:r>
                </w:p>
              </w:tc>
              <w:tc>
                <w:tcPr>
                  <w:tcW w:w="1767" w:type="dxa"/>
                  <w:vAlign w:val="center"/>
                </w:tcPr>
                <w:p w14:paraId="5FCB35E4">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1000（无量纲）</w:t>
                  </w:r>
                </w:p>
              </w:tc>
              <w:tc>
                <w:tcPr>
                  <w:tcW w:w="1743" w:type="dxa"/>
                  <w:vAlign w:val="center"/>
                </w:tcPr>
                <w:p w14:paraId="3ED485EB">
                  <w:pPr>
                    <w:jc w:val="center"/>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w:t>
                  </w:r>
                </w:p>
              </w:tc>
              <w:tc>
                <w:tcPr>
                  <w:tcW w:w="1613" w:type="dxa"/>
                  <w:vMerge w:val="continue"/>
                  <w:vAlign w:val="center"/>
                </w:tcPr>
                <w:p w14:paraId="4789E327">
                  <w:pPr>
                    <w:jc w:val="center"/>
                    <w:rPr>
                      <w:rFonts w:ascii="Times New Roman" w:hAnsi="Times New Roman" w:cs="Times New Roman"/>
                      <w:bCs/>
                      <w:color w:val="FF0000"/>
                    </w:rPr>
                  </w:pPr>
                </w:p>
              </w:tc>
              <w:tc>
                <w:tcPr>
                  <w:tcW w:w="1569" w:type="dxa"/>
                  <w:vAlign w:val="center"/>
                </w:tcPr>
                <w:p w14:paraId="4D11C8A5">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20（无量纲）</w:t>
                  </w:r>
                </w:p>
              </w:tc>
            </w:tr>
          </w:tbl>
          <w:p w14:paraId="7AABD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项目厂区内非甲烷总烃无</w:t>
            </w:r>
            <w:r>
              <w:rPr>
                <w:rFonts w:hint="default" w:ascii="Times New Roman" w:hAnsi="Times New Roman" w:eastAsia="宋体" w:cs="Times New Roman"/>
                <w:color w:val="auto"/>
                <w:sz w:val="24"/>
                <w:szCs w:val="24"/>
                <w:highlight w:val="none"/>
                <w:lang w:val="en-US" w:eastAsia="zh-CN"/>
              </w:rPr>
              <w:t>组织排放执行</w:t>
            </w:r>
            <w:r>
              <w:rPr>
                <w:rFonts w:hint="default" w:ascii="Times New Roman" w:hAnsi="Times New Roman" w:cs="Times New Roman"/>
                <w:color w:val="auto"/>
                <w:sz w:val="24"/>
                <w:highlight w:val="none"/>
              </w:rPr>
              <w:t>《挥发性有机物无组织排放控制标准》（GB37822-2019）表A.1中的特别</w:t>
            </w:r>
            <w:r>
              <w:rPr>
                <w:rFonts w:hint="default"/>
                <w:color w:val="auto"/>
                <w:sz w:val="24"/>
                <w:highlight w:val="none"/>
              </w:rPr>
              <w:t>排放限值，</w:t>
            </w:r>
            <w:r>
              <w:rPr>
                <w:rFonts w:hint="eastAsia" w:ascii="Times New Roman" w:hAnsi="Times New Roman" w:eastAsia="宋体" w:cs="Times New Roman"/>
                <w:color w:val="auto"/>
                <w:sz w:val="24"/>
                <w:szCs w:val="24"/>
                <w:highlight w:val="none"/>
                <w:lang w:val="en-US" w:eastAsia="zh-CN"/>
              </w:rPr>
              <w:t>见表3-7。</w:t>
            </w:r>
          </w:p>
          <w:p w14:paraId="7AAE7835">
            <w:pPr>
              <w:spacing w:line="460" w:lineRule="exact"/>
              <w:jc w:val="center"/>
              <w:rPr>
                <w:rFonts w:hint="default" w:ascii="Times New Roman" w:hAnsi="Times New Roman" w:eastAsiaTheme="minorEastAsia"/>
                <w:b/>
                <w:color w:val="auto"/>
                <w:szCs w:val="21"/>
                <w:lang w:val="en-US" w:eastAsia="zh-CN"/>
              </w:rPr>
            </w:pPr>
            <w:r>
              <w:rPr>
                <w:rFonts w:ascii="Times New Roman" w:hAnsi="Times New Roman"/>
                <w:b/>
                <w:color w:val="auto"/>
                <w:szCs w:val="21"/>
              </w:rPr>
              <w:t>表</w:t>
            </w:r>
            <w:r>
              <w:rPr>
                <w:rFonts w:hint="eastAsia" w:ascii="Times New Roman" w:hAnsi="Times New Roman"/>
                <w:b/>
                <w:color w:val="auto"/>
                <w:szCs w:val="21"/>
                <w:lang w:val="en-US" w:eastAsia="zh-CN"/>
              </w:rPr>
              <w:t>3-7</w:t>
            </w:r>
            <w:r>
              <w:rPr>
                <w:rFonts w:ascii="Times New Roman" w:hAnsi="Times New Roman"/>
                <w:b/>
                <w:color w:val="auto"/>
                <w:szCs w:val="21"/>
              </w:rPr>
              <w:t xml:space="preserve">  </w:t>
            </w:r>
            <w:r>
              <w:rPr>
                <w:rFonts w:hint="eastAsia" w:ascii="Times New Roman" w:hAnsi="Times New Roman"/>
                <w:b/>
                <w:color w:val="auto"/>
                <w:szCs w:val="21"/>
                <w:lang w:val="en-US" w:eastAsia="zh-CN"/>
              </w:rPr>
              <w:t>厂区内无组织排放标准</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681"/>
              <w:gridCol w:w="2905"/>
              <w:gridCol w:w="2346"/>
            </w:tblGrid>
            <w:tr w14:paraId="1E34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72" w:type="dxa"/>
                  <w:noWrap w:val="0"/>
                  <w:vAlign w:val="center"/>
                </w:tcPr>
                <w:p w14:paraId="3E0B596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污染物项目</w:t>
                  </w:r>
                </w:p>
              </w:tc>
              <w:tc>
                <w:tcPr>
                  <w:tcW w:w="1681" w:type="dxa"/>
                  <w:noWrap w:val="0"/>
                  <w:vAlign w:val="center"/>
                </w:tcPr>
                <w:p w14:paraId="04FA2F9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特别排放限值</w:t>
                  </w:r>
                </w:p>
              </w:tc>
              <w:tc>
                <w:tcPr>
                  <w:tcW w:w="2905" w:type="dxa"/>
                  <w:noWrap w:val="0"/>
                  <w:vAlign w:val="center"/>
                </w:tcPr>
                <w:p w14:paraId="693B4DA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限值含义</w:t>
                  </w:r>
                </w:p>
              </w:tc>
              <w:tc>
                <w:tcPr>
                  <w:tcW w:w="2346" w:type="dxa"/>
                  <w:noWrap w:val="0"/>
                  <w:vAlign w:val="center"/>
                </w:tcPr>
                <w:p w14:paraId="0406D1D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无组织排放监控位置</w:t>
                  </w:r>
                </w:p>
              </w:tc>
            </w:tr>
            <w:tr w14:paraId="2F81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72" w:type="dxa"/>
                  <w:vMerge w:val="restart"/>
                  <w:noWrap w:val="0"/>
                  <w:vAlign w:val="center"/>
                </w:tcPr>
                <w:p w14:paraId="07C56C37">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非甲烷总烃</w:t>
                  </w:r>
                </w:p>
              </w:tc>
              <w:tc>
                <w:tcPr>
                  <w:tcW w:w="1681" w:type="dxa"/>
                  <w:noWrap w:val="0"/>
                  <w:vAlign w:val="center"/>
                </w:tcPr>
                <w:p w14:paraId="0972FA43">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6mg/m</w:t>
                  </w:r>
                  <w:r>
                    <w:rPr>
                      <w:rFonts w:hint="default" w:ascii="Times New Roman" w:hAnsi="Times New Roman" w:cs="Times New Roman"/>
                      <w:b w:val="0"/>
                      <w:bCs/>
                      <w:color w:val="auto"/>
                      <w:szCs w:val="21"/>
                      <w:highlight w:val="none"/>
                      <w:vertAlign w:val="superscript"/>
                    </w:rPr>
                    <w:t>3</w:t>
                  </w:r>
                </w:p>
              </w:tc>
              <w:tc>
                <w:tcPr>
                  <w:tcW w:w="2905" w:type="dxa"/>
                  <w:noWrap w:val="0"/>
                  <w:vAlign w:val="center"/>
                </w:tcPr>
                <w:p w14:paraId="65202F5E">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监控点处1h平均浓度值</w:t>
                  </w:r>
                </w:p>
              </w:tc>
              <w:tc>
                <w:tcPr>
                  <w:tcW w:w="2346" w:type="dxa"/>
                  <w:vMerge w:val="restart"/>
                  <w:noWrap w:val="0"/>
                  <w:vAlign w:val="center"/>
                </w:tcPr>
                <w:p w14:paraId="78F16F77">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在厂房外设置监控点</w:t>
                  </w:r>
                </w:p>
              </w:tc>
            </w:tr>
            <w:tr w14:paraId="41D6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72" w:type="dxa"/>
                  <w:vMerge w:val="continue"/>
                  <w:noWrap w:val="0"/>
                  <w:vAlign w:val="center"/>
                </w:tcPr>
                <w:p w14:paraId="6679C185">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p>
              </w:tc>
              <w:tc>
                <w:tcPr>
                  <w:tcW w:w="1681" w:type="dxa"/>
                  <w:noWrap w:val="0"/>
                  <w:vAlign w:val="center"/>
                </w:tcPr>
                <w:p w14:paraId="5D9885A1">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20mg/m</w:t>
                  </w:r>
                  <w:r>
                    <w:rPr>
                      <w:rFonts w:hint="default" w:ascii="Times New Roman" w:hAnsi="Times New Roman" w:cs="Times New Roman"/>
                      <w:b w:val="0"/>
                      <w:bCs/>
                      <w:color w:val="auto"/>
                      <w:szCs w:val="21"/>
                      <w:highlight w:val="none"/>
                      <w:vertAlign w:val="superscript"/>
                    </w:rPr>
                    <w:t>3</w:t>
                  </w:r>
                </w:p>
              </w:tc>
              <w:tc>
                <w:tcPr>
                  <w:tcW w:w="2905" w:type="dxa"/>
                  <w:noWrap w:val="0"/>
                  <w:vAlign w:val="center"/>
                </w:tcPr>
                <w:p w14:paraId="2FD3974E">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监控点处任意一次浓度值</w:t>
                  </w:r>
                </w:p>
              </w:tc>
              <w:tc>
                <w:tcPr>
                  <w:tcW w:w="2346" w:type="dxa"/>
                  <w:vMerge w:val="continue"/>
                  <w:noWrap w:val="0"/>
                  <w:vAlign w:val="center"/>
                </w:tcPr>
                <w:p w14:paraId="62CE8876">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Cs w:val="21"/>
                      <w:highlight w:val="none"/>
                    </w:rPr>
                  </w:pPr>
                </w:p>
              </w:tc>
            </w:tr>
          </w:tbl>
          <w:p w14:paraId="3FD3D6A6">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（3）食堂油烟废气</w:t>
            </w:r>
          </w:p>
          <w:p w14:paraId="6E9CB3EA">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szCs w:val="24"/>
              </w:rPr>
              <w:t>本项目营运期食堂内设</w:t>
            </w:r>
            <w:r>
              <w:rPr>
                <w:rFonts w:hint="eastAsia" w:ascii="Times New Roman" w:hAnsi="Times New Roman" w:cs="Times New Roman"/>
                <w:color w:val="auto"/>
                <w:sz w:val="24"/>
                <w:szCs w:val="24"/>
              </w:rPr>
              <w:t>有</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个基准灶头，</w:t>
            </w:r>
            <w:r>
              <w:rPr>
                <w:rFonts w:ascii="Times New Roman" w:hAnsi="Times New Roman" w:cs="Times New Roman"/>
                <w:color w:val="auto"/>
                <w:sz w:val="24"/>
              </w:rPr>
              <w:t>油烟排放执行《饮食业油烟排放标准（试行）》（GB18483-2001）中的</w:t>
            </w:r>
            <w:r>
              <w:rPr>
                <w:rFonts w:hint="eastAsia" w:ascii="Times New Roman" w:hAnsi="Times New Roman" w:cs="Times New Roman"/>
                <w:color w:val="auto"/>
                <w:sz w:val="24"/>
                <w:lang w:val="en-US" w:eastAsia="zh-CN"/>
              </w:rPr>
              <w:t>小</w:t>
            </w:r>
            <w:r>
              <w:rPr>
                <w:rFonts w:ascii="Times New Roman" w:hAnsi="Times New Roman" w:cs="Times New Roman"/>
                <w:color w:val="auto"/>
                <w:sz w:val="24"/>
              </w:rPr>
              <w:t>型规模标准，见表</w:t>
            </w:r>
            <w:r>
              <w:rPr>
                <w:rFonts w:hint="eastAsia" w:ascii="Times New Roman" w:hAnsi="Times New Roman" w:cs="Times New Roman"/>
                <w:color w:val="auto"/>
                <w:sz w:val="24"/>
              </w:rPr>
              <w:t>3</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8</w:t>
            </w:r>
            <w:r>
              <w:rPr>
                <w:rFonts w:ascii="Times New Roman" w:hAnsi="Times New Roman" w:cs="Times New Roman"/>
                <w:color w:val="auto"/>
                <w:sz w:val="24"/>
              </w:rPr>
              <w:t>。</w:t>
            </w:r>
          </w:p>
          <w:p w14:paraId="34434C70">
            <w:pPr>
              <w:snapToGrid w:val="0"/>
              <w:ind w:firstLine="422" w:firstLineChars="200"/>
              <w:jc w:val="center"/>
              <w:rPr>
                <w:rFonts w:ascii="Times New Roman" w:hAnsi="Times New Roman" w:cs="Times New Roman"/>
                <w:b/>
                <w:color w:val="auto"/>
                <w:szCs w:val="21"/>
              </w:rPr>
            </w:pPr>
            <w:r>
              <w:rPr>
                <w:rFonts w:ascii="Times New Roman" w:hAnsi="Times New Roman" w:cs="Times New Roman"/>
                <w:b/>
                <w:color w:val="auto"/>
                <w:szCs w:val="21"/>
              </w:rPr>
              <w:t>表</w:t>
            </w:r>
            <w:r>
              <w:rPr>
                <w:rFonts w:hint="eastAsia" w:ascii="Times New Roman" w:hAnsi="Times New Roman" w:cs="Times New Roman"/>
                <w:b/>
                <w:color w:val="auto"/>
                <w:szCs w:val="21"/>
              </w:rPr>
              <w:t>3</w:t>
            </w:r>
            <w:r>
              <w:rPr>
                <w:rFonts w:ascii="Times New Roman" w:hAnsi="Times New Roman" w:cs="Times New Roman"/>
                <w:b/>
                <w:color w:val="auto"/>
                <w:szCs w:val="21"/>
              </w:rPr>
              <w:t>-</w:t>
            </w:r>
            <w:r>
              <w:rPr>
                <w:rFonts w:hint="eastAsia" w:ascii="Times New Roman" w:hAnsi="Times New Roman" w:cs="Times New Roman"/>
                <w:b/>
                <w:color w:val="auto"/>
                <w:szCs w:val="21"/>
                <w:lang w:val="en-US" w:eastAsia="zh-CN"/>
              </w:rPr>
              <w:t>8</w:t>
            </w:r>
            <w:r>
              <w:rPr>
                <w:rFonts w:ascii="Times New Roman" w:hAnsi="Times New Roman" w:cs="Times New Roman"/>
                <w:b/>
                <w:color w:val="auto"/>
                <w:szCs w:val="21"/>
              </w:rPr>
              <w:t xml:space="preserve">  《饮食业油烟排放标准》（GB18483-2001）</w:t>
            </w:r>
          </w:p>
          <w:tbl>
            <w:tblPr>
              <w:tblStyle w:val="23"/>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413"/>
              <w:gridCol w:w="1677"/>
              <w:gridCol w:w="1656"/>
              <w:gridCol w:w="1758"/>
            </w:tblGrid>
            <w:tr w14:paraId="663EC6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413" w:type="dxa"/>
                  <w:shd w:val="clear" w:color="auto" w:fill="auto"/>
                </w:tcPr>
                <w:p w14:paraId="2D4BA5A4">
                  <w:pPr>
                    <w:snapToGrid w:val="0"/>
                    <w:spacing w:before="60"/>
                    <w:jc w:val="center"/>
                    <w:rPr>
                      <w:rFonts w:ascii="Times New Roman" w:hAnsi="Times New Roman" w:cs="Times New Roman"/>
                      <w:color w:val="auto"/>
                      <w:szCs w:val="21"/>
                    </w:rPr>
                  </w:pPr>
                  <w:r>
                    <w:rPr>
                      <w:rFonts w:ascii="Times New Roman" w:hAnsi="Times New Roman" w:cs="Times New Roman"/>
                      <w:color w:val="auto"/>
                      <w:szCs w:val="21"/>
                    </w:rPr>
                    <w:t>规     模</w:t>
                  </w:r>
                </w:p>
              </w:tc>
              <w:tc>
                <w:tcPr>
                  <w:tcW w:w="1677" w:type="dxa"/>
                  <w:shd w:val="clear" w:color="auto" w:fill="auto"/>
                </w:tcPr>
                <w:p w14:paraId="26FC5D1A">
                  <w:pPr>
                    <w:snapToGrid w:val="0"/>
                    <w:spacing w:before="60"/>
                    <w:jc w:val="center"/>
                    <w:rPr>
                      <w:rFonts w:ascii="Times New Roman" w:hAnsi="Times New Roman" w:cs="Times New Roman"/>
                      <w:bCs/>
                      <w:color w:val="auto"/>
                      <w:szCs w:val="21"/>
                    </w:rPr>
                  </w:pPr>
                  <w:r>
                    <w:rPr>
                      <w:rFonts w:ascii="Times New Roman" w:hAnsi="Times New Roman" w:cs="Times New Roman"/>
                      <w:bCs/>
                      <w:color w:val="auto"/>
                      <w:szCs w:val="21"/>
                    </w:rPr>
                    <w:t>大型</w:t>
                  </w:r>
                </w:p>
              </w:tc>
              <w:tc>
                <w:tcPr>
                  <w:tcW w:w="1656" w:type="dxa"/>
                  <w:shd w:val="clear" w:color="auto" w:fill="auto"/>
                </w:tcPr>
                <w:p w14:paraId="3B11126A">
                  <w:pPr>
                    <w:snapToGrid w:val="0"/>
                    <w:spacing w:before="60"/>
                    <w:jc w:val="center"/>
                    <w:rPr>
                      <w:rFonts w:ascii="Times New Roman" w:hAnsi="Times New Roman" w:cs="Times New Roman"/>
                      <w:bCs/>
                      <w:color w:val="auto"/>
                      <w:szCs w:val="21"/>
                    </w:rPr>
                  </w:pPr>
                  <w:r>
                    <w:rPr>
                      <w:rFonts w:ascii="Times New Roman" w:hAnsi="Times New Roman" w:cs="Times New Roman"/>
                      <w:bCs/>
                      <w:color w:val="auto"/>
                      <w:szCs w:val="21"/>
                    </w:rPr>
                    <w:t>中型</w:t>
                  </w:r>
                </w:p>
              </w:tc>
              <w:tc>
                <w:tcPr>
                  <w:tcW w:w="1758" w:type="dxa"/>
                  <w:shd w:val="clear" w:color="auto" w:fill="BEBEBE" w:themeFill="background1" w:themeFillShade="BF"/>
                </w:tcPr>
                <w:p w14:paraId="6B7F1719">
                  <w:pPr>
                    <w:snapToGrid w:val="0"/>
                    <w:spacing w:before="60"/>
                    <w:jc w:val="center"/>
                    <w:rPr>
                      <w:rFonts w:ascii="Times New Roman" w:hAnsi="Times New Roman" w:cs="Times New Roman"/>
                      <w:color w:val="auto"/>
                      <w:szCs w:val="21"/>
                    </w:rPr>
                  </w:pPr>
                  <w:r>
                    <w:rPr>
                      <w:rFonts w:ascii="Times New Roman" w:hAnsi="Times New Roman" w:cs="Times New Roman"/>
                      <w:bCs/>
                      <w:color w:val="auto"/>
                      <w:szCs w:val="21"/>
                    </w:rPr>
                    <w:t>小型</w:t>
                  </w:r>
                </w:p>
              </w:tc>
            </w:tr>
            <w:tr w14:paraId="606FA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413" w:type="dxa"/>
                  <w:shd w:val="clear" w:color="auto" w:fill="auto"/>
                </w:tcPr>
                <w:p w14:paraId="73C21C13">
                  <w:pPr>
                    <w:snapToGrid w:val="0"/>
                    <w:spacing w:before="60"/>
                    <w:jc w:val="center"/>
                    <w:rPr>
                      <w:rFonts w:ascii="Times New Roman" w:hAnsi="Times New Roman" w:cs="Times New Roman"/>
                      <w:color w:val="auto"/>
                      <w:szCs w:val="21"/>
                    </w:rPr>
                  </w:pPr>
                  <w:r>
                    <w:rPr>
                      <w:rFonts w:ascii="Times New Roman" w:hAnsi="Times New Roman" w:cs="Times New Roman"/>
                      <w:color w:val="auto"/>
                      <w:szCs w:val="21"/>
                    </w:rPr>
                    <w:t>基准灶头数</w:t>
                  </w:r>
                </w:p>
              </w:tc>
              <w:tc>
                <w:tcPr>
                  <w:tcW w:w="1677" w:type="dxa"/>
                  <w:shd w:val="clear" w:color="auto" w:fill="auto"/>
                </w:tcPr>
                <w:p w14:paraId="05CA92A1">
                  <w:pPr>
                    <w:snapToGrid w:val="0"/>
                    <w:spacing w:before="60"/>
                    <w:jc w:val="center"/>
                    <w:rPr>
                      <w:rFonts w:ascii="Times New Roman" w:hAnsi="Times New Roman" w:cs="Times New Roman"/>
                      <w:color w:val="auto"/>
                      <w:szCs w:val="21"/>
                    </w:rPr>
                  </w:pPr>
                  <w:r>
                    <w:rPr>
                      <w:rFonts w:ascii="Times New Roman" w:hAnsi="Times New Roman" w:cs="Times New Roman"/>
                      <w:color w:val="auto"/>
                      <w:szCs w:val="21"/>
                    </w:rPr>
                    <w:t>≥6</w:t>
                  </w:r>
                </w:p>
              </w:tc>
              <w:tc>
                <w:tcPr>
                  <w:tcW w:w="1656" w:type="dxa"/>
                  <w:shd w:val="clear" w:color="auto" w:fill="auto"/>
                </w:tcPr>
                <w:p w14:paraId="248EB791">
                  <w:pPr>
                    <w:snapToGrid w:val="0"/>
                    <w:spacing w:before="60"/>
                    <w:jc w:val="center"/>
                    <w:rPr>
                      <w:rFonts w:ascii="Times New Roman" w:hAnsi="Times New Roman" w:cs="Times New Roman"/>
                      <w:b/>
                      <w:bCs/>
                      <w:color w:val="auto"/>
                      <w:szCs w:val="21"/>
                    </w:rPr>
                  </w:pPr>
                  <w:r>
                    <w:rPr>
                      <w:rFonts w:ascii="Times New Roman" w:hAnsi="Times New Roman" w:cs="Times New Roman"/>
                      <w:color w:val="auto"/>
                      <w:szCs w:val="21"/>
                    </w:rPr>
                    <w:t>≥3，&lt; 6</w:t>
                  </w:r>
                </w:p>
              </w:tc>
              <w:tc>
                <w:tcPr>
                  <w:tcW w:w="1758" w:type="dxa"/>
                  <w:shd w:val="clear" w:color="auto" w:fill="BEBEBE" w:themeFill="background1" w:themeFillShade="BF"/>
                </w:tcPr>
                <w:p w14:paraId="6F471A54">
                  <w:pPr>
                    <w:snapToGrid w:val="0"/>
                    <w:spacing w:before="60"/>
                    <w:jc w:val="center"/>
                    <w:rPr>
                      <w:rFonts w:ascii="Times New Roman" w:hAnsi="Times New Roman" w:cs="Times New Roman"/>
                      <w:b/>
                      <w:bCs/>
                      <w:color w:val="auto"/>
                      <w:szCs w:val="21"/>
                    </w:rPr>
                  </w:pPr>
                  <w:r>
                    <w:rPr>
                      <w:rFonts w:ascii="Times New Roman" w:hAnsi="Times New Roman" w:cs="Times New Roman"/>
                      <w:color w:val="auto"/>
                      <w:szCs w:val="21"/>
                    </w:rPr>
                    <w:t>≥1，&lt; 3</w:t>
                  </w:r>
                </w:p>
              </w:tc>
            </w:tr>
            <w:tr w14:paraId="6C39B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413" w:type="dxa"/>
                  <w:shd w:val="clear" w:color="auto" w:fill="auto"/>
                </w:tcPr>
                <w:p w14:paraId="32AD8E42">
                  <w:pPr>
                    <w:snapToGrid w:val="0"/>
                    <w:spacing w:before="60"/>
                    <w:jc w:val="center"/>
                    <w:rPr>
                      <w:rFonts w:ascii="Times New Roman" w:hAnsi="Times New Roman" w:cs="Times New Roman"/>
                      <w:color w:val="auto"/>
                      <w:szCs w:val="21"/>
                    </w:rPr>
                  </w:pPr>
                  <w:r>
                    <w:rPr>
                      <w:rFonts w:ascii="Times New Roman" w:hAnsi="Times New Roman" w:cs="Times New Roman"/>
                      <w:color w:val="auto"/>
                      <w:szCs w:val="21"/>
                    </w:rPr>
                    <w:t>最高允许排放浓度，mg/Nm</w:t>
                  </w:r>
                  <w:r>
                    <w:rPr>
                      <w:rFonts w:ascii="Times New Roman" w:hAnsi="Times New Roman" w:cs="Times New Roman"/>
                      <w:color w:val="auto"/>
                      <w:szCs w:val="21"/>
                      <w:vertAlign w:val="superscript"/>
                    </w:rPr>
                    <w:t>3</w:t>
                  </w:r>
                </w:p>
              </w:tc>
              <w:tc>
                <w:tcPr>
                  <w:tcW w:w="5091" w:type="dxa"/>
                  <w:gridSpan w:val="3"/>
                  <w:shd w:val="clear" w:color="auto" w:fill="BEBEBE" w:themeFill="background1" w:themeFillShade="BF"/>
                </w:tcPr>
                <w:p w14:paraId="450FFA1A">
                  <w:pPr>
                    <w:snapToGrid w:val="0"/>
                    <w:spacing w:before="60"/>
                    <w:jc w:val="center"/>
                    <w:rPr>
                      <w:rFonts w:ascii="Times New Roman" w:hAnsi="Times New Roman" w:cs="Times New Roman"/>
                      <w:color w:val="auto"/>
                      <w:szCs w:val="21"/>
                    </w:rPr>
                  </w:pPr>
                  <w:r>
                    <w:rPr>
                      <w:rFonts w:ascii="Times New Roman" w:hAnsi="Times New Roman" w:cs="Times New Roman"/>
                      <w:color w:val="auto"/>
                      <w:szCs w:val="21"/>
                    </w:rPr>
                    <w:t>2.0</w:t>
                  </w:r>
                </w:p>
              </w:tc>
            </w:tr>
            <w:tr w14:paraId="45907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413" w:type="dxa"/>
                  <w:shd w:val="clear" w:color="auto" w:fill="auto"/>
                </w:tcPr>
                <w:p w14:paraId="44C11D1A">
                  <w:pPr>
                    <w:snapToGrid w:val="0"/>
                    <w:spacing w:before="60"/>
                    <w:jc w:val="center"/>
                    <w:rPr>
                      <w:rFonts w:ascii="Times New Roman" w:hAnsi="Times New Roman" w:cs="Times New Roman"/>
                      <w:color w:val="auto"/>
                      <w:szCs w:val="21"/>
                    </w:rPr>
                  </w:pPr>
                  <w:r>
                    <w:rPr>
                      <w:rFonts w:ascii="Times New Roman" w:hAnsi="Times New Roman" w:cs="Times New Roman"/>
                      <w:color w:val="auto"/>
                      <w:szCs w:val="21"/>
                    </w:rPr>
                    <w:t>净化设施最低去除效率，%</w:t>
                  </w:r>
                </w:p>
              </w:tc>
              <w:tc>
                <w:tcPr>
                  <w:tcW w:w="1677" w:type="dxa"/>
                  <w:shd w:val="clear" w:color="auto" w:fill="auto"/>
                </w:tcPr>
                <w:p w14:paraId="18D9B22F">
                  <w:pPr>
                    <w:snapToGrid w:val="0"/>
                    <w:spacing w:before="60"/>
                    <w:jc w:val="center"/>
                    <w:rPr>
                      <w:rFonts w:ascii="Times New Roman" w:hAnsi="Times New Roman" w:cs="Times New Roman"/>
                      <w:color w:val="auto"/>
                      <w:szCs w:val="21"/>
                    </w:rPr>
                  </w:pPr>
                  <w:r>
                    <w:rPr>
                      <w:rFonts w:ascii="Times New Roman" w:hAnsi="Times New Roman" w:cs="Times New Roman"/>
                      <w:color w:val="auto"/>
                      <w:szCs w:val="21"/>
                    </w:rPr>
                    <w:t>85</w:t>
                  </w:r>
                </w:p>
              </w:tc>
              <w:tc>
                <w:tcPr>
                  <w:tcW w:w="1656" w:type="dxa"/>
                  <w:shd w:val="clear" w:color="auto" w:fill="auto"/>
                </w:tcPr>
                <w:p w14:paraId="35A8F07E">
                  <w:pPr>
                    <w:snapToGrid w:val="0"/>
                    <w:spacing w:before="60"/>
                    <w:jc w:val="center"/>
                    <w:rPr>
                      <w:rFonts w:ascii="Times New Roman" w:hAnsi="Times New Roman" w:cs="Times New Roman"/>
                      <w:color w:val="auto"/>
                      <w:szCs w:val="21"/>
                    </w:rPr>
                  </w:pPr>
                  <w:r>
                    <w:rPr>
                      <w:rFonts w:ascii="Times New Roman" w:hAnsi="Times New Roman" w:cs="Times New Roman"/>
                      <w:color w:val="auto"/>
                      <w:szCs w:val="21"/>
                    </w:rPr>
                    <w:t>75</w:t>
                  </w:r>
                </w:p>
              </w:tc>
              <w:tc>
                <w:tcPr>
                  <w:tcW w:w="1758" w:type="dxa"/>
                  <w:shd w:val="clear" w:color="auto" w:fill="BEBEBE" w:themeFill="background1" w:themeFillShade="BF"/>
                </w:tcPr>
                <w:p w14:paraId="683FDFDC">
                  <w:pPr>
                    <w:snapToGrid w:val="0"/>
                    <w:spacing w:before="60"/>
                    <w:jc w:val="center"/>
                    <w:rPr>
                      <w:rFonts w:ascii="Times New Roman" w:hAnsi="Times New Roman" w:cs="Times New Roman"/>
                      <w:color w:val="auto"/>
                      <w:szCs w:val="21"/>
                    </w:rPr>
                  </w:pPr>
                  <w:r>
                    <w:rPr>
                      <w:rFonts w:ascii="Times New Roman" w:hAnsi="Times New Roman" w:cs="Times New Roman"/>
                      <w:color w:val="auto"/>
                      <w:szCs w:val="21"/>
                    </w:rPr>
                    <w:t>60</w:t>
                  </w:r>
                </w:p>
              </w:tc>
            </w:tr>
            <w:tr w14:paraId="43D645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413" w:type="dxa"/>
                  <w:shd w:val="clear" w:color="auto" w:fill="auto"/>
                </w:tcPr>
                <w:p w14:paraId="3E0E8CB1">
                  <w:pPr>
                    <w:snapToGrid w:val="0"/>
                    <w:spacing w:before="60"/>
                    <w:jc w:val="center"/>
                    <w:rPr>
                      <w:rFonts w:ascii="Times New Roman" w:hAnsi="Times New Roman" w:cs="Times New Roman"/>
                      <w:color w:val="auto"/>
                      <w:szCs w:val="21"/>
                    </w:rPr>
                  </w:pPr>
                  <w:r>
                    <w:rPr>
                      <w:rFonts w:hint="eastAsia" w:ascii="Times New Roman" w:hAnsi="Times New Roman" w:cs="Times New Roman"/>
                      <w:color w:val="auto"/>
                      <w:szCs w:val="21"/>
                    </w:rPr>
                    <w:t>单个灶头基准风量m</w:t>
                  </w:r>
                  <w:r>
                    <w:rPr>
                      <w:rFonts w:hint="eastAsia" w:ascii="Times New Roman" w:hAnsi="Times New Roman" w:cs="Times New Roman"/>
                      <w:color w:val="auto"/>
                      <w:szCs w:val="21"/>
                      <w:vertAlign w:val="superscript"/>
                    </w:rPr>
                    <w:t>3</w:t>
                  </w:r>
                  <w:r>
                    <w:rPr>
                      <w:rFonts w:hint="eastAsia" w:ascii="Times New Roman" w:hAnsi="Times New Roman" w:cs="Times New Roman"/>
                      <w:color w:val="auto"/>
                      <w:szCs w:val="21"/>
                    </w:rPr>
                    <w:t>/h</w:t>
                  </w:r>
                </w:p>
              </w:tc>
              <w:tc>
                <w:tcPr>
                  <w:tcW w:w="5091" w:type="dxa"/>
                  <w:gridSpan w:val="3"/>
                  <w:shd w:val="clear" w:color="auto" w:fill="auto"/>
                </w:tcPr>
                <w:p w14:paraId="5DA7940F">
                  <w:pPr>
                    <w:snapToGrid w:val="0"/>
                    <w:spacing w:before="60"/>
                    <w:jc w:val="center"/>
                    <w:rPr>
                      <w:rFonts w:ascii="Times New Roman" w:hAnsi="Times New Roman" w:cs="Times New Roman"/>
                      <w:color w:val="auto"/>
                      <w:szCs w:val="21"/>
                    </w:rPr>
                  </w:pPr>
                  <w:r>
                    <w:rPr>
                      <w:rFonts w:hint="eastAsia" w:ascii="Times New Roman" w:hAnsi="Times New Roman" w:cs="Times New Roman"/>
                      <w:color w:val="auto"/>
                      <w:szCs w:val="21"/>
                    </w:rPr>
                    <w:t>2000</w:t>
                  </w:r>
                </w:p>
              </w:tc>
            </w:tr>
          </w:tbl>
          <w:p w14:paraId="608B593A">
            <w:pPr>
              <w:spacing w:line="500" w:lineRule="exact"/>
              <w:rPr>
                <w:rFonts w:ascii="Times New Roman" w:hAnsi="Times New Roman"/>
                <w:b/>
                <w:bCs/>
                <w:color w:val="auto"/>
                <w:sz w:val="24"/>
              </w:rPr>
            </w:pPr>
            <w:r>
              <w:rPr>
                <w:rFonts w:hint="eastAsia" w:ascii="Times New Roman" w:hAnsi="Times New Roman" w:cs="Times New Roman"/>
                <w:b/>
                <w:bCs/>
                <w:color w:val="auto"/>
                <w:sz w:val="24"/>
                <w:szCs w:val="24"/>
              </w:rPr>
              <w:t>3.3.</w:t>
            </w:r>
            <w:r>
              <w:rPr>
                <w:rFonts w:hint="eastAsia" w:ascii="Times New Roman" w:hAnsi="Times New Roman" w:cs="Times New Roman"/>
                <w:b/>
                <w:bCs/>
                <w:color w:val="auto"/>
                <w:sz w:val="24"/>
                <w:szCs w:val="24"/>
                <w:lang w:val="en-US" w:eastAsia="zh-CN"/>
              </w:rPr>
              <w:t xml:space="preserve">2 </w:t>
            </w:r>
            <w:r>
              <w:rPr>
                <w:rFonts w:ascii="Times New Roman" w:hAnsi="Times New Roman"/>
                <w:b/>
                <w:bCs/>
                <w:color w:val="auto"/>
                <w:sz w:val="24"/>
              </w:rPr>
              <w:t>废水</w:t>
            </w:r>
          </w:p>
          <w:p w14:paraId="2169E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sz w:val="24"/>
                <w:szCs w:val="24"/>
                <w:highlight w:val="none"/>
              </w:rPr>
            </w:pPr>
            <w:r>
              <w:rPr>
                <w:rFonts w:hint="eastAsia" w:ascii="Times New Roman" w:hAnsi="Times New Roman"/>
                <w:color w:val="auto"/>
                <w:sz w:val="24"/>
                <w:lang w:val="en-US" w:eastAsia="zh-CN"/>
              </w:rPr>
              <w:t>本项目仅排放生活污水，生活污水经隔油池、化粪池预处理后纳管至德清县恒丰污水处理有限公司及湖州碧水源环境科技有限公司集中处理，纳管水质执行《污水综合排放标准》（GB8978-1996）中的三级标准</w:t>
            </w:r>
            <w:r>
              <w:rPr>
                <w:rFonts w:hint="default" w:ascii="Times New Roman" w:hAnsi="Times New Roman" w:cs="Times New Roman"/>
                <w:color w:val="auto"/>
                <w:sz w:val="24"/>
                <w:szCs w:val="24"/>
                <w:highlight w:val="none"/>
              </w:rPr>
              <w:t>，具体见表</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w:t>
            </w:r>
          </w:p>
          <w:p w14:paraId="13D853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表</w:t>
            </w:r>
            <w:r>
              <w:rPr>
                <w:rFonts w:hint="eastAsia" w:ascii="Times New Roman" w:hAnsi="Times New Roman" w:cs="Times New Roman"/>
                <w:b/>
                <w:color w:val="auto"/>
                <w:szCs w:val="21"/>
                <w:highlight w:val="none"/>
                <w:lang w:val="en-US" w:eastAsia="zh-CN"/>
              </w:rPr>
              <w:t>3</w:t>
            </w:r>
            <w:r>
              <w:rPr>
                <w:rFonts w:hint="default" w:ascii="Times New Roman" w:hAnsi="Times New Roman" w:cs="Times New Roman"/>
                <w:b/>
                <w:color w:val="auto"/>
                <w:szCs w:val="21"/>
                <w:highlight w:val="none"/>
              </w:rPr>
              <w:t>-</w:t>
            </w:r>
            <w:r>
              <w:rPr>
                <w:rFonts w:hint="eastAsia" w:ascii="Times New Roman" w:hAnsi="Times New Roman" w:cs="Times New Roman"/>
                <w:b/>
                <w:color w:val="auto"/>
                <w:szCs w:val="21"/>
                <w:highlight w:val="none"/>
                <w:lang w:val="en-US" w:eastAsia="zh-CN"/>
              </w:rPr>
              <w:t>9</w:t>
            </w:r>
            <w:r>
              <w:rPr>
                <w:rFonts w:hint="default"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lang w:val="en-US" w:eastAsia="zh-CN"/>
              </w:rPr>
              <w:t>《污水综合排放标准》（GB8978-1996）</w:t>
            </w:r>
          </w:p>
          <w:p w14:paraId="79A9B91B">
            <w:pPr>
              <w:keepNext w:val="0"/>
              <w:keepLines w:val="0"/>
              <w:pageBreakBefore w:val="0"/>
              <w:widowControl w:val="0"/>
              <w:tabs>
                <w:tab w:val="left" w:pos="3131"/>
                <w:tab w:val="right" w:pos="7989"/>
              </w:tabs>
              <w:kinsoku/>
              <w:wordWrap/>
              <w:overflowPunct/>
              <w:topLinePunct w:val="0"/>
              <w:autoSpaceDE/>
              <w:autoSpaceDN/>
              <w:bidi w:val="0"/>
              <w:adjustRightInd/>
              <w:snapToGrid/>
              <w:spacing w:line="240" w:lineRule="auto"/>
              <w:ind w:right="210" w:firstLine="539"/>
              <w:jc w:val="right"/>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ab/>
            </w:r>
            <w:r>
              <w:rPr>
                <w:rFonts w:hint="default" w:ascii="Times New Roman" w:hAnsi="Times New Roman" w:cs="Times New Roman"/>
                <w:color w:val="FF0000"/>
                <w:szCs w:val="21"/>
                <w:highlight w:val="none"/>
              </w:rPr>
              <w:tab/>
            </w:r>
            <w:r>
              <w:rPr>
                <w:rFonts w:hint="default" w:ascii="Times New Roman" w:hAnsi="Times New Roman" w:cs="Times New Roman"/>
                <w:color w:val="FF0000"/>
                <w:szCs w:val="21"/>
                <w:highlight w:val="none"/>
              </w:rPr>
              <w:t xml:space="preserve">         </w:t>
            </w:r>
            <w:r>
              <w:rPr>
                <w:rFonts w:hint="default" w:ascii="Times New Roman" w:hAnsi="Times New Roman" w:cs="Times New Roman"/>
                <w:color w:val="auto"/>
                <w:szCs w:val="21"/>
                <w:highlight w:val="none"/>
              </w:rPr>
              <w:t xml:space="preserve">  单位：mg/L（除pH外）</w:t>
            </w:r>
          </w:p>
          <w:tbl>
            <w:tblPr>
              <w:tblStyle w:val="23"/>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1"/>
              <w:gridCol w:w="1116"/>
              <w:gridCol w:w="1084"/>
              <w:gridCol w:w="1222"/>
              <w:gridCol w:w="1005"/>
              <w:gridCol w:w="924"/>
              <w:gridCol w:w="705"/>
              <w:gridCol w:w="1147"/>
            </w:tblGrid>
            <w:tr w14:paraId="508A12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01" w:type="dxa"/>
                  <w:vAlign w:val="center"/>
                </w:tcPr>
                <w:p w14:paraId="1A9D22D4">
                  <w:pPr>
                    <w:adjustRightInd w:val="0"/>
                    <w:snapToGrid w:val="0"/>
                    <w:jc w:val="center"/>
                    <w:rPr>
                      <w:rFonts w:ascii="Times New Roman" w:hAnsi="Times New Roman" w:cs="Times New Roman"/>
                      <w:b/>
                      <w:color w:val="auto"/>
                    </w:rPr>
                  </w:pPr>
                  <w:r>
                    <w:rPr>
                      <w:rFonts w:ascii="Times New Roman" w:hAnsi="Times New Roman" w:cs="Times New Roman"/>
                      <w:b/>
                      <w:color w:val="auto"/>
                    </w:rPr>
                    <w:t>项  目</w:t>
                  </w:r>
                </w:p>
              </w:tc>
              <w:tc>
                <w:tcPr>
                  <w:tcW w:w="1116" w:type="dxa"/>
                  <w:vAlign w:val="center"/>
                </w:tcPr>
                <w:p w14:paraId="1DB8DEA5">
                  <w:pPr>
                    <w:adjustRightInd w:val="0"/>
                    <w:snapToGrid w:val="0"/>
                    <w:jc w:val="center"/>
                    <w:rPr>
                      <w:rFonts w:ascii="Times New Roman" w:hAnsi="Times New Roman" w:cs="Times New Roman"/>
                      <w:bCs/>
                      <w:color w:val="auto"/>
                    </w:rPr>
                  </w:pPr>
                  <w:r>
                    <w:rPr>
                      <w:rFonts w:ascii="Times New Roman" w:hAnsi="Times New Roman" w:cs="Times New Roman"/>
                      <w:bCs/>
                      <w:color w:val="auto"/>
                    </w:rPr>
                    <w:t>pH</w:t>
                  </w:r>
                </w:p>
              </w:tc>
              <w:tc>
                <w:tcPr>
                  <w:tcW w:w="1084" w:type="dxa"/>
                  <w:vAlign w:val="center"/>
                </w:tcPr>
                <w:p w14:paraId="6D8728B3">
                  <w:pPr>
                    <w:adjustRightInd w:val="0"/>
                    <w:snapToGrid w:val="0"/>
                    <w:jc w:val="center"/>
                    <w:rPr>
                      <w:rFonts w:ascii="Times New Roman" w:hAnsi="Times New Roman" w:cs="Times New Roman"/>
                      <w:bCs/>
                      <w:color w:val="auto"/>
                    </w:rPr>
                  </w:pPr>
                  <w:r>
                    <w:rPr>
                      <w:rFonts w:ascii="Times New Roman" w:hAnsi="Times New Roman" w:cs="Times New Roman"/>
                      <w:bCs/>
                      <w:color w:val="auto"/>
                    </w:rPr>
                    <w:t>COD</w:t>
                  </w:r>
                  <w:r>
                    <w:rPr>
                      <w:rFonts w:ascii="Times New Roman" w:hAnsi="Times New Roman" w:cs="Times New Roman"/>
                      <w:bCs/>
                      <w:color w:val="auto"/>
                      <w:vertAlign w:val="subscript"/>
                    </w:rPr>
                    <w:t>Cr</w:t>
                  </w:r>
                </w:p>
              </w:tc>
              <w:tc>
                <w:tcPr>
                  <w:tcW w:w="1222" w:type="dxa"/>
                  <w:vAlign w:val="center"/>
                </w:tcPr>
                <w:p w14:paraId="21299FA3">
                  <w:pPr>
                    <w:adjustRightInd w:val="0"/>
                    <w:snapToGrid w:val="0"/>
                    <w:jc w:val="center"/>
                    <w:rPr>
                      <w:rFonts w:ascii="Times New Roman" w:hAnsi="Times New Roman" w:cs="Times New Roman"/>
                      <w:bCs/>
                      <w:color w:val="auto"/>
                    </w:rPr>
                  </w:pPr>
                  <w:r>
                    <w:rPr>
                      <w:rFonts w:ascii="Times New Roman" w:hAnsi="Times New Roman" w:cs="Times New Roman"/>
                      <w:bCs/>
                      <w:color w:val="auto"/>
                    </w:rPr>
                    <w:t>BOD</w:t>
                  </w:r>
                  <w:r>
                    <w:rPr>
                      <w:rFonts w:ascii="Times New Roman" w:hAnsi="Times New Roman" w:cs="Times New Roman"/>
                      <w:bCs/>
                      <w:color w:val="auto"/>
                      <w:vertAlign w:val="subscript"/>
                    </w:rPr>
                    <w:t>5</w:t>
                  </w:r>
                </w:p>
              </w:tc>
              <w:tc>
                <w:tcPr>
                  <w:tcW w:w="1005" w:type="dxa"/>
                  <w:vAlign w:val="center"/>
                </w:tcPr>
                <w:p w14:paraId="12A6A5CC">
                  <w:pPr>
                    <w:adjustRightInd w:val="0"/>
                    <w:snapToGrid w:val="0"/>
                    <w:jc w:val="center"/>
                    <w:rPr>
                      <w:rFonts w:ascii="Times New Roman" w:hAnsi="Times New Roman" w:cs="Times New Roman"/>
                      <w:bCs/>
                      <w:color w:val="auto"/>
                    </w:rPr>
                  </w:pPr>
                  <w:r>
                    <w:rPr>
                      <w:rFonts w:ascii="Times New Roman" w:hAnsi="Times New Roman" w:cs="Times New Roman"/>
                      <w:bCs/>
                      <w:color w:val="auto"/>
                    </w:rPr>
                    <w:t>SS</w:t>
                  </w:r>
                </w:p>
              </w:tc>
              <w:tc>
                <w:tcPr>
                  <w:tcW w:w="924" w:type="dxa"/>
                  <w:vAlign w:val="center"/>
                </w:tcPr>
                <w:p w14:paraId="057099B7">
                  <w:pPr>
                    <w:adjustRightInd w:val="0"/>
                    <w:snapToGrid w:val="0"/>
                    <w:jc w:val="center"/>
                    <w:rPr>
                      <w:rFonts w:ascii="Times New Roman" w:hAnsi="Times New Roman" w:cs="Times New Roman"/>
                      <w:bCs/>
                      <w:color w:val="auto"/>
                    </w:rPr>
                  </w:pPr>
                  <w:r>
                    <w:rPr>
                      <w:rFonts w:ascii="Times New Roman" w:hAnsi="Times New Roman" w:cs="Times New Roman"/>
                      <w:bCs/>
                      <w:color w:val="auto"/>
                    </w:rPr>
                    <w:t>NH</w:t>
                  </w:r>
                  <w:r>
                    <w:rPr>
                      <w:rFonts w:ascii="Times New Roman" w:hAnsi="Times New Roman" w:cs="Times New Roman"/>
                      <w:bCs/>
                      <w:color w:val="auto"/>
                      <w:vertAlign w:val="subscript"/>
                    </w:rPr>
                    <w:t>3</w:t>
                  </w:r>
                  <w:r>
                    <w:rPr>
                      <w:rFonts w:ascii="Times New Roman" w:hAnsi="Times New Roman" w:cs="Times New Roman"/>
                      <w:bCs/>
                      <w:color w:val="auto"/>
                    </w:rPr>
                    <w:t>-N</w:t>
                  </w:r>
                </w:p>
              </w:tc>
              <w:tc>
                <w:tcPr>
                  <w:tcW w:w="705" w:type="dxa"/>
                  <w:tcBorders>
                    <w:top w:val="single" w:color="auto" w:sz="4" w:space="0"/>
                    <w:right w:val="single" w:color="auto" w:sz="4" w:space="0"/>
                  </w:tcBorders>
                  <w:vAlign w:val="center"/>
                </w:tcPr>
                <w:p w14:paraId="4362C0BB">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TP</w:t>
                  </w:r>
                </w:p>
              </w:tc>
              <w:tc>
                <w:tcPr>
                  <w:tcW w:w="1147" w:type="dxa"/>
                  <w:tcBorders>
                    <w:top w:val="single" w:color="auto" w:sz="4" w:space="0"/>
                    <w:right w:val="single" w:color="auto" w:sz="4" w:space="0"/>
                  </w:tcBorders>
                  <w:vAlign w:val="center"/>
                </w:tcPr>
                <w:p w14:paraId="13BE016D">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动植物油</w:t>
                  </w:r>
                </w:p>
              </w:tc>
            </w:tr>
            <w:tr w14:paraId="77FEF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01" w:type="dxa"/>
                  <w:vAlign w:val="center"/>
                </w:tcPr>
                <w:p w14:paraId="028FFC67">
                  <w:pPr>
                    <w:adjustRightInd w:val="0"/>
                    <w:snapToGrid w:val="0"/>
                    <w:jc w:val="center"/>
                    <w:rPr>
                      <w:rFonts w:ascii="Times New Roman" w:hAnsi="Times New Roman" w:cs="Times New Roman"/>
                      <w:b/>
                      <w:color w:val="auto"/>
                    </w:rPr>
                  </w:pPr>
                  <w:r>
                    <w:rPr>
                      <w:rFonts w:ascii="Times New Roman" w:hAnsi="Times New Roman" w:cs="Times New Roman"/>
                      <w:b/>
                      <w:color w:val="auto"/>
                    </w:rPr>
                    <w:t>三级标准</w:t>
                  </w:r>
                </w:p>
              </w:tc>
              <w:tc>
                <w:tcPr>
                  <w:tcW w:w="1116" w:type="dxa"/>
                  <w:vAlign w:val="center"/>
                </w:tcPr>
                <w:p w14:paraId="097EC966">
                  <w:pPr>
                    <w:adjustRightInd w:val="0"/>
                    <w:snapToGrid w:val="0"/>
                    <w:jc w:val="center"/>
                    <w:rPr>
                      <w:rFonts w:ascii="Times New Roman" w:hAnsi="Times New Roman" w:cs="Times New Roman"/>
                      <w:color w:val="auto"/>
                    </w:rPr>
                  </w:pPr>
                  <w:r>
                    <w:rPr>
                      <w:rFonts w:ascii="Times New Roman" w:hAnsi="Times New Roman" w:cs="Times New Roman"/>
                      <w:color w:val="auto"/>
                    </w:rPr>
                    <w:t>6～9</w:t>
                  </w:r>
                </w:p>
              </w:tc>
              <w:tc>
                <w:tcPr>
                  <w:tcW w:w="1084" w:type="dxa"/>
                  <w:vAlign w:val="center"/>
                </w:tcPr>
                <w:p w14:paraId="26C6E2DB">
                  <w:pPr>
                    <w:adjustRightInd w:val="0"/>
                    <w:snapToGrid w:val="0"/>
                    <w:jc w:val="center"/>
                    <w:rPr>
                      <w:rFonts w:ascii="Times New Roman" w:hAnsi="Times New Roman" w:cs="Times New Roman"/>
                      <w:color w:val="auto"/>
                    </w:rPr>
                  </w:pPr>
                  <w:r>
                    <w:rPr>
                      <w:rFonts w:ascii="Times New Roman" w:hAnsi="Times New Roman" w:cs="Times New Roman"/>
                      <w:color w:val="auto"/>
                    </w:rPr>
                    <w:t>≤500</w:t>
                  </w:r>
                </w:p>
              </w:tc>
              <w:tc>
                <w:tcPr>
                  <w:tcW w:w="1222" w:type="dxa"/>
                  <w:vAlign w:val="center"/>
                </w:tcPr>
                <w:p w14:paraId="66491BBF">
                  <w:pPr>
                    <w:adjustRightInd w:val="0"/>
                    <w:snapToGrid w:val="0"/>
                    <w:jc w:val="center"/>
                    <w:rPr>
                      <w:rFonts w:ascii="Times New Roman" w:hAnsi="Times New Roman" w:cs="Times New Roman"/>
                      <w:color w:val="auto"/>
                    </w:rPr>
                  </w:pPr>
                  <w:r>
                    <w:rPr>
                      <w:rFonts w:ascii="Times New Roman" w:hAnsi="Times New Roman" w:cs="Times New Roman"/>
                      <w:color w:val="auto"/>
                    </w:rPr>
                    <w:t>≤300</w:t>
                  </w:r>
                </w:p>
              </w:tc>
              <w:tc>
                <w:tcPr>
                  <w:tcW w:w="1005" w:type="dxa"/>
                  <w:vAlign w:val="center"/>
                </w:tcPr>
                <w:p w14:paraId="599E30BA">
                  <w:pPr>
                    <w:adjustRightInd w:val="0"/>
                    <w:snapToGrid w:val="0"/>
                    <w:jc w:val="center"/>
                    <w:rPr>
                      <w:rFonts w:ascii="Times New Roman" w:hAnsi="Times New Roman" w:cs="Times New Roman"/>
                      <w:color w:val="auto"/>
                    </w:rPr>
                  </w:pPr>
                  <w:r>
                    <w:rPr>
                      <w:rFonts w:ascii="Times New Roman" w:hAnsi="Times New Roman" w:cs="Times New Roman"/>
                      <w:color w:val="auto"/>
                    </w:rPr>
                    <w:t>≤400</w:t>
                  </w:r>
                </w:p>
              </w:tc>
              <w:tc>
                <w:tcPr>
                  <w:tcW w:w="924" w:type="dxa"/>
                  <w:vAlign w:val="center"/>
                </w:tcPr>
                <w:p w14:paraId="0B4FE0E4">
                  <w:pPr>
                    <w:adjustRightInd w:val="0"/>
                    <w:snapToGrid w:val="0"/>
                    <w:jc w:val="center"/>
                    <w:rPr>
                      <w:rFonts w:ascii="Times New Roman" w:hAnsi="Times New Roman" w:cs="Times New Roman"/>
                      <w:color w:val="auto"/>
                    </w:rPr>
                  </w:pPr>
                  <w:r>
                    <w:rPr>
                      <w:rFonts w:ascii="Times New Roman" w:hAnsi="Times New Roman" w:cs="Times New Roman"/>
                      <w:color w:val="auto"/>
                    </w:rPr>
                    <w:t>≤35</w:t>
                  </w:r>
                </w:p>
              </w:tc>
              <w:tc>
                <w:tcPr>
                  <w:tcW w:w="705" w:type="dxa"/>
                  <w:tcBorders>
                    <w:right w:val="single" w:color="auto" w:sz="4" w:space="0"/>
                  </w:tcBorders>
                  <w:vAlign w:val="center"/>
                </w:tcPr>
                <w:p w14:paraId="3B48ADC4">
                  <w:pPr>
                    <w:adjustRightInd w:val="0"/>
                    <w:snapToGrid w:val="0"/>
                    <w:jc w:val="center"/>
                    <w:rPr>
                      <w:rFonts w:ascii="Times New Roman" w:hAnsi="Times New Roman" w:cs="Times New Roman"/>
                      <w:color w:val="auto"/>
                    </w:rPr>
                  </w:pPr>
                  <w:r>
                    <w:rPr>
                      <w:rFonts w:ascii="Times New Roman" w:hAnsi="Times New Roman" w:cs="Times New Roman"/>
                      <w:color w:val="auto"/>
                    </w:rPr>
                    <w:t>≤8</w:t>
                  </w:r>
                </w:p>
              </w:tc>
              <w:tc>
                <w:tcPr>
                  <w:tcW w:w="1147" w:type="dxa"/>
                  <w:tcBorders>
                    <w:right w:val="single" w:color="auto" w:sz="4" w:space="0"/>
                  </w:tcBorders>
                  <w:vAlign w:val="center"/>
                </w:tcPr>
                <w:p w14:paraId="00DABF75">
                  <w:pPr>
                    <w:adjustRightInd w:val="0"/>
                    <w:snapToGrid w:val="0"/>
                    <w:jc w:val="center"/>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100</w:t>
                  </w:r>
                </w:p>
              </w:tc>
            </w:tr>
          </w:tbl>
          <w:p w14:paraId="6EBEF745">
            <w:pPr>
              <w:spacing w:line="500" w:lineRule="exact"/>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德清县恒丰污水处理有限公司及湖州碧水源环境科技有限公司尾水排放执行《城镇</w:t>
            </w:r>
          </w:p>
          <w:p w14:paraId="75693651">
            <w:pPr>
              <w:spacing w:line="500" w:lineRule="exact"/>
              <w:rPr>
                <w:rFonts w:hint="eastAsia" w:ascii="Times New Roman" w:hAnsi="Times New Roman"/>
                <w:color w:val="auto"/>
                <w:sz w:val="24"/>
                <w:lang w:val="en-US" w:eastAsia="zh-CN"/>
              </w:rPr>
            </w:pPr>
            <w:r>
              <w:rPr>
                <w:rFonts w:hint="eastAsia" w:ascii="Times New Roman" w:hAnsi="Times New Roman"/>
                <w:color w:val="auto"/>
                <w:sz w:val="24"/>
                <w:lang w:val="en-US" w:eastAsia="zh-CN"/>
              </w:rPr>
              <w:t>污水处理厂污染物排放标准》（GB18918-2002），其中COD</w:t>
            </w:r>
            <w:r>
              <w:rPr>
                <w:rFonts w:hint="eastAsia" w:ascii="Times New Roman" w:hAnsi="Times New Roman"/>
                <w:color w:val="auto"/>
                <w:sz w:val="24"/>
                <w:vertAlign w:val="subscript"/>
                <w:lang w:val="en-US" w:eastAsia="zh-CN"/>
              </w:rPr>
              <w:t>Cr</w:t>
            </w:r>
            <w:r>
              <w:rPr>
                <w:rFonts w:hint="eastAsia" w:ascii="Times New Roman" w:hAnsi="Times New Roman"/>
                <w:color w:val="auto"/>
                <w:sz w:val="24"/>
                <w:lang w:val="en-US" w:eastAsia="zh-CN"/>
              </w:rPr>
              <w:t>、氨氮、总磷、总氮执</w:t>
            </w:r>
          </w:p>
          <w:p w14:paraId="0A642530">
            <w:pPr>
              <w:spacing w:line="500" w:lineRule="exact"/>
              <w:rPr>
                <w:rFonts w:hint="eastAsia" w:ascii="Times New Roman" w:hAnsi="Times New Roman"/>
                <w:color w:val="auto"/>
                <w:sz w:val="24"/>
                <w:lang w:val="en-US" w:eastAsia="zh-CN"/>
              </w:rPr>
            </w:pPr>
            <w:r>
              <w:rPr>
                <w:rFonts w:hint="eastAsia" w:ascii="Times New Roman" w:hAnsi="Times New Roman"/>
                <w:color w:val="auto"/>
                <w:sz w:val="24"/>
                <w:lang w:val="en-US" w:eastAsia="zh-CN"/>
              </w:rPr>
              <w:t>行《城镇污水处理厂主要水污染物排放标准》（DB33/2169-2018）中现有城镇污水处理</w:t>
            </w:r>
          </w:p>
          <w:p w14:paraId="005FF18E">
            <w:pPr>
              <w:spacing w:line="500" w:lineRule="exact"/>
              <w:rPr>
                <w:rFonts w:hint="eastAsia" w:ascii="Times New Roman" w:hAnsi="Times New Roman"/>
                <w:color w:val="auto"/>
                <w:sz w:val="24"/>
                <w:lang w:val="en-US" w:eastAsia="zh-CN"/>
              </w:rPr>
            </w:pPr>
            <w:r>
              <w:rPr>
                <w:rFonts w:hint="eastAsia" w:ascii="Times New Roman" w:hAnsi="Times New Roman"/>
                <w:color w:val="auto"/>
                <w:sz w:val="24"/>
                <w:lang w:val="en-US" w:eastAsia="zh-CN"/>
              </w:rPr>
              <w:t>厂主要水污染物排放限值，</w:t>
            </w:r>
            <w:r>
              <w:rPr>
                <w:rFonts w:hint="default" w:ascii="Times New Roman" w:hAnsi="Times New Roman" w:cs="Times New Roman"/>
                <w:color w:val="auto"/>
                <w:sz w:val="24"/>
                <w:szCs w:val="24"/>
                <w:highlight w:val="none"/>
              </w:rPr>
              <w:t>具体见表</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w:t>
            </w:r>
          </w:p>
          <w:p w14:paraId="03740673">
            <w:pPr>
              <w:spacing w:line="460" w:lineRule="exact"/>
              <w:jc w:val="center"/>
              <w:rPr>
                <w:rFonts w:hint="default" w:ascii="Times New Roman" w:hAnsi="Times New Roman" w:eastAsiaTheme="minorEastAsia"/>
                <w:b/>
                <w:color w:val="FF0000"/>
                <w:szCs w:val="21"/>
                <w:lang w:val="en-US" w:eastAsia="zh-CN"/>
              </w:rPr>
            </w:pPr>
            <w:r>
              <w:rPr>
                <w:rFonts w:ascii="Times New Roman" w:hAnsi="Times New Roman"/>
                <w:b/>
                <w:color w:val="auto"/>
                <w:szCs w:val="21"/>
              </w:rPr>
              <w:t>表</w:t>
            </w:r>
            <w:r>
              <w:rPr>
                <w:rFonts w:hint="eastAsia" w:ascii="Times New Roman" w:hAnsi="Times New Roman"/>
                <w:b/>
                <w:color w:val="auto"/>
                <w:szCs w:val="21"/>
                <w:lang w:val="en-US" w:eastAsia="zh-CN"/>
              </w:rPr>
              <w:t>3-10</w:t>
            </w:r>
            <w:r>
              <w:rPr>
                <w:rFonts w:ascii="Times New Roman" w:hAnsi="Times New Roman"/>
                <w:b/>
                <w:color w:val="auto"/>
                <w:szCs w:val="21"/>
              </w:rPr>
              <w:t xml:space="preserve">  德清县恒丰污水处理有限公司</w:t>
            </w:r>
            <w:r>
              <w:rPr>
                <w:rFonts w:hint="eastAsia" w:ascii="Times New Roman" w:hAnsi="Times New Roman"/>
                <w:b/>
                <w:color w:val="auto"/>
                <w:szCs w:val="21"/>
                <w:lang w:val="en-US" w:eastAsia="zh-CN"/>
              </w:rPr>
              <w:t>及湖州碧水源环境科技有限公司尾水排放标准</w:t>
            </w:r>
          </w:p>
          <w:p w14:paraId="73CA33CF">
            <w:pPr>
              <w:ind w:firstLine="4620" w:firstLineChars="2200"/>
              <w:jc w:val="right"/>
              <w:rPr>
                <w:rFonts w:ascii="Times New Roman" w:hAnsi="Times New Roman"/>
                <w:color w:val="FF0000"/>
              </w:rPr>
            </w:pPr>
            <w:r>
              <w:rPr>
                <w:rFonts w:ascii="Times New Roman" w:hAnsi="Times New Roman"/>
                <w:color w:val="FF0000"/>
              </w:rPr>
              <w:t xml:space="preserve">     </w:t>
            </w:r>
            <w:r>
              <w:rPr>
                <w:rFonts w:ascii="Times New Roman" w:hAnsi="Times New Roman"/>
                <w:color w:val="auto"/>
              </w:rPr>
              <w:t xml:space="preserve">   单位： mg/L（pH除外）</w:t>
            </w:r>
          </w:p>
          <w:tbl>
            <w:tblPr>
              <w:tblStyle w:val="23"/>
              <w:tblW w:w="8504" w:type="dxa"/>
              <w:jc w:val="center"/>
              <w:tblBorders>
                <w:top w:val="single" w:color="auto" w:sz="18" w:space="0"/>
                <w:left w:val="single" w:color="auto" w:sz="2" w:space="0"/>
                <w:bottom w:val="single" w:color="auto" w:sz="18"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93"/>
              <w:gridCol w:w="843"/>
              <w:gridCol w:w="1157"/>
              <w:gridCol w:w="1302"/>
              <w:gridCol w:w="931"/>
              <w:gridCol w:w="996"/>
              <w:gridCol w:w="923"/>
              <w:gridCol w:w="1159"/>
            </w:tblGrid>
            <w:tr w14:paraId="564F4D2A">
              <w:tblPrEx>
                <w:tblBorders>
                  <w:top w:val="single" w:color="auto" w:sz="18" w:space="0"/>
                  <w:left w:val="single" w:color="auto" w:sz="2" w:space="0"/>
                  <w:bottom w:val="single" w:color="auto" w:sz="18"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915" w:type="dxa"/>
                  <w:tcBorders>
                    <w:top w:val="single" w:color="auto" w:sz="2" w:space="0"/>
                    <w:bottom w:val="single" w:color="auto" w:sz="2" w:space="0"/>
                  </w:tcBorders>
                  <w:noWrap w:val="0"/>
                  <w:vAlign w:val="center"/>
                </w:tcPr>
                <w:p w14:paraId="7DA8552F">
                  <w:pPr>
                    <w:pStyle w:val="45"/>
                    <w:snapToGrid/>
                    <w:rPr>
                      <w:rFonts w:ascii="Times New Roman" w:hAnsi="Times New Roman"/>
                      <w:color w:val="auto"/>
                      <w:spacing w:val="0"/>
                      <w:szCs w:val="21"/>
                    </w:rPr>
                  </w:pPr>
                  <w:r>
                    <w:rPr>
                      <w:rFonts w:ascii="Times New Roman" w:hAnsi="Times New Roman"/>
                      <w:color w:val="auto"/>
                      <w:spacing w:val="0"/>
                      <w:szCs w:val="21"/>
                    </w:rPr>
                    <w:t>项目</w:t>
                  </w:r>
                </w:p>
              </w:tc>
              <w:tc>
                <w:tcPr>
                  <w:tcW w:w="646" w:type="dxa"/>
                  <w:tcBorders>
                    <w:top w:val="single" w:color="auto" w:sz="2" w:space="0"/>
                    <w:bottom w:val="single" w:color="auto" w:sz="2" w:space="0"/>
                  </w:tcBorders>
                  <w:noWrap w:val="0"/>
                  <w:vAlign w:val="center"/>
                </w:tcPr>
                <w:p w14:paraId="25D1493B">
                  <w:pPr>
                    <w:pStyle w:val="45"/>
                    <w:snapToGrid/>
                    <w:rPr>
                      <w:rFonts w:ascii="Times New Roman" w:hAnsi="Times New Roman"/>
                      <w:bCs/>
                      <w:color w:val="auto"/>
                      <w:spacing w:val="0"/>
                      <w:szCs w:val="21"/>
                    </w:rPr>
                  </w:pPr>
                  <w:r>
                    <w:rPr>
                      <w:rFonts w:ascii="Times New Roman" w:hAnsi="Times New Roman"/>
                      <w:bCs/>
                      <w:color w:val="auto"/>
                      <w:spacing w:val="0"/>
                      <w:szCs w:val="21"/>
                    </w:rPr>
                    <w:t>pH</w:t>
                  </w:r>
                </w:p>
              </w:tc>
              <w:tc>
                <w:tcPr>
                  <w:tcW w:w="887" w:type="dxa"/>
                  <w:tcBorders>
                    <w:top w:val="single" w:color="auto" w:sz="2" w:space="0"/>
                    <w:bottom w:val="single" w:color="auto" w:sz="2" w:space="0"/>
                  </w:tcBorders>
                  <w:noWrap w:val="0"/>
                  <w:vAlign w:val="center"/>
                </w:tcPr>
                <w:p w14:paraId="19FB8502">
                  <w:pPr>
                    <w:pStyle w:val="45"/>
                    <w:snapToGrid/>
                    <w:rPr>
                      <w:rFonts w:ascii="Times New Roman" w:hAnsi="Times New Roman"/>
                      <w:bCs/>
                      <w:color w:val="auto"/>
                      <w:spacing w:val="0"/>
                      <w:szCs w:val="21"/>
                    </w:rPr>
                  </w:pPr>
                  <w:r>
                    <w:rPr>
                      <w:rFonts w:ascii="Times New Roman" w:hAnsi="Times New Roman"/>
                      <w:bCs/>
                      <w:color w:val="auto"/>
                      <w:spacing w:val="0"/>
                      <w:szCs w:val="21"/>
                    </w:rPr>
                    <w:t>COD</w:t>
                  </w:r>
                  <w:r>
                    <w:rPr>
                      <w:rFonts w:ascii="Times New Roman" w:hAnsi="Times New Roman"/>
                      <w:bCs/>
                      <w:color w:val="auto"/>
                      <w:spacing w:val="0"/>
                      <w:szCs w:val="21"/>
                      <w:vertAlign w:val="subscript"/>
                    </w:rPr>
                    <w:t>Cr</w:t>
                  </w:r>
                </w:p>
              </w:tc>
              <w:tc>
                <w:tcPr>
                  <w:tcW w:w="998" w:type="dxa"/>
                  <w:tcBorders>
                    <w:top w:val="single" w:color="auto" w:sz="2" w:space="0"/>
                    <w:bottom w:val="single" w:color="auto" w:sz="2" w:space="0"/>
                  </w:tcBorders>
                  <w:noWrap w:val="0"/>
                  <w:vAlign w:val="center"/>
                </w:tcPr>
                <w:p w14:paraId="5A6DE8CE">
                  <w:pPr>
                    <w:pStyle w:val="45"/>
                    <w:snapToGrid/>
                    <w:rPr>
                      <w:rFonts w:ascii="Times New Roman" w:hAnsi="Times New Roman"/>
                      <w:bCs/>
                      <w:color w:val="auto"/>
                      <w:spacing w:val="0"/>
                      <w:szCs w:val="21"/>
                    </w:rPr>
                  </w:pPr>
                  <w:r>
                    <w:rPr>
                      <w:rFonts w:ascii="Times New Roman" w:hAnsi="Times New Roman"/>
                      <w:bCs/>
                      <w:color w:val="auto"/>
                      <w:spacing w:val="0"/>
                      <w:szCs w:val="21"/>
                    </w:rPr>
                    <w:t>BOD</w:t>
                  </w:r>
                  <w:r>
                    <w:rPr>
                      <w:rFonts w:ascii="Times New Roman" w:hAnsi="Times New Roman"/>
                      <w:bCs/>
                      <w:color w:val="auto"/>
                      <w:spacing w:val="0"/>
                      <w:szCs w:val="21"/>
                      <w:vertAlign w:val="subscript"/>
                    </w:rPr>
                    <w:t>5</w:t>
                  </w:r>
                </w:p>
              </w:tc>
              <w:tc>
                <w:tcPr>
                  <w:tcW w:w="714" w:type="dxa"/>
                  <w:tcBorders>
                    <w:top w:val="single" w:color="auto" w:sz="2" w:space="0"/>
                    <w:bottom w:val="single" w:color="auto" w:sz="2" w:space="0"/>
                  </w:tcBorders>
                  <w:noWrap w:val="0"/>
                  <w:vAlign w:val="center"/>
                </w:tcPr>
                <w:p w14:paraId="2AE9F31F">
                  <w:pPr>
                    <w:pStyle w:val="45"/>
                    <w:snapToGrid/>
                    <w:rPr>
                      <w:rFonts w:ascii="Times New Roman" w:hAnsi="Times New Roman"/>
                      <w:bCs/>
                      <w:color w:val="auto"/>
                      <w:spacing w:val="0"/>
                      <w:szCs w:val="21"/>
                    </w:rPr>
                  </w:pPr>
                  <w:r>
                    <w:rPr>
                      <w:rFonts w:ascii="Times New Roman" w:hAnsi="Times New Roman"/>
                      <w:bCs/>
                      <w:color w:val="auto"/>
                      <w:spacing w:val="0"/>
                      <w:szCs w:val="21"/>
                    </w:rPr>
                    <w:t>SS</w:t>
                  </w:r>
                </w:p>
              </w:tc>
              <w:tc>
                <w:tcPr>
                  <w:tcW w:w="764" w:type="dxa"/>
                  <w:tcBorders>
                    <w:top w:val="single" w:color="auto" w:sz="2" w:space="0"/>
                    <w:bottom w:val="single" w:color="auto" w:sz="2" w:space="0"/>
                    <w:right w:val="single" w:color="auto" w:sz="4" w:space="0"/>
                  </w:tcBorders>
                  <w:noWrap w:val="0"/>
                  <w:vAlign w:val="center"/>
                </w:tcPr>
                <w:p w14:paraId="7E19F26D">
                  <w:pPr>
                    <w:pStyle w:val="45"/>
                    <w:snapToGrid/>
                    <w:rPr>
                      <w:rFonts w:ascii="Times New Roman" w:hAnsi="Times New Roman"/>
                      <w:bCs/>
                      <w:color w:val="auto"/>
                      <w:spacing w:val="0"/>
                      <w:szCs w:val="21"/>
                    </w:rPr>
                  </w:pPr>
                  <w:r>
                    <w:rPr>
                      <w:rFonts w:ascii="Times New Roman" w:hAnsi="Times New Roman"/>
                      <w:bCs/>
                      <w:color w:val="auto"/>
                      <w:spacing w:val="0"/>
                      <w:szCs w:val="21"/>
                    </w:rPr>
                    <w:t>氨氮</w:t>
                  </w:r>
                </w:p>
              </w:tc>
              <w:tc>
                <w:tcPr>
                  <w:tcW w:w="708" w:type="dxa"/>
                  <w:tcBorders>
                    <w:top w:val="single" w:color="auto" w:sz="2" w:space="0"/>
                    <w:bottom w:val="single" w:color="auto" w:sz="2" w:space="0"/>
                    <w:right w:val="single" w:color="auto" w:sz="4" w:space="0"/>
                  </w:tcBorders>
                  <w:noWrap w:val="0"/>
                  <w:vAlign w:val="center"/>
                </w:tcPr>
                <w:p w14:paraId="53FE59D3">
                  <w:pPr>
                    <w:adjustRightInd w:val="0"/>
                    <w:snapToGrid w:val="0"/>
                    <w:jc w:val="center"/>
                    <w:rPr>
                      <w:rFonts w:ascii="Times New Roman" w:hAnsi="Times New Roman"/>
                      <w:bCs/>
                      <w:color w:val="auto"/>
                    </w:rPr>
                  </w:pPr>
                  <w:r>
                    <w:rPr>
                      <w:rFonts w:ascii="Times New Roman" w:hAnsi="Times New Roman"/>
                      <w:bCs/>
                      <w:color w:val="auto"/>
                    </w:rPr>
                    <w:t>总磷</w:t>
                  </w:r>
                </w:p>
              </w:tc>
              <w:tc>
                <w:tcPr>
                  <w:tcW w:w="888" w:type="dxa"/>
                  <w:tcBorders>
                    <w:top w:val="single" w:color="auto" w:sz="2" w:space="0"/>
                    <w:bottom w:val="single" w:color="auto" w:sz="2" w:space="0"/>
                    <w:right w:val="single" w:color="auto" w:sz="4" w:space="0"/>
                  </w:tcBorders>
                  <w:noWrap w:val="0"/>
                  <w:vAlign w:val="center"/>
                </w:tcPr>
                <w:p w14:paraId="353B2FE1">
                  <w:pPr>
                    <w:adjustRightInd w:val="0"/>
                    <w:snapToGrid w:val="0"/>
                    <w:jc w:val="center"/>
                    <w:rPr>
                      <w:rFonts w:hint="eastAsia" w:ascii="Times New Roman" w:hAnsi="Times New Roman" w:eastAsiaTheme="minorEastAsia"/>
                      <w:bCs/>
                      <w:color w:val="auto"/>
                      <w:lang w:eastAsia="zh-CN"/>
                    </w:rPr>
                  </w:pPr>
                  <w:r>
                    <w:rPr>
                      <w:rFonts w:hint="eastAsia" w:ascii="Times New Roman" w:hAnsi="Times New Roman"/>
                      <w:bCs/>
                      <w:color w:val="auto"/>
                      <w:lang w:val="en-US" w:eastAsia="zh-CN"/>
                    </w:rPr>
                    <w:t>动植物油</w:t>
                  </w:r>
                </w:p>
              </w:tc>
            </w:tr>
            <w:tr w14:paraId="12CF5558">
              <w:tblPrEx>
                <w:tblBorders>
                  <w:top w:val="single" w:color="auto" w:sz="18" w:space="0"/>
                  <w:left w:val="single" w:color="auto" w:sz="2" w:space="0"/>
                  <w:bottom w:val="single" w:color="auto" w:sz="18"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915" w:type="dxa"/>
                  <w:tcBorders>
                    <w:top w:val="single" w:color="auto" w:sz="2" w:space="0"/>
                    <w:bottom w:val="single" w:color="auto" w:sz="2" w:space="0"/>
                  </w:tcBorders>
                  <w:noWrap w:val="0"/>
                  <w:vAlign w:val="center"/>
                </w:tcPr>
                <w:p w14:paraId="291E629A">
                  <w:pPr>
                    <w:pStyle w:val="45"/>
                    <w:snapToGrid/>
                    <w:rPr>
                      <w:rFonts w:ascii="Times New Roman" w:hAnsi="Times New Roman"/>
                      <w:color w:val="auto"/>
                      <w:spacing w:val="0"/>
                      <w:szCs w:val="21"/>
                    </w:rPr>
                  </w:pPr>
                  <w:r>
                    <w:rPr>
                      <w:rFonts w:ascii="Times New Roman" w:hAnsi="Times New Roman"/>
                      <w:color w:val="auto"/>
                      <w:spacing w:val="0"/>
                      <w:szCs w:val="21"/>
                    </w:rPr>
                    <w:t>标准值</w:t>
                  </w:r>
                </w:p>
              </w:tc>
              <w:tc>
                <w:tcPr>
                  <w:tcW w:w="646" w:type="dxa"/>
                  <w:tcBorders>
                    <w:top w:val="single" w:color="auto" w:sz="2" w:space="0"/>
                    <w:bottom w:val="single" w:color="auto" w:sz="2" w:space="0"/>
                  </w:tcBorders>
                  <w:noWrap w:val="0"/>
                  <w:vAlign w:val="center"/>
                </w:tcPr>
                <w:p w14:paraId="3F583E79">
                  <w:pPr>
                    <w:jc w:val="center"/>
                    <w:rPr>
                      <w:rFonts w:ascii="Times New Roman" w:hAnsi="Times New Roman"/>
                      <w:color w:val="auto"/>
                    </w:rPr>
                  </w:pPr>
                  <w:r>
                    <w:rPr>
                      <w:rFonts w:ascii="Times New Roman" w:hAnsi="Times New Roman"/>
                      <w:color w:val="auto"/>
                    </w:rPr>
                    <w:t>6-9</w:t>
                  </w:r>
                </w:p>
              </w:tc>
              <w:tc>
                <w:tcPr>
                  <w:tcW w:w="887" w:type="dxa"/>
                  <w:tcBorders>
                    <w:top w:val="single" w:color="auto" w:sz="2" w:space="0"/>
                    <w:bottom w:val="single" w:color="auto" w:sz="2" w:space="0"/>
                  </w:tcBorders>
                  <w:noWrap w:val="0"/>
                  <w:vAlign w:val="center"/>
                </w:tcPr>
                <w:p w14:paraId="784D106F">
                  <w:pPr>
                    <w:jc w:val="center"/>
                    <w:rPr>
                      <w:rFonts w:hint="default" w:ascii="Times New Roman" w:hAnsi="Times New Roman" w:eastAsiaTheme="minorEastAsia"/>
                      <w:color w:val="auto"/>
                      <w:lang w:val="en-US" w:eastAsia="zh-CN"/>
                    </w:rPr>
                  </w:pPr>
                  <w:r>
                    <w:rPr>
                      <w:rFonts w:ascii="Times New Roman" w:hAnsi="Times New Roman"/>
                      <w:color w:val="auto"/>
                    </w:rPr>
                    <w:t>≤</w:t>
                  </w:r>
                  <w:r>
                    <w:rPr>
                      <w:rFonts w:hint="eastAsia" w:ascii="Times New Roman" w:hAnsi="Times New Roman"/>
                      <w:color w:val="auto"/>
                      <w:lang w:val="en-US" w:eastAsia="zh-CN"/>
                    </w:rPr>
                    <w:t>40</w:t>
                  </w:r>
                </w:p>
              </w:tc>
              <w:tc>
                <w:tcPr>
                  <w:tcW w:w="998" w:type="dxa"/>
                  <w:tcBorders>
                    <w:top w:val="single" w:color="auto" w:sz="2" w:space="0"/>
                    <w:bottom w:val="single" w:color="auto" w:sz="2" w:space="0"/>
                  </w:tcBorders>
                  <w:noWrap w:val="0"/>
                  <w:vAlign w:val="center"/>
                </w:tcPr>
                <w:p w14:paraId="0F1A4BD3">
                  <w:pPr>
                    <w:jc w:val="center"/>
                    <w:rPr>
                      <w:rFonts w:ascii="Times New Roman" w:hAnsi="Times New Roman"/>
                      <w:color w:val="auto"/>
                    </w:rPr>
                  </w:pPr>
                  <w:r>
                    <w:rPr>
                      <w:rFonts w:ascii="Times New Roman" w:hAnsi="Times New Roman"/>
                      <w:color w:val="auto"/>
                    </w:rPr>
                    <w:t>≤10</w:t>
                  </w:r>
                </w:p>
              </w:tc>
              <w:tc>
                <w:tcPr>
                  <w:tcW w:w="714" w:type="dxa"/>
                  <w:tcBorders>
                    <w:top w:val="single" w:color="auto" w:sz="2" w:space="0"/>
                    <w:bottom w:val="single" w:color="auto" w:sz="2" w:space="0"/>
                  </w:tcBorders>
                  <w:noWrap w:val="0"/>
                  <w:vAlign w:val="center"/>
                </w:tcPr>
                <w:p w14:paraId="3624D671">
                  <w:pPr>
                    <w:jc w:val="center"/>
                    <w:rPr>
                      <w:rFonts w:ascii="Times New Roman" w:hAnsi="Times New Roman"/>
                      <w:color w:val="auto"/>
                    </w:rPr>
                  </w:pPr>
                  <w:r>
                    <w:rPr>
                      <w:rFonts w:ascii="Times New Roman" w:hAnsi="Times New Roman"/>
                      <w:color w:val="auto"/>
                    </w:rPr>
                    <w:t>≤10</w:t>
                  </w:r>
                </w:p>
              </w:tc>
              <w:tc>
                <w:tcPr>
                  <w:tcW w:w="764" w:type="dxa"/>
                  <w:tcBorders>
                    <w:top w:val="single" w:color="auto" w:sz="2" w:space="0"/>
                    <w:bottom w:val="single" w:color="auto" w:sz="2" w:space="0"/>
                    <w:right w:val="single" w:color="auto" w:sz="4" w:space="0"/>
                  </w:tcBorders>
                  <w:noWrap w:val="0"/>
                  <w:vAlign w:val="center"/>
                </w:tcPr>
                <w:p w14:paraId="70D447BA">
                  <w:pPr>
                    <w:adjustRightInd w:val="0"/>
                    <w:snapToGrid w:val="0"/>
                    <w:jc w:val="center"/>
                    <w:rPr>
                      <w:rFonts w:hint="eastAsia" w:ascii="Times New Roman" w:hAnsi="Times New Roman" w:eastAsiaTheme="minorEastAsia"/>
                      <w:color w:val="auto"/>
                      <w:lang w:eastAsia="zh-CN"/>
                    </w:rPr>
                  </w:pPr>
                  <w:r>
                    <w:rPr>
                      <w:rFonts w:ascii="Times New Roman" w:hAnsi="Times New Roman"/>
                      <w:color w:val="auto"/>
                    </w:rPr>
                    <w:t>≤</w:t>
                  </w:r>
                  <w:r>
                    <w:rPr>
                      <w:rFonts w:hint="eastAsia" w:ascii="Times New Roman" w:hAnsi="Times New Roman"/>
                      <w:color w:val="auto"/>
                      <w:lang w:val="en-US" w:eastAsia="zh-CN"/>
                    </w:rPr>
                    <w:t>2（4）</w:t>
                  </w:r>
                </w:p>
              </w:tc>
              <w:tc>
                <w:tcPr>
                  <w:tcW w:w="708" w:type="dxa"/>
                  <w:tcBorders>
                    <w:top w:val="single" w:color="auto" w:sz="2" w:space="0"/>
                    <w:bottom w:val="single" w:color="auto" w:sz="2" w:space="0"/>
                    <w:right w:val="single" w:color="auto" w:sz="4" w:space="0"/>
                  </w:tcBorders>
                  <w:noWrap w:val="0"/>
                  <w:vAlign w:val="center"/>
                </w:tcPr>
                <w:p w14:paraId="52712D6D">
                  <w:pPr>
                    <w:adjustRightInd w:val="0"/>
                    <w:snapToGrid w:val="0"/>
                    <w:jc w:val="center"/>
                    <w:rPr>
                      <w:rFonts w:hint="eastAsia" w:ascii="Times New Roman" w:hAnsi="Times New Roman" w:eastAsiaTheme="minorEastAsia"/>
                      <w:color w:val="auto"/>
                      <w:lang w:val="en-US" w:eastAsia="zh-CN"/>
                    </w:rPr>
                  </w:pPr>
                  <w:r>
                    <w:rPr>
                      <w:rFonts w:ascii="Times New Roman" w:hAnsi="Times New Roman"/>
                      <w:color w:val="auto"/>
                    </w:rPr>
                    <w:t>≤0.</w:t>
                  </w:r>
                  <w:r>
                    <w:rPr>
                      <w:rFonts w:hint="eastAsia" w:ascii="Times New Roman" w:hAnsi="Times New Roman"/>
                      <w:color w:val="auto"/>
                      <w:lang w:val="en-US" w:eastAsia="zh-CN"/>
                    </w:rPr>
                    <w:t>3</w:t>
                  </w:r>
                </w:p>
              </w:tc>
              <w:tc>
                <w:tcPr>
                  <w:tcW w:w="888" w:type="dxa"/>
                  <w:tcBorders>
                    <w:top w:val="single" w:color="auto" w:sz="2" w:space="0"/>
                    <w:bottom w:val="single" w:color="auto" w:sz="2" w:space="0"/>
                    <w:right w:val="single" w:color="auto" w:sz="4" w:space="0"/>
                  </w:tcBorders>
                  <w:noWrap w:val="0"/>
                  <w:vAlign w:val="center"/>
                </w:tcPr>
                <w:p w14:paraId="2D72F206">
                  <w:pPr>
                    <w:adjustRightInd w:val="0"/>
                    <w:snapToGrid w:val="0"/>
                    <w:jc w:val="center"/>
                    <w:rPr>
                      <w:rFonts w:ascii="Times New Roman" w:hAnsi="Times New Roman"/>
                      <w:color w:val="auto"/>
                    </w:rPr>
                  </w:pPr>
                  <w:r>
                    <w:rPr>
                      <w:rFonts w:ascii="Times New Roman" w:hAnsi="Times New Roman"/>
                      <w:color w:val="auto"/>
                    </w:rPr>
                    <w:t>≤1.0</w:t>
                  </w:r>
                </w:p>
              </w:tc>
            </w:tr>
          </w:tbl>
          <w:p w14:paraId="43CD09B3">
            <w:pPr>
              <w:spacing w:line="460" w:lineRule="exact"/>
              <w:ind w:firstLine="420" w:firstLineChars="200"/>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注：氨氮和总氮括号里数值为每年11月1日至次年3月31日执行。现有项目废水中的氨氮和总磷排放量以污水厂提标后的标准核算。</w:t>
            </w:r>
          </w:p>
          <w:p w14:paraId="4D42EA14">
            <w:pPr>
              <w:spacing w:line="460" w:lineRule="exact"/>
              <w:rPr>
                <w:rFonts w:ascii="Times New Roman" w:hAnsi="Times New Roman"/>
                <w:color w:val="auto"/>
                <w:szCs w:val="21"/>
              </w:rPr>
            </w:pPr>
            <w:r>
              <w:rPr>
                <w:rFonts w:hint="eastAsia" w:ascii="Times New Roman" w:hAnsi="Times New Roman" w:cs="Times New Roman"/>
                <w:b/>
                <w:bCs/>
                <w:color w:val="auto"/>
                <w:sz w:val="24"/>
                <w:szCs w:val="24"/>
              </w:rPr>
              <w:t>3.3.</w:t>
            </w:r>
            <w:r>
              <w:rPr>
                <w:rFonts w:hint="eastAsia" w:ascii="Times New Roman" w:hAnsi="Times New Roman" w:cs="Times New Roman"/>
                <w:b/>
                <w:bCs/>
                <w:color w:val="auto"/>
                <w:sz w:val="24"/>
                <w:szCs w:val="24"/>
                <w:lang w:val="en-US" w:eastAsia="zh-CN"/>
              </w:rPr>
              <w:t xml:space="preserve">3 </w:t>
            </w:r>
            <w:r>
              <w:rPr>
                <w:rFonts w:ascii="Times New Roman" w:hAnsi="Times New Roman"/>
                <w:b/>
                <w:bCs/>
                <w:color w:val="auto"/>
                <w:sz w:val="24"/>
              </w:rPr>
              <w:t>噪声</w:t>
            </w:r>
          </w:p>
          <w:p w14:paraId="1E8EF87B">
            <w:pPr>
              <w:spacing w:line="500" w:lineRule="exact"/>
              <w:ind w:firstLine="480" w:firstLineChars="200"/>
              <w:rPr>
                <w:rFonts w:ascii="Times New Roman" w:hAnsi="Times New Roman"/>
                <w:color w:val="FF0000"/>
              </w:rPr>
            </w:pPr>
            <w:r>
              <w:rPr>
                <w:rFonts w:ascii="Times New Roman" w:hAnsi="Times New Roman"/>
                <w:color w:val="auto"/>
                <w:sz w:val="24"/>
              </w:rPr>
              <w:t>本项目</w:t>
            </w:r>
            <w:r>
              <w:rPr>
                <w:rFonts w:hint="eastAsia" w:ascii="Times New Roman" w:hAnsi="Times New Roman"/>
                <w:color w:val="auto"/>
                <w:sz w:val="24"/>
                <w:lang w:val="en-US" w:eastAsia="zh-CN"/>
              </w:rPr>
              <w:t>位于德清县阜溪街道新丰北路599号</w:t>
            </w:r>
            <w:r>
              <w:rPr>
                <w:rFonts w:ascii="Times New Roman" w:hAnsi="Times New Roman"/>
                <w:color w:val="auto"/>
                <w:sz w:val="24"/>
              </w:rPr>
              <w:t>，属于工业区，营运期厂界噪声排放执行</w:t>
            </w:r>
            <w:r>
              <w:rPr>
                <w:rFonts w:ascii="Times New Roman" w:hAnsi="Times New Roman"/>
                <w:color w:val="auto"/>
                <w:sz w:val="24"/>
                <w:szCs w:val="24"/>
              </w:rPr>
              <w:t>《工业企业厂界环境噪声排放标准》（GB12348-2008）</w:t>
            </w:r>
            <w:r>
              <w:rPr>
                <w:rFonts w:ascii="Times New Roman" w:hAnsi="Times New Roman"/>
                <w:color w:val="auto"/>
                <w:sz w:val="24"/>
              </w:rPr>
              <w:t>中的3类标准，见表</w:t>
            </w:r>
            <w:r>
              <w:rPr>
                <w:rFonts w:hint="eastAsia" w:ascii="Times New Roman" w:hAnsi="Times New Roman"/>
                <w:color w:val="auto"/>
                <w:sz w:val="24"/>
                <w:lang w:val="en-US" w:eastAsia="zh-CN"/>
              </w:rPr>
              <w:t>3-11</w:t>
            </w:r>
            <w:r>
              <w:rPr>
                <w:rFonts w:ascii="Times New Roman" w:hAnsi="Times New Roman"/>
                <w:color w:val="auto"/>
                <w:sz w:val="24"/>
              </w:rPr>
              <w:t>。</w:t>
            </w:r>
          </w:p>
          <w:p w14:paraId="26ECFA12">
            <w:pPr>
              <w:spacing w:line="460" w:lineRule="exact"/>
              <w:jc w:val="center"/>
              <w:rPr>
                <w:rFonts w:ascii="Times New Roman" w:hAnsi="Times New Roman"/>
                <w:b/>
                <w:color w:val="auto"/>
                <w:szCs w:val="21"/>
              </w:rPr>
            </w:pPr>
            <w:r>
              <w:rPr>
                <w:rFonts w:ascii="Times New Roman" w:hAnsi="Times New Roman"/>
                <w:b/>
                <w:color w:val="auto"/>
                <w:szCs w:val="21"/>
              </w:rPr>
              <w:t>表</w:t>
            </w:r>
            <w:r>
              <w:rPr>
                <w:rFonts w:hint="eastAsia" w:ascii="Times New Roman" w:hAnsi="Times New Roman"/>
                <w:b/>
                <w:color w:val="auto"/>
                <w:szCs w:val="21"/>
                <w:lang w:val="en-US" w:eastAsia="zh-CN"/>
              </w:rPr>
              <w:t>3-11</w:t>
            </w:r>
            <w:r>
              <w:rPr>
                <w:rFonts w:hint="eastAsia" w:ascii="Times New Roman" w:hAnsi="Times New Roman"/>
                <w:b/>
                <w:color w:val="auto"/>
                <w:szCs w:val="21"/>
              </w:rPr>
              <w:t xml:space="preserve"> </w:t>
            </w:r>
            <w:r>
              <w:rPr>
                <w:rFonts w:ascii="Times New Roman" w:hAnsi="Times New Roman"/>
                <w:b/>
                <w:color w:val="auto"/>
                <w:szCs w:val="21"/>
              </w:rPr>
              <w:t xml:space="preserve"> 《工业企业厂界环境噪声排放标准》（GB12348-2008）3类标准</w:t>
            </w:r>
          </w:p>
          <w:p w14:paraId="57D73E2C">
            <w:pPr>
              <w:ind w:right="315" w:firstLine="420" w:firstLineChars="200"/>
              <w:jc w:val="right"/>
              <w:rPr>
                <w:rFonts w:ascii="Times New Roman" w:hAnsi="Times New Roman"/>
                <w:color w:val="auto"/>
              </w:rPr>
            </w:pPr>
            <w:r>
              <w:rPr>
                <w:rFonts w:ascii="Times New Roman" w:hAnsi="Times New Roman"/>
                <w:color w:val="auto"/>
              </w:rPr>
              <w:t>单位：dB（A）</w:t>
            </w:r>
          </w:p>
          <w:tbl>
            <w:tblPr>
              <w:tblStyle w:val="23"/>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3"/>
              <w:gridCol w:w="4251"/>
            </w:tblGrid>
            <w:tr w14:paraId="720B59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36" w:type="dxa"/>
                  <w:noWrap w:val="0"/>
                  <w:vAlign w:val="center"/>
                </w:tcPr>
                <w:p w14:paraId="1A71E748">
                  <w:pPr>
                    <w:adjustRightInd w:val="0"/>
                    <w:snapToGrid w:val="0"/>
                    <w:jc w:val="center"/>
                    <w:rPr>
                      <w:rFonts w:ascii="Times New Roman" w:hAnsi="Times New Roman"/>
                      <w:color w:val="auto"/>
                    </w:rPr>
                  </w:pPr>
                  <w:r>
                    <w:rPr>
                      <w:rFonts w:hint="eastAsia" w:ascii="Times New Roman" w:hAnsi="Times New Roman"/>
                      <w:color w:val="auto"/>
                    </w:rPr>
                    <w:t>标准类别</w:t>
                  </w:r>
                </w:p>
              </w:tc>
              <w:tc>
                <w:tcPr>
                  <w:tcW w:w="2834" w:type="dxa"/>
                  <w:noWrap w:val="0"/>
                  <w:vAlign w:val="center"/>
                </w:tcPr>
                <w:p w14:paraId="5B9819A2">
                  <w:pPr>
                    <w:adjustRightInd w:val="0"/>
                    <w:snapToGrid w:val="0"/>
                    <w:jc w:val="center"/>
                    <w:rPr>
                      <w:rFonts w:ascii="Times New Roman" w:hAnsi="Times New Roman"/>
                      <w:color w:val="auto"/>
                    </w:rPr>
                  </w:pPr>
                  <w:r>
                    <w:rPr>
                      <w:rFonts w:ascii="Times New Roman" w:hAnsi="Times New Roman"/>
                      <w:color w:val="auto"/>
                    </w:rPr>
                    <w:t>昼   间</w:t>
                  </w:r>
                </w:p>
              </w:tc>
            </w:tr>
            <w:tr w14:paraId="5220A4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36" w:type="dxa"/>
                  <w:noWrap w:val="0"/>
                  <w:vAlign w:val="center"/>
                </w:tcPr>
                <w:p w14:paraId="2E7AFE20">
                  <w:pPr>
                    <w:adjustRightInd w:val="0"/>
                    <w:snapToGrid w:val="0"/>
                    <w:jc w:val="center"/>
                    <w:rPr>
                      <w:rFonts w:ascii="Times New Roman" w:hAnsi="Times New Roman"/>
                      <w:color w:val="auto"/>
                    </w:rPr>
                  </w:pPr>
                  <w:r>
                    <w:rPr>
                      <w:rFonts w:ascii="Times New Roman" w:hAnsi="Times New Roman"/>
                      <w:color w:val="auto"/>
                    </w:rPr>
                    <w:t>3类标准值</w:t>
                  </w:r>
                </w:p>
              </w:tc>
              <w:tc>
                <w:tcPr>
                  <w:tcW w:w="2834" w:type="dxa"/>
                  <w:noWrap w:val="0"/>
                  <w:vAlign w:val="center"/>
                </w:tcPr>
                <w:p w14:paraId="6081311A">
                  <w:pPr>
                    <w:adjustRightInd w:val="0"/>
                    <w:snapToGrid w:val="0"/>
                    <w:jc w:val="center"/>
                    <w:rPr>
                      <w:rFonts w:ascii="Times New Roman" w:hAnsi="Times New Roman"/>
                      <w:color w:val="auto"/>
                    </w:rPr>
                  </w:pPr>
                  <w:r>
                    <w:rPr>
                      <w:rFonts w:ascii="Times New Roman" w:hAnsi="Times New Roman"/>
                      <w:color w:val="auto"/>
                    </w:rPr>
                    <w:t>65</w:t>
                  </w:r>
                </w:p>
              </w:tc>
            </w:tr>
          </w:tbl>
          <w:p w14:paraId="02C60D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cs="Times New Roman"/>
                <w:b/>
                <w:bCs/>
                <w:color w:val="auto"/>
                <w:sz w:val="24"/>
                <w:szCs w:val="24"/>
              </w:rPr>
              <w:t>3.3.</w:t>
            </w:r>
            <w:r>
              <w:rPr>
                <w:rFonts w:hint="eastAsia" w:ascii="Times New Roman" w:hAnsi="Times New Roman" w:cs="Times New Roman"/>
                <w:b/>
                <w:bCs/>
                <w:color w:val="auto"/>
                <w:sz w:val="24"/>
                <w:szCs w:val="24"/>
                <w:lang w:val="en-US" w:eastAsia="zh-CN"/>
              </w:rPr>
              <w:t xml:space="preserve">4 </w:t>
            </w:r>
            <w:r>
              <w:rPr>
                <w:rFonts w:hint="default" w:ascii="Times New Roman" w:hAnsi="Times New Roman" w:eastAsia="宋体" w:cs="Times New Roman"/>
                <w:b/>
                <w:color w:val="auto"/>
                <w:sz w:val="24"/>
                <w:szCs w:val="22"/>
              </w:rPr>
              <w:t>固废</w:t>
            </w:r>
          </w:p>
          <w:p w14:paraId="09E49E7F">
            <w:pPr>
              <w:keepNext w:val="0"/>
              <w:keepLines w:val="0"/>
              <w:pageBreakBefore w:val="0"/>
              <w:widowControl w:val="0"/>
              <w:kinsoku/>
              <w:wordWrap/>
              <w:overflowPunct/>
              <w:topLinePunct w:val="0"/>
              <w:bidi w:val="0"/>
              <w:adjustRightInd/>
              <w:snapToGrid/>
              <w:spacing w:before="0" w:line="360" w:lineRule="auto"/>
              <w:ind w:firstLine="480" w:firstLineChars="200"/>
              <w:textAlignment w:val="auto"/>
              <w:outlineLvl w:val="2"/>
              <w:rPr>
                <w:rFonts w:hint="default" w:ascii="Times New Roman" w:hAnsi="Times New Roman" w:cs="Times New Roman"/>
                <w:color w:val="auto"/>
                <w:sz w:val="24"/>
                <w:highlight w:val="none"/>
              </w:rPr>
            </w:pPr>
            <w:bookmarkStart w:id="7" w:name="_Toc34884240"/>
            <w:bookmarkStart w:id="8" w:name="_Toc18038"/>
            <w:r>
              <w:rPr>
                <w:rFonts w:hint="default" w:ascii="Times New Roman" w:hAnsi="Times New Roman" w:cs="Times New Roman"/>
                <w:color w:val="auto"/>
                <w:sz w:val="24"/>
                <w:highlight w:val="none"/>
              </w:rPr>
              <w:t>固体废物处置依据《国家危险废物名录</w:t>
            </w:r>
            <w:r>
              <w:rPr>
                <w:rFonts w:hint="default" w:ascii="Times New Roman" w:hAnsi="Times New Roman" w:eastAsia="宋体" w:cs="Times New Roman"/>
                <w:color w:val="auto"/>
                <w:kern w:val="0"/>
                <w:sz w:val="24"/>
                <w:szCs w:val="22"/>
                <w:highlight w:val="none"/>
                <w:lang w:val="en-US" w:eastAsia="zh-CN" w:bidi="ar-SA"/>
              </w:rPr>
              <w:t>（2021年版）</w:t>
            </w:r>
            <w:r>
              <w:rPr>
                <w:rFonts w:hint="default" w:ascii="Times New Roman" w:hAnsi="Times New Roman" w:cs="Times New Roman"/>
                <w:color w:val="auto"/>
                <w:sz w:val="24"/>
                <w:highlight w:val="none"/>
              </w:rPr>
              <w:t>》和《危险废物鉴别标准》（GB5085.</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20</w:t>
            </w:r>
            <w:r>
              <w:rPr>
                <w:rFonts w:hint="default" w:ascii="Times New Roman" w:hAnsi="Times New Roman" w:cs="Times New Roman"/>
                <w:color w:val="auto"/>
                <w:sz w:val="24"/>
                <w:highlight w:val="none"/>
                <w:lang w:val="en-US" w:eastAsia="zh-CN"/>
              </w:rPr>
              <w:t>19</w:t>
            </w:r>
            <w:r>
              <w:rPr>
                <w:rFonts w:hint="default" w:ascii="Times New Roman" w:hAnsi="Times New Roman" w:cs="Times New Roman"/>
                <w:color w:val="auto"/>
                <w:sz w:val="24"/>
                <w:highlight w:val="none"/>
              </w:rPr>
              <w:t>）来鉴别一般工业废物和危险废物。</w:t>
            </w:r>
            <w:bookmarkEnd w:id="7"/>
            <w:bookmarkEnd w:id="8"/>
          </w:p>
          <w:p w14:paraId="625AA8B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center"/>
              <w:outlineLvl w:val="9"/>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highlight w:val="none"/>
              </w:rPr>
              <w:t>根据固废的类别，一般固废在按照《中华人民共和国固体废物污染环境防治法》的工业固体废物管理条款要求执行，其贮存场所应满足防渗漏、防雨淋、防扬尘等环境保护要求，不得形成二次污染；危险废物在厂区内暂存执行《危险废物贮存污染控制标准》（GB 18597—2023）的相关要求。此外，对危险废物的转移处理须严格按照</w:t>
            </w:r>
            <w:r>
              <w:rPr>
                <w:rFonts w:hint="default" w:ascii="Times New Roman" w:hAnsi="Times New Roman" w:eastAsia="宋体" w:cs="Times New Roman"/>
                <w:color w:val="auto"/>
                <w:sz w:val="24"/>
                <w:szCs w:val="24"/>
                <w:highlight w:val="none"/>
                <w:lang w:val="zh-CN" w:eastAsia="zh-CN" w:bidi="zh-CN"/>
              </w:rPr>
              <w:t>《危险废物转移管理办法》（生态环境部、公安部、交通运输部令第23号）</w:t>
            </w:r>
            <w:r>
              <w:rPr>
                <w:rFonts w:hint="eastAsia" w:ascii="Times New Roman" w:hAnsi="Times New Roman" w:eastAsia="宋体" w:cs="Times New Roman"/>
                <w:color w:val="auto"/>
                <w:sz w:val="24"/>
                <w:szCs w:val="24"/>
                <w:highlight w:val="none"/>
                <w:lang w:val="en-US" w:eastAsia="zh-CN" w:bidi="zh-CN"/>
              </w:rPr>
              <w:t>执行。</w:t>
            </w:r>
          </w:p>
          <w:p w14:paraId="377B325D">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center"/>
              <w:outlineLvl w:val="9"/>
              <w:rPr>
                <w:rFonts w:ascii="Times New Roman" w:hAnsi="Times New Roman" w:eastAsia="宋体" w:cs="Times New Roman"/>
                <w:color w:val="FF0000"/>
                <w:kern w:val="0"/>
                <w:szCs w:val="21"/>
              </w:rPr>
            </w:pPr>
          </w:p>
        </w:tc>
      </w:tr>
    </w:tbl>
    <w:p w14:paraId="0848B3B3">
      <w:pPr>
        <w:widowControl/>
        <w:shd w:val="clear" w:color="auto" w:fill="FFFFFF"/>
        <w:jc w:val="both"/>
        <w:rPr>
          <w:rFonts w:hint="eastAsia" w:ascii="黑体" w:hAnsi="黑体" w:eastAsia="黑体" w:cs="宋体"/>
          <w:color w:val="FF0000"/>
          <w:spacing w:val="9"/>
          <w:kern w:val="0"/>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19C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1" w:hRule="atLeast"/>
          <w:jc w:val="center"/>
        </w:trPr>
        <w:tc>
          <w:tcPr>
            <w:tcW w:w="14740" w:type="dxa"/>
            <w:noWrap w:val="0"/>
            <w:vAlign w:val="top"/>
          </w:tcPr>
          <w:p w14:paraId="052D1251">
            <w:pPr>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3.4总量控制指标</w:t>
            </w:r>
          </w:p>
          <w:p w14:paraId="344606DC">
            <w:pPr>
              <w:shd w:val="clear"/>
              <w:spacing w:line="360" w:lineRule="auto"/>
              <w:ind w:firstLine="480" w:firstLineChars="200"/>
              <w:jc w:val="both"/>
              <w:rPr>
                <w:rFonts w:hint="default" w:ascii="Times New Roman" w:hAnsi="Times New Roman" w:cs="Times New Roman"/>
                <w:color w:val="FF0000"/>
                <w:kern w:val="0"/>
                <w:sz w:val="24"/>
                <w:szCs w:val="24"/>
                <w:highlight w:val="none"/>
              </w:rPr>
            </w:pPr>
            <w:r>
              <w:rPr>
                <w:rFonts w:hint="default" w:ascii="Times New Roman" w:hAnsi="Times New Roman" w:cs="Times New Roman"/>
                <w:color w:val="auto"/>
                <w:kern w:val="0"/>
                <w:sz w:val="24"/>
                <w:szCs w:val="24"/>
                <w:highlight w:val="none"/>
              </w:rPr>
              <w:t>本项目排放的污染因子中纳入总量控制的指标为COD</w:t>
            </w:r>
            <w:r>
              <w:rPr>
                <w:rFonts w:hint="default" w:ascii="Times New Roman" w:hAnsi="Times New Roman" w:cs="Times New Roman"/>
                <w:color w:val="auto"/>
                <w:kern w:val="0"/>
                <w:sz w:val="24"/>
                <w:szCs w:val="24"/>
                <w:highlight w:val="none"/>
                <w:vertAlign w:val="subscript"/>
              </w:rPr>
              <w:t>Cr</w:t>
            </w:r>
            <w:r>
              <w:rPr>
                <w:rFonts w:hint="default" w:ascii="Times New Roman" w:hAnsi="Times New Roman" w:cs="Times New Roman"/>
                <w:color w:val="auto"/>
                <w:kern w:val="0"/>
                <w:sz w:val="24"/>
                <w:szCs w:val="24"/>
                <w:highlight w:val="none"/>
              </w:rPr>
              <w:t>、NH</w:t>
            </w:r>
            <w:r>
              <w:rPr>
                <w:rFonts w:hint="default" w:ascii="Times New Roman" w:hAnsi="Times New Roman" w:cs="Times New Roman"/>
                <w:color w:val="auto"/>
                <w:kern w:val="0"/>
                <w:sz w:val="24"/>
                <w:szCs w:val="24"/>
                <w:highlight w:val="none"/>
                <w:vertAlign w:val="subscript"/>
              </w:rPr>
              <w:t>3</w:t>
            </w:r>
            <w:r>
              <w:rPr>
                <w:rFonts w:hint="default" w:ascii="Times New Roman" w:hAnsi="Times New Roman" w:cs="Times New Roman"/>
                <w:color w:val="auto"/>
                <w:kern w:val="0"/>
                <w:sz w:val="24"/>
                <w:szCs w:val="24"/>
                <w:highlight w:val="none"/>
              </w:rPr>
              <w:t>-N</w:t>
            </w:r>
            <w:r>
              <w:rPr>
                <w:rFonts w:hint="eastAsia" w:ascii="Times New Roman" w:hAnsi="Times New Roman" w:cs="Times New Roman"/>
                <w:color w:val="auto"/>
                <w:kern w:val="0"/>
                <w:sz w:val="24"/>
                <w:szCs w:val="24"/>
                <w:highlight w:val="none"/>
                <w:lang w:val="en-US" w:eastAsia="zh-CN"/>
              </w:rPr>
              <w:t>、挥发性有机物</w:t>
            </w:r>
            <w:r>
              <w:rPr>
                <w:rFonts w:hint="default" w:ascii="Times New Roman" w:hAnsi="Times New Roman" w:cs="Times New Roman"/>
                <w:color w:val="auto"/>
                <w:kern w:val="0"/>
                <w:sz w:val="24"/>
                <w:szCs w:val="24"/>
                <w:highlight w:val="none"/>
              </w:rPr>
              <w:t>。</w:t>
            </w:r>
          </w:p>
          <w:p w14:paraId="15F6CAA6">
            <w:pPr>
              <w:jc w:val="center"/>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w:t>
            </w:r>
            <w:r>
              <w:rPr>
                <w:rFonts w:hint="eastAsia" w:ascii="Times New Roman" w:hAnsi="Times New Roman" w:cs="Times New Roman"/>
                <w:b/>
                <w:color w:val="auto"/>
                <w:sz w:val="21"/>
                <w:szCs w:val="21"/>
                <w:lang w:val="en-US" w:eastAsia="zh-CN"/>
              </w:rPr>
              <w:t>12</w:t>
            </w:r>
            <w:r>
              <w:rPr>
                <w:rFonts w:hint="default" w:ascii="Times New Roman" w:hAnsi="Times New Roman" w:cs="Times New Roman"/>
                <w:b/>
                <w:color w:val="auto"/>
                <w:sz w:val="21"/>
                <w:szCs w:val="21"/>
              </w:rPr>
              <w:t xml:space="preserve">  </w:t>
            </w:r>
            <w:r>
              <w:rPr>
                <w:rFonts w:hint="default" w:ascii="Times New Roman" w:hAnsi="Times New Roman" w:cs="Times New Roman"/>
                <w:b/>
                <w:bCs/>
                <w:color w:val="auto"/>
                <w:sz w:val="21"/>
                <w:szCs w:val="21"/>
              </w:rPr>
              <w:t>总量控制指标建议</w:t>
            </w:r>
          </w:p>
          <w:p w14:paraId="6F5E549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color w:val="auto"/>
                <w:sz w:val="24"/>
              </w:rPr>
            </w:pPr>
            <w:r>
              <w:rPr>
                <w:rFonts w:hint="default" w:ascii="Times New Roman" w:hAnsi="Times New Roman" w:cs="Times New Roman"/>
                <w:bCs/>
                <w:color w:val="auto"/>
                <w:sz w:val="24"/>
              </w:rPr>
              <w:t>单位：t/a</w:t>
            </w:r>
          </w:p>
          <w:tbl>
            <w:tblPr>
              <w:tblStyle w:val="23"/>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359"/>
              <w:gridCol w:w="1114"/>
              <w:gridCol w:w="1114"/>
              <w:gridCol w:w="1276"/>
              <w:gridCol w:w="7"/>
              <w:gridCol w:w="1337"/>
              <w:gridCol w:w="1746"/>
              <w:gridCol w:w="8"/>
            </w:tblGrid>
            <w:tr w14:paraId="2AF0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001" w:hRule="atLeast"/>
                <w:jc w:val="center"/>
              </w:trPr>
              <w:tc>
                <w:tcPr>
                  <w:tcW w:w="1118" w:type="pct"/>
                  <w:gridSpan w:val="2"/>
                  <w:tcBorders>
                    <w:tl2br w:val="nil"/>
                    <w:tr2bl w:val="nil"/>
                  </w:tcBorders>
                  <w:noWrap w:val="0"/>
                  <w:vAlign w:val="center"/>
                </w:tcPr>
                <w:p w14:paraId="7C38E038">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污染物名称</w:t>
                  </w:r>
                </w:p>
              </w:tc>
              <w:tc>
                <w:tcPr>
                  <w:tcW w:w="654" w:type="pct"/>
                  <w:tcBorders>
                    <w:tl2br w:val="nil"/>
                    <w:tr2bl w:val="nil"/>
                  </w:tcBorders>
                  <w:noWrap w:val="0"/>
                  <w:vAlign w:val="center"/>
                </w:tcPr>
                <w:p w14:paraId="17C54C1D">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w:t>
                  </w:r>
                </w:p>
              </w:tc>
              <w:tc>
                <w:tcPr>
                  <w:tcW w:w="654" w:type="pct"/>
                  <w:tcBorders>
                    <w:tl2br w:val="nil"/>
                    <w:tr2bl w:val="nil"/>
                  </w:tcBorders>
                  <w:noWrap w:val="0"/>
                  <w:vAlign w:val="center"/>
                </w:tcPr>
                <w:p w14:paraId="5E6C0BA7">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削减量</w:t>
                  </w:r>
                </w:p>
              </w:tc>
              <w:tc>
                <w:tcPr>
                  <w:tcW w:w="750" w:type="pct"/>
                  <w:tcBorders>
                    <w:tl2br w:val="nil"/>
                    <w:tr2bl w:val="nil"/>
                  </w:tcBorders>
                  <w:noWrap w:val="0"/>
                  <w:vAlign w:val="center"/>
                </w:tcPr>
                <w:p w14:paraId="127ED5E5">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排入</w:t>
                  </w:r>
                  <w:r>
                    <w:rPr>
                      <w:rFonts w:hint="default" w:ascii="Times New Roman" w:hAnsi="Times New Roman" w:cs="Times New Roman"/>
                      <w:b/>
                      <w:bCs/>
                      <w:color w:val="auto"/>
                      <w:sz w:val="21"/>
                      <w:szCs w:val="21"/>
                      <w:lang w:val="en-US" w:eastAsia="zh-CN"/>
                    </w:rPr>
                    <w:t>环境</w:t>
                  </w:r>
                  <w:r>
                    <w:rPr>
                      <w:rFonts w:hint="default" w:ascii="Times New Roman" w:hAnsi="Times New Roman" w:cs="Times New Roman"/>
                      <w:b/>
                      <w:bCs/>
                      <w:color w:val="auto"/>
                      <w:sz w:val="21"/>
                      <w:szCs w:val="21"/>
                    </w:rPr>
                    <w:t>的量</w:t>
                  </w:r>
                </w:p>
              </w:tc>
              <w:tc>
                <w:tcPr>
                  <w:tcW w:w="790" w:type="pct"/>
                  <w:gridSpan w:val="2"/>
                  <w:tcBorders>
                    <w:tl2br w:val="nil"/>
                    <w:tr2bl w:val="nil"/>
                  </w:tcBorders>
                  <w:noWrap w:val="0"/>
                  <w:vAlign w:val="center"/>
                </w:tcPr>
                <w:p w14:paraId="63285DF1">
                  <w:pPr>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建议申请量</w:t>
                  </w:r>
                </w:p>
              </w:tc>
              <w:tc>
                <w:tcPr>
                  <w:tcW w:w="1026" w:type="pct"/>
                  <w:tcBorders>
                    <w:tl2br w:val="nil"/>
                    <w:tr2bl w:val="nil"/>
                  </w:tcBorders>
                  <w:noWrap w:val="0"/>
                  <w:vAlign w:val="center"/>
                </w:tcPr>
                <w:p w14:paraId="2DB8E3CE">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区域替代削减量</w:t>
                  </w:r>
                </w:p>
              </w:tc>
            </w:tr>
            <w:tr w14:paraId="66DA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97" w:hRule="atLeast"/>
                <w:jc w:val="center"/>
              </w:trPr>
              <w:tc>
                <w:tcPr>
                  <w:tcW w:w="319" w:type="pct"/>
                  <w:vMerge w:val="restart"/>
                  <w:tcBorders>
                    <w:tl2br w:val="nil"/>
                    <w:tr2bl w:val="nil"/>
                  </w:tcBorders>
                  <w:noWrap w:val="0"/>
                  <w:vAlign w:val="center"/>
                </w:tcPr>
                <w:p w14:paraId="59962641">
                  <w:pP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val="en-US" w:eastAsia="zh-CN"/>
                    </w:rPr>
                    <w:t>废水</w:t>
                  </w:r>
                </w:p>
              </w:tc>
              <w:tc>
                <w:tcPr>
                  <w:tcW w:w="799" w:type="pct"/>
                  <w:tcBorders>
                    <w:tl2br w:val="nil"/>
                    <w:tr2bl w:val="nil"/>
                  </w:tcBorders>
                  <w:noWrap w:val="0"/>
                  <w:vAlign w:val="center"/>
                </w:tcPr>
                <w:p w14:paraId="35E47FBB">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水量</w:t>
                  </w:r>
                </w:p>
              </w:tc>
              <w:tc>
                <w:tcPr>
                  <w:tcW w:w="654" w:type="pct"/>
                  <w:tcBorders>
                    <w:tl2br w:val="nil"/>
                    <w:tr2bl w:val="nil"/>
                  </w:tcBorders>
                  <w:noWrap w:val="0"/>
                  <w:vAlign w:val="center"/>
                </w:tcPr>
                <w:p w14:paraId="5BBBE6F9">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1536</w:t>
                  </w:r>
                </w:p>
              </w:tc>
              <w:tc>
                <w:tcPr>
                  <w:tcW w:w="654" w:type="pct"/>
                  <w:tcBorders>
                    <w:tl2br w:val="nil"/>
                    <w:tr2bl w:val="nil"/>
                  </w:tcBorders>
                  <w:noWrap w:val="0"/>
                  <w:vAlign w:val="center"/>
                </w:tcPr>
                <w:p w14:paraId="314C1927">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750" w:type="pct"/>
                  <w:tcBorders>
                    <w:tl2br w:val="nil"/>
                    <w:tr2bl w:val="nil"/>
                  </w:tcBorders>
                  <w:noWrap w:val="0"/>
                  <w:vAlign w:val="center"/>
                </w:tcPr>
                <w:p w14:paraId="6F40FD8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1536</w:t>
                  </w:r>
                </w:p>
              </w:tc>
              <w:tc>
                <w:tcPr>
                  <w:tcW w:w="790" w:type="pct"/>
                  <w:gridSpan w:val="2"/>
                  <w:tcBorders>
                    <w:tl2br w:val="nil"/>
                    <w:tr2bl w:val="nil"/>
                  </w:tcBorders>
                  <w:noWrap w:val="0"/>
                  <w:vAlign w:val="center"/>
                </w:tcPr>
                <w:p w14:paraId="79287CE6">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1536</w:t>
                  </w:r>
                </w:p>
              </w:tc>
              <w:tc>
                <w:tcPr>
                  <w:tcW w:w="1026" w:type="pct"/>
                  <w:tcBorders>
                    <w:tl2br w:val="nil"/>
                    <w:tr2bl w:val="nil"/>
                  </w:tcBorders>
                  <w:noWrap w:val="0"/>
                  <w:vAlign w:val="center"/>
                </w:tcPr>
                <w:p w14:paraId="787EF5F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r>
            <w:tr w14:paraId="004F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97" w:hRule="atLeast"/>
                <w:jc w:val="center"/>
              </w:trPr>
              <w:tc>
                <w:tcPr>
                  <w:tcW w:w="319" w:type="pct"/>
                  <w:vMerge w:val="continue"/>
                  <w:tcBorders>
                    <w:tl2br w:val="nil"/>
                    <w:tr2bl w:val="nil"/>
                  </w:tcBorders>
                  <w:noWrap w:val="0"/>
                  <w:vAlign w:val="center"/>
                </w:tcPr>
                <w:p w14:paraId="6BEFFECA">
                  <w:pPr>
                    <w:widowControl/>
                    <w:jc w:val="left"/>
                    <w:rPr>
                      <w:rFonts w:hint="default" w:ascii="Times New Roman" w:hAnsi="Times New Roman" w:cs="Times New Roman"/>
                      <w:color w:val="auto"/>
                      <w:sz w:val="21"/>
                      <w:szCs w:val="21"/>
                    </w:rPr>
                  </w:pPr>
                </w:p>
              </w:tc>
              <w:tc>
                <w:tcPr>
                  <w:tcW w:w="799" w:type="pct"/>
                  <w:tcBorders>
                    <w:tl2br w:val="nil"/>
                    <w:tr2bl w:val="nil"/>
                  </w:tcBorders>
                  <w:noWrap w:val="0"/>
                  <w:vAlign w:val="center"/>
                </w:tcPr>
                <w:p w14:paraId="619865F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vertAlign w:val="subscript"/>
                    </w:rPr>
                    <w:t>Cr</w:t>
                  </w:r>
                </w:p>
              </w:tc>
              <w:tc>
                <w:tcPr>
                  <w:tcW w:w="654" w:type="pct"/>
                  <w:tcBorders>
                    <w:tl2br w:val="nil"/>
                    <w:tr2bl w:val="nil"/>
                  </w:tcBorders>
                  <w:noWrap w:val="0"/>
                  <w:vAlign w:val="center"/>
                </w:tcPr>
                <w:p w14:paraId="2445561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0.584</w:t>
                  </w:r>
                </w:p>
              </w:tc>
              <w:tc>
                <w:tcPr>
                  <w:tcW w:w="654" w:type="pct"/>
                  <w:tcBorders>
                    <w:tl2br w:val="nil"/>
                    <w:tr2bl w:val="nil"/>
                  </w:tcBorders>
                  <w:noWrap w:val="0"/>
                  <w:vAlign w:val="center"/>
                </w:tcPr>
                <w:p w14:paraId="2011505B">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0.523</w:t>
                  </w:r>
                </w:p>
              </w:tc>
              <w:tc>
                <w:tcPr>
                  <w:tcW w:w="750" w:type="pct"/>
                  <w:tcBorders>
                    <w:tl2br w:val="nil"/>
                    <w:tr2bl w:val="nil"/>
                  </w:tcBorders>
                  <w:noWrap w:val="0"/>
                  <w:vAlign w:val="center"/>
                </w:tcPr>
                <w:p w14:paraId="6EFD0F5D">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0.061</w:t>
                  </w:r>
                </w:p>
              </w:tc>
              <w:tc>
                <w:tcPr>
                  <w:tcW w:w="1344" w:type="dxa"/>
                  <w:gridSpan w:val="2"/>
                  <w:tcBorders>
                    <w:tl2br w:val="nil"/>
                    <w:tr2bl w:val="nil"/>
                  </w:tcBorders>
                  <w:noWrap w:val="0"/>
                  <w:vAlign w:val="center"/>
                </w:tcPr>
                <w:p w14:paraId="56D4F281">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0.061</w:t>
                  </w:r>
                </w:p>
              </w:tc>
              <w:tc>
                <w:tcPr>
                  <w:tcW w:w="1026" w:type="pct"/>
                  <w:tcBorders>
                    <w:tl2br w:val="nil"/>
                    <w:tr2bl w:val="nil"/>
                  </w:tcBorders>
                  <w:noWrap w:val="0"/>
                  <w:vAlign w:val="center"/>
                </w:tcPr>
                <w:p w14:paraId="19E89563">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r>
            <w:tr w14:paraId="53BA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97" w:hRule="atLeast"/>
                <w:jc w:val="center"/>
              </w:trPr>
              <w:tc>
                <w:tcPr>
                  <w:tcW w:w="319" w:type="pct"/>
                  <w:vMerge w:val="continue"/>
                  <w:tcBorders>
                    <w:tl2br w:val="nil"/>
                    <w:tr2bl w:val="nil"/>
                  </w:tcBorders>
                  <w:noWrap w:val="0"/>
                  <w:vAlign w:val="center"/>
                </w:tcPr>
                <w:p w14:paraId="102182AE">
                  <w:pPr>
                    <w:widowControl/>
                    <w:jc w:val="left"/>
                    <w:rPr>
                      <w:rFonts w:hint="default" w:ascii="Times New Roman" w:hAnsi="Times New Roman" w:cs="Times New Roman"/>
                      <w:color w:val="auto"/>
                      <w:sz w:val="21"/>
                      <w:szCs w:val="21"/>
                    </w:rPr>
                  </w:pPr>
                </w:p>
              </w:tc>
              <w:tc>
                <w:tcPr>
                  <w:tcW w:w="799" w:type="pct"/>
                  <w:tcBorders>
                    <w:tl2br w:val="nil"/>
                    <w:tr2bl w:val="nil"/>
                  </w:tcBorders>
                  <w:noWrap w:val="0"/>
                  <w:vAlign w:val="center"/>
                </w:tcPr>
                <w:p w14:paraId="52C8CD7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654" w:type="pct"/>
                  <w:tcBorders>
                    <w:tl2br w:val="nil"/>
                    <w:tr2bl w:val="nil"/>
                  </w:tcBorders>
                  <w:noWrap w:val="0"/>
                  <w:vAlign w:val="center"/>
                </w:tcPr>
                <w:p w14:paraId="2D9A835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0.061</w:t>
                  </w:r>
                </w:p>
              </w:tc>
              <w:tc>
                <w:tcPr>
                  <w:tcW w:w="654" w:type="pct"/>
                  <w:tcBorders>
                    <w:tl2br w:val="nil"/>
                    <w:tr2bl w:val="nil"/>
                  </w:tcBorders>
                  <w:noWrap w:val="0"/>
                  <w:vAlign w:val="center"/>
                </w:tcPr>
                <w:p w14:paraId="2F3D966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0.058</w:t>
                  </w:r>
                </w:p>
              </w:tc>
              <w:tc>
                <w:tcPr>
                  <w:tcW w:w="750" w:type="pct"/>
                  <w:tcBorders>
                    <w:tl2br w:val="nil"/>
                    <w:tr2bl w:val="nil"/>
                  </w:tcBorders>
                  <w:noWrap w:val="0"/>
                  <w:vAlign w:val="center"/>
                </w:tcPr>
                <w:p w14:paraId="657D255E">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0.003</w:t>
                  </w:r>
                </w:p>
              </w:tc>
              <w:tc>
                <w:tcPr>
                  <w:tcW w:w="1344" w:type="dxa"/>
                  <w:gridSpan w:val="2"/>
                  <w:tcBorders>
                    <w:tl2br w:val="nil"/>
                    <w:tr2bl w:val="nil"/>
                  </w:tcBorders>
                  <w:noWrap w:val="0"/>
                  <w:vAlign w:val="center"/>
                </w:tcPr>
                <w:p w14:paraId="444D4CDF">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0.003</w:t>
                  </w:r>
                </w:p>
              </w:tc>
              <w:tc>
                <w:tcPr>
                  <w:tcW w:w="1026" w:type="pct"/>
                  <w:tcBorders>
                    <w:tl2br w:val="nil"/>
                    <w:tr2bl w:val="nil"/>
                  </w:tcBorders>
                  <w:noWrap w:val="0"/>
                  <w:vAlign w:val="center"/>
                </w:tcPr>
                <w:p w14:paraId="182F8946">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r>
            <w:tr w14:paraId="7398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 w:type="pct"/>
                  <w:tcBorders>
                    <w:tl2br w:val="nil"/>
                    <w:tr2bl w:val="nil"/>
                  </w:tcBorders>
                  <w:noWrap w:val="0"/>
                  <w:vAlign w:val="center"/>
                </w:tcPr>
                <w:p w14:paraId="2A0DD04E">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799" w:type="pct"/>
                  <w:tcBorders>
                    <w:tl2br w:val="nil"/>
                    <w:tr2bl w:val="nil"/>
                  </w:tcBorders>
                  <w:noWrap w:val="0"/>
                  <w:vAlign w:val="center"/>
                </w:tcPr>
                <w:p w14:paraId="2F42B1B3">
                  <w:pPr>
                    <w:tabs>
                      <w:tab w:val="left" w:pos="4830"/>
                    </w:tabs>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rPr>
                    <w:t>挥发性有机物</w:t>
                  </w:r>
                </w:p>
              </w:tc>
              <w:tc>
                <w:tcPr>
                  <w:tcW w:w="654" w:type="pct"/>
                  <w:tcBorders>
                    <w:tl2br w:val="nil"/>
                    <w:tr2bl w:val="nil"/>
                  </w:tcBorders>
                  <w:noWrap w:val="0"/>
                  <w:vAlign w:val="center"/>
                </w:tcPr>
                <w:p w14:paraId="0916BCF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0.102</w:t>
                  </w:r>
                </w:p>
              </w:tc>
              <w:tc>
                <w:tcPr>
                  <w:tcW w:w="654" w:type="pct"/>
                  <w:tcBorders>
                    <w:tl2br w:val="nil"/>
                    <w:tr2bl w:val="nil"/>
                  </w:tcBorders>
                  <w:noWrap w:val="0"/>
                  <w:vAlign w:val="center"/>
                </w:tcPr>
                <w:p w14:paraId="5B6E24F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0.047</w:t>
                  </w:r>
                </w:p>
              </w:tc>
              <w:tc>
                <w:tcPr>
                  <w:tcW w:w="754" w:type="pct"/>
                  <w:gridSpan w:val="2"/>
                  <w:tcBorders>
                    <w:tl2br w:val="nil"/>
                    <w:tr2bl w:val="nil"/>
                  </w:tcBorders>
                  <w:noWrap w:val="0"/>
                  <w:vAlign w:val="center"/>
                </w:tcPr>
                <w:p w14:paraId="2E70D0F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0.055</w:t>
                  </w:r>
                </w:p>
              </w:tc>
              <w:tc>
                <w:tcPr>
                  <w:tcW w:w="786" w:type="pct"/>
                  <w:tcBorders>
                    <w:tl2br w:val="nil"/>
                    <w:tr2bl w:val="nil"/>
                  </w:tcBorders>
                  <w:noWrap w:val="0"/>
                  <w:vAlign w:val="center"/>
                </w:tcPr>
                <w:p w14:paraId="45ADBE4A">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0.055</w:t>
                  </w:r>
                </w:p>
              </w:tc>
              <w:tc>
                <w:tcPr>
                  <w:tcW w:w="1031" w:type="pct"/>
                  <w:gridSpan w:val="2"/>
                  <w:tcBorders>
                    <w:tl2br w:val="nil"/>
                    <w:tr2bl w:val="nil"/>
                  </w:tcBorders>
                  <w:noWrap w:val="0"/>
                  <w:vAlign w:val="center"/>
                </w:tcPr>
                <w:p w14:paraId="32A2EB09">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0.11</w:t>
                  </w:r>
                </w:p>
              </w:tc>
            </w:tr>
          </w:tbl>
          <w:p w14:paraId="10EB6D9E">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eastAsiaTheme="minorEastAsia"/>
                <w:color w:val="FF0000"/>
                <w:kern w:val="0"/>
                <w:sz w:val="24"/>
                <w:szCs w:val="24"/>
                <w:lang w:val="en-US" w:eastAsia="zh-CN"/>
              </w:rPr>
            </w:pPr>
            <w:r>
              <w:rPr>
                <w:rFonts w:hint="default" w:ascii="Times New Roman" w:hAnsi="Times New Roman" w:cs="Times New Roman"/>
                <w:color w:val="auto"/>
                <w:sz w:val="24"/>
              </w:rPr>
              <w:t>本项目排放的污染因子中纳入总量控制的指标为COD</w:t>
            </w:r>
            <w:r>
              <w:rPr>
                <w:rFonts w:hint="default" w:ascii="Times New Roman" w:hAnsi="Times New Roman" w:cs="Times New Roman"/>
                <w:color w:val="auto"/>
                <w:sz w:val="24"/>
                <w:vertAlign w:val="subscript"/>
              </w:rPr>
              <w:t>Cr</w:t>
            </w:r>
            <w:r>
              <w:rPr>
                <w:rFonts w:hint="default" w:ascii="Times New Roman" w:hAnsi="Times New Roman" w:cs="Times New Roman"/>
                <w:color w:val="auto"/>
                <w:sz w:val="24"/>
              </w:rPr>
              <w:t>、NH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w:t>
            </w:r>
            <w:r>
              <w:rPr>
                <w:rFonts w:hint="eastAsia" w:ascii="Times New Roman" w:hAnsi="Times New Roman" w:cs="Times New Roman"/>
                <w:color w:val="auto"/>
                <w:kern w:val="0"/>
                <w:sz w:val="24"/>
                <w:szCs w:val="24"/>
                <w:highlight w:val="none"/>
                <w:lang w:val="en-US" w:eastAsia="zh-CN"/>
              </w:rPr>
              <w:t>和挥发性有机物</w:t>
            </w:r>
            <w:r>
              <w:rPr>
                <w:rFonts w:hint="default" w:ascii="Times New Roman" w:hAnsi="Times New Roman" w:cs="Times New Roman"/>
                <w:color w:val="auto"/>
                <w:sz w:val="24"/>
              </w:rPr>
              <w:t>，其排放量分别为</w:t>
            </w:r>
            <w:r>
              <w:rPr>
                <w:rFonts w:hint="eastAsia" w:ascii="Times New Roman" w:hAnsi="Times New Roman" w:cs="Times New Roman"/>
                <w:color w:val="auto"/>
                <w:sz w:val="24"/>
                <w:lang w:val="en-US" w:eastAsia="zh-CN"/>
              </w:rPr>
              <w:t>0.061t/a、0.003t/a、0.055t/a。</w:t>
            </w:r>
          </w:p>
          <w:p w14:paraId="6D172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2"/>
                <w:highlight w:val="none"/>
                <w:lang w:val="en-US" w:eastAsia="zh-CN"/>
              </w:rPr>
            </w:pPr>
            <w:r>
              <w:rPr>
                <w:rFonts w:hint="default" w:ascii="Times New Roman" w:hAnsi="Times New Roman" w:cs="Times New Roman"/>
                <w:color w:val="auto"/>
                <w:sz w:val="24"/>
                <w:szCs w:val="22"/>
                <w:highlight w:val="none"/>
              </w:rPr>
              <w:t>本项目</w:t>
            </w:r>
            <w:r>
              <w:rPr>
                <w:rFonts w:hint="eastAsia" w:ascii="Times New Roman" w:hAnsi="Times New Roman" w:cs="Times New Roman"/>
                <w:color w:val="auto"/>
                <w:sz w:val="24"/>
                <w:szCs w:val="22"/>
                <w:highlight w:val="none"/>
                <w:lang w:val="en-US" w:eastAsia="zh-CN"/>
              </w:rPr>
              <w:t>仅排放生活污水，无需进行削减替代。</w:t>
            </w:r>
          </w:p>
          <w:p w14:paraId="76FC6AF5">
            <w:pPr>
              <w:spacing w:line="360" w:lineRule="auto"/>
              <w:ind w:firstLine="480" w:firstLineChars="200"/>
              <w:jc w:val="both"/>
              <w:rPr>
                <w:rFonts w:hint="default" w:ascii="Times New Roman" w:hAnsi="Times New Roman" w:cs="Times New Roman" w:eastAsiaTheme="minorEastAsia"/>
                <w:bCs/>
                <w:color w:val="FF0000"/>
                <w:sz w:val="24"/>
                <w:highlight w:val="yellow"/>
                <w:lang w:val="en-US" w:eastAsia="zh-CN"/>
              </w:rPr>
            </w:pPr>
            <w:r>
              <w:rPr>
                <w:rFonts w:hint="default" w:ascii="Times New Roman" w:hAnsi="Times New Roman" w:cs="Times New Roman"/>
                <w:color w:val="auto"/>
                <w:sz w:val="24"/>
                <w:szCs w:val="24"/>
              </w:rPr>
              <w:t>根据《建设项目主要污染物排放总量指标审核及管理暂行办法》（环发〔2014〕197号）、《关于印发湖州市涉气项目总量调剂实施办法的通知》（湖治气办〔2021〕11号）等有关规定，本项目</w:t>
            </w:r>
            <w:r>
              <w:rPr>
                <w:rFonts w:hint="eastAsia" w:ascii="Times New Roman" w:hAnsi="Times New Roman" w:cs="Times New Roman"/>
                <w:color w:val="auto"/>
                <w:sz w:val="24"/>
                <w:szCs w:val="24"/>
                <w:lang w:val="en-US" w:eastAsia="zh-CN"/>
              </w:rPr>
              <w:t>挥发性有机物按照1:2进行削减替代，替代量为0.11t/a</w:t>
            </w:r>
            <w:r>
              <w:rPr>
                <w:rFonts w:hint="default" w:ascii="Times New Roman" w:hAnsi="Times New Roman" w:cs="Times New Roman"/>
                <w:color w:val="auto"/>
                <w:sz w:val="24"/>
                <w:szCs w:val="24"/>
              </w:rPr>
              <w:t>，由当地生态环境部门予以区域平衡。</w:t>
            </w:r>
          </w:p>
        </w:tc>
      </w:tr>
    </w:tbl>
    <w:p w14:paraId="4EA35184">
      <w:pPr>
        <w:pStyle w:val="10"/>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061412B">
      <w:pPr>
        <w:pStyle w:val="2"/>
        <w:keepNext/>
        <w:keepLines/>
        <w:pageBreakBefore w:val="0"/>
        <w:widowControl w:val="0"/>
        <w:numPr>
          <w:ilvl w:val="0"/>
          <w:numId w:val="2"/>
        </w:numPr>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rPr>
      </w:pPr>
      <w:bookmarkStart w:id="9" w:name="_Toc3811"/>
      <w:r>
        <w:rPr>
          <w:rFonts w:hint="eastAsia" w:ascii="黑体" w:hAnsi="黑体" w:eastAsia="黑体" w:cs="黑体"/>
          <w:b w:val="0"/>
          <w:bCs/>
          <w:color w:val="auto"/>
          <w:sz w:val="30"/>
          <w:szCs w:val="30"/>
        </w:rPr>
        <w:t>主要环境影响和保护措施</w:t>
      </w:r>
      <w:bookmarkEnd w:id="9"/>
    </w:p>
    <w:tbl>
      <w:tblPr>
        <w:tblStyle w:val="23"/>
        <w:tblW w:w="9071" w:type="dxa"/>
        <w:jc w:val="center"/>
        <w:tblLayout w:type="fixed"/>
        <w:tblCellMar>
          <w:top w:w="0" w:type="dxa"/>
          <w:left w:w="0" w:type="dxa"/>
          <w:bottom w:w="0" w:type="dxa"/>
          <w:right w:w="0" w:type="dxa"/>
        </w:tblCellMar>
      </w:tblPr>
      <w:tblGrid>
        <w:gridCol w:w="9071"/>
      </w:tblGrid>
      <w:tr w14:paraId="4634088B">
        <w:tblPrEx>
          <w:tblCellMar>
            <w:top w:w="0" w:type="dxa"/>
            <w:left w:w="0" w:type="dxa"/>
            <w:bottom w:w="0" w:type="dxa"/>
            <w:right w:w="0" w:type="dxa"/>
          </w:tblCellMar>
        </w:tblPrEx>
        <w:trPr>
          <w:trHeight w:val="3940"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78524D7">
            <w:pPr>
              <w:widowControl/>
              <w:wordWrap w:val="0"/>
              <w:spacing w:line="500" w:lineRule="exact"/>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4.1施工期环境保护措施</w:t>
            </w:r>
          </w:p>
          <w:p w14:paraId="235F8AC4">
            <w:pPr>
              <w:widowControl/>
              <w:spacing w:line="500" w:lineRule="exact"/>
              <w:jc w:val="left"/>
              <w:rPr>
                <w:rFonts w:hint="eastAsia" w:ascii="Times New Roman" w:hAnsi="Times New Roman" w:eastAsia="宋体" w:cs="Times New Roman"/>
                <w:b/>
                <w:bCs/>
                <w:color w:val="auto"/>
                <w:kern w:val="0"/>
                <w:sz w:val="24"/>
                <w:szCs w:val="24"/>
                <w:highlight w:val="none"/>
                <w:lang w:val="en-US" w:eastAsia="zh-CN"/>
              </w:rPr>
            </w:pPr>
            <w:r>
              <w:rPr>
                <w:rFonts w:ascii="Times New Roman" w:hAnsi="Times New Roman" w:eastAsia="宋体" w:cs="Times New Roman"/>
                <w:b/>
                <w:bCs/>
                <w:color w:val="auto"/>
                <w:kern w:val="0"/>
                <w:sz w:val="24"/>
                <w:szCs w:val="20"/>
              </w:rPr>
              <w:t xml:space="preserve">4.1.1 </w:t>
            </w:r>
            <w:r>
              <w:rPr>
                <w:rFonts w:hint="eastAsia" w:ascii="Times New Roman" w:hAnsi="Times New Roman" w:eastAsia="宋体" w:cs="Times New Roman"/>
                <w:b/>
                <w:bCs/>
                <w:color w:val="auto"/>
                <w:kern w:val="0"/>
                <w:sz w:val="24"/>
                <w:szCs w:val="20"/>
              </w:rPr>
              <w:t>废气</w:t>
            </w:r>
          </w:p>
          <w:p w14:paraId="04DAC74B">
            <w:pPr>
              <w:widowControl/>
              <w:wordWrap w:val="0"/>
              <w:spacing w:line="500" w:lineRule="exact"/>
              <w:jc w:val="left"/>
              <w:rPr>
                <w:rFonts w:ascii="Times New Roman" w:hAnsi="Times New Roman" w:eastAsia="宋体" w:cs="Times New Roman"/>
                <w:b/>
                <w:bCs/>
                <w:color w:val="auto"/>
                <w:kern w:val="0"/>
                <w:sz w:val="24"/>
                <w:szCs w:val="24"/>
                <w:highlight w:val="none"/>
              </w:rPr>
            </w:pPr>
            <w:r>
              <w:rPr>
                <w:rFonts w:hint="eastAsia" w:ascii="Times New Roman" w:hAnsi="Times New Roman" w:eastAsia="宋体" w:cs="Times New Roman"/>
                <w:b/>
                <w:bCs/>
                <w:color w:val="auto"/>
                <w:kern w:val="0"/>
                <w:sz w:val="24"/>
                <w:szCs w:val="24"/>
                <w:highlight w:val="none"/>
                <w:lang w:val="en-US" w:eastAsia="zh-CN"/>
              </w:rPr>
              <w:t>4.1.1.1</w:t>
            </w:r>
            <w:r>
              <w:rPr>
                <w:rFonts w:ascii="Times New Roman" w:hAnsi="Times New Roman" w:eastAsia="宋体" w:cs="Times New Roman"/>
                <w:b/>
                <w:bCs/>
                <w:color w:val="auto"/>
                <w:kern w:val="0"/>
                <w:sz w:val="24"/>
                <w:szCs w:val="24"/>
                <w:highlight w:val="none"/>
              </w:rPr>
              <w:t>施工扬尘防治措施</w:t>
            </w:r>
          </w:p>
          <w:p w14:paraId="17D527DE">
            <w:pPr>
              <w:widowControl/>
              <w:wordWrap w:val="0"/>
              <w:spacing w:line="500" w:lineRule="exact"/>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为减少施工扬尘对周边环境的影响，本评价要求建设方采取以下措施：</w:t>
            </w:r>
          </w:p>
          <w:p w14:paraId="53189D50">
            <w:pPr>
              <w:widowControl/>
              <w:wordWrap w:val="0"/>
              <w:spacing w:line="500" w:lineRule="exact"/>
              <w:ind w:firstLine="480" w:firstLineChars="200"/>
              <w:jc w:val="left"/>
              <w:rPr>
                <w:rFonts w:ascii="Times New Roman" w:hAnsi="Times New Roman" w:eastAsia="宋体" w:cs="Times New Roman"/>
                <w:color w:val="FF0000"/>
                <w:kern w:val="0"/>
                <w:sz w:val="24"/>
                <w:szCs w:val="24"/>
                <w:highlight w:val="none"/>
              </w:rPr>
            </w:pPr>
            <w:r>
              <w:rPr>
                <w:rFonts w:hint="eastAsia" w:ascii="Times New Roman" w:hAnsi="Times New Roman" w:eastAsia="宋体" w:cs="Times New Roman"/>
                <w:color w:val="auto"/>
                <w:kern w:val="0"/>
                <w:sz w:val="24"/>
                <w:szCs w:val="24"/>
                <w:highlight w:val="none"/>
              </w:rPr>
              <w:t>（1）</w:t>
            </w:r>
            <w:r>
              <w:rPr>
                <w:rFonts w:ascii="Times New Roman" w:hAnsi="Times New Roman" w:eastAsia="宋体" w:cs="Times New Roman"/>
                <w:color w:val="auto"/>
                <w:kern w:val="0"/>
                <w:sz w:val="24"/>
                <w:szCs w:val="24"/>
                <w:highlight w:val="none"/>
              </w:rPr>
              <w:t>保持施工场地路面的清洁，每天洒水4-5次。为减少施工扬尘，必须保持施工场地、进出道路以及施工车辆的清洁，可通过及时清扫，对施工车辆及时清洗，禁止超载，防止洒落等有效措施来保持路面的清洁。</w:t>
            </w:r>
          </w:p>
          <w:p w14:paraId="05B18CFD">
            <w:pPr>
              <w:widowControl/>
              <w:wordWrap w:val="0"/>
              <w:spacing w:line="500" w:lineRule="exact"/>
              <w:ind w:firstLine="480" w:firstLineChars="20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（2）</w:t>
            </w:r>
            <w:r>
              <w:rPr>
                <w:rFonts w:ascii="Times New Roman" w:hAnsi="Times New Roman" w:eastAsia="宋体" w:cs="Times New Roman"/>
                <w:color w:val="000000" w:themeColor="text1"/>
                <w:kern w:val="0"/>
                <w:sz w:val="24"/>
                <w:szCs w:val="24"/>
                <w:highlight w:val="none"/>
                <w14:textFill>
                  <w14:solidFill>
                    <w14:schemeClr w14:val="tx1"/>
                  </w14:solidFill>
                </w14:textFill>
              </w:rPr>
              <w:t>做好堆场的防护。合理制定施工方案，减少堆场的数量及堆放量，建筑垃圾等应及时清运；堆场设置于远离附近村落的场所，同时周边设置防风网；定期洒水，保持堆料湿度。</w:t>
            </w:r>
          </w:p>
          <w:p w14:paraId="15585204">
            <w:pPr>
              <w:widowControl/>
              <w:wordWrap w:val="0"/>
              <w:spacing w:line="500" w:lineRule="exact"/>
              <w:ind w:firstLine="480" w:firstLineChars="20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（3）</w:t>
            </w:r>
            <w:r>
              <w:rPr>
                <w:rFonts w:ascii="Times New Roman" w:hAnsi="Times New Roman" w:eastAsia="宋体" w:cs="Times New Roman"/>
                <w:color w:val="000000" w:themeColor="text1"/>
                <w:kern w:val="0"/>
                <w:sz w:val="24"/>
                <w:szCs w:val="24"/>
                <w:highlight w:val="none"/>
                <w14:textFill>
                  <w14:solidFill>
                    <w14:schemeClr w14:val="tx1"/>
                  </w14:solidFill>
                </w14:textFill>
              </w:rPr>
              <w:t>大风天气停止灰土</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拌和</w:t>
            </w:r>
            <w:r>
              <w:rPr>
                <w:rFonts w:ascii="Times New Roman" w:hAnsi="Times New Roman" w:eastAsia="宋体" w:cs="Times New Roman"/>
                <w:color w:val="000000" w:themeColor="text1"/>
                <w:kern w:val="0"/>
                <w:sz w:val="24"/>
                <w:szCs w:val="24"/>
                <w:highlight w:val="none"/>
                <w14:textFill>
                  <w14:solidFill>
                    <w14:schemeClr w14:val="tx1"/>
                  </w14:solidFill>
                </w14:textFill>
              </w:rPr>
              <w:t>、开挖土方等易产生扬尘的施工作业；拟建工程灰土</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拌和</w:t>
            </w:r>
            <w:r>
              <w:rPr>
                <w:rFonts w:ascii="Times New Roman" w:hAnsi="Times New Roman" w:eastAsia="宋体" w:cs="Times New Roman"/>
                <w:color w:val="000000" w:themeColor="text1"/>
                <w:kern w:val="0"/>
                <w:sz w:val="24"/>
                <w:szCs w:val="24"/>
                <w:highlight w:val="none"/>
                <w14:textFill>
                  <w14:solidFill>
                    <w14:schemeClr w14:val="tx1"/>
                  </w14:solidFill>
                </w14:textFill>
              </w:rPr>
              <w:t>应尽可能采取设置相对集中式灰土</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拌和</w:t>
            </w:r>
            <w:r>
              <w:rPr>
                <w:rFonts w:ascii="Times New Roman" w:hAnsi="Times New Roman" w:eastAsia="宋体" w:cs="Times New Roman"/>
                <w:color w:val="000000" w:themeColor="text1"/>
                <w:kern w:val="0"/>
                <w:sz w:val="24"/>
                <w:szCs w:val="24"/>
                <w:highlight w:val="none"/>
                <w14:textFill>
                  <w14:solidFill>
                    <w14:schemeClr w14:val="tx1"/>
                  </w14:solidFill>
                </w14:textFill>
              </w:rPr>
              <w:t>站方式进行，以避免扬尘对周围环境的直接影响，为进一步减少材料搅拌对周围环境的影响，施工单位应尽量采用商品混凝土。</w:t>
            </w:r>
          </w:p>
          <w:p w14:paraId="3EDB1BCD">
            <w:pPr>
              <w:widowControl/>
              <w:wordWrap w:val="0"/>
              <w:spacing w:line="500" w:lineRule="exact"/>
              <w:jc w:val="left"/>
              <w:rPr>
                <w:rFonts w:hint="eastAsia" w:ascii="Times New Roman" w:hAnsi="Times New Roman" w:eastAsia="宋体" w:cs="Times New Roman"/>
                <w:b/>
                <w:bCs/>
                <w:color w:val="auto"/>
                <w:kern w:val="0"/>
                <w:sz w:val="24"/>
                <w:szCs w:val="24"/>
                <w:highlight w:val="none"/>
              </w:rPr>
            </w:pPr>
            <w:r>
              <w:rPr>
                <w:rFonts w:hint="eastAsia" w:ascii="Times New Roman" w:hAnsi="Times New Roman" w:eastAsia="宋体" w:cs="Times New Roman"/>
                <w:b/>
                <w:bCs/>
                <w:color w:val="auto"/>
                <w:kern w:val="0"/>
                <w:sz w:val="24"/>
                <w:szCs w:val="24"/>
                <w:highlight w:val="none"/>
                <w:lang w:val="en-US" w:eastAsia="zh-CN"/>
              </w:rPr>
              <w:t>4.1.1.2</w:t>
            </w:r>
            <w:r>
              <w:rPr>
                <w:rFonts w:hint="eastAsia" w:ascii="Times New Roman" w:hAnsi="Times New Roman" w:eastAsia="宋体" w:cs="Times New Roman"/>
                <w:b/>
                <w:bCs/>
                <w:color w:val="auto"/>
                <w:kern w:val="0"/>
                <w:sz w:val="24"/>
                <w:szCs w:val="24"/>
                <w:highlight w:val="none"/>
              </w:rPr>
              <w:t>汽车尾气</w:t>
            </w:r>
          </w:p>
          <w:p w14:paraId="2969EA7B">
            <w:pPr>
              <w:adjustRightInd w:val="0"/>
              <w:snapToGrid w:val="0"/>
              <w:spacing w:line="500" w:lineRule="exact"/>
              <w:ind w:firstLine="488"/>
              <w:jc w:val="left"/>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物料公路运输使用达到国五及以上排放标准重型载货车辆或新能源车辆，非道路移动机械达到国三标准。施工机械进入作业现场施工，作业单位或者个人应当通过柴油动力移动源排气污染防治信息管理系统查询核实其编码登记信息和污染物排放情况，并做好进出场情况、燃料和氮氧化物还原剂购买使用等台账管理记录。未经编码登记或者不符合排放标准的施工机械不得进入作业现场施工。</w:t>
            </w:r>
          </w:p>
          <w:p w14:paraId="45EC7B8A">
            <w:pPr>
              <w:adjustRightInd w:val="0"/>
              <w:snapToGrid w:val="0"/>
              <w:spacing w:line="500" w:lineRule="exact"/>
              <w:ind w:firstLine="488"/>
              <w:jc w:val="left"/>
              <w:rPr>
                <w:rFonts w:hint="eastAsia" w:ascii="Times New Roman" w:hAnsi="Times New Roman"/>
                <w:b/>
                <w:bCs/>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为减少对周围环境的影响，运输路线应尽量避开敏感点。由于运输道路平坦，四周环境开阔，有利于尾气扩散，对周围环境影响不大。而且本项目施工期时间不长，施工期汽车产生的NO</w:t>
            </w:r>
            <w:r>
              <w:rPr>
                <w:rFonts w:hint="default" w:ascii="Times New Roman" w:hAnsi="Times New Roman" w:cs="Times New Roman"/>
                <w:color w:val="000000" w:themeColor="text1"/>
                <w:sz w:val="24"/>
                <w:highlight w:val="none"/>
                <w:vertAlign w:val="subscript"/>
                <w14:textFill>
                  <w14:solidFill>
                    <w14:schemeClr w14:val="tx1"/>
                  </w14:solidFill>
                </w14:textFill>
              </w:rPr>
              <w:t>x</w:t>
            </w:r>
            <w:r>
              <w:rPr>
                <w:rFonts w:hint="default" w:ascii="Times New Roman" w:hAnsi="Times New Roman" w:cs="Times New Roman"/>
                <w:color w:val="000000" w:themeColor="text1"/>
                <w:sz w:val="24"/>
                <w:highlight w:val="none"/>
                <w14:textFill>
                  <w14:solidFill>
                    <w14:schemeClr w14:val="tx1"/>
                  </w14:solidFill>
                </w14:textFill>
              </w:rPr>
              <w:t>、CO和烃类物质对周围环境影响在施工结束后即可消除。</w:t>
            </w:r>
          </w:p>
          <w:p w14:paraId="2AC64E58">
            <w:pPr>
              <w:widowControl/>
              <w:wordWrap w:val="0"/>
              <w:spacing w:line="500" w:lineRule="exact"/>
              <w:jc w:val="left"/>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4.1.</w:t>
            </w:r>
            <w:r>
              <w:rPr>
                <w:rFonts w:ascii="Times New Roman" w:hAnsi="Times New Roman"/>
                <w:b/>
                <w:bCs/>
                <w:color w:val="auto"/>
                <w:kern w:val="0"/>
                <w:sz w:val="24"/>
                <w:szCs w:val="24"/>
                <w:highlight w:val="none"/>
              </w:rPr>
              <w:t>2废水防治措施</w:t>
            </w:r>
          </w:p>
          <w:p w14:paraId="50CCA7BC">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（1）建设期生活污水</w:t>
            </w:r>
          </w:p>
          <w:p w14:paraId="3EC37506">
            <w:pPr>
              <w:widowControl/>
              <w:wordWrap w:val="0"/>
              <w:spacing w:line="500" w:lineRule="exact"/>
              <w:ind w:firstLine="480" w:firstLineChars="200"/>
              <w:jc w:val="left"/>
              <w:rPr>
                <w:rFonts w:ascii="Times New Roman" w:hAnsi="Times New Roman"/>
                <w:color w:val="FF0000"/>
                <w:kern w:val="0"/>
                <w:sz w:val="24"/>
                <w:szCs w:val="24"/>
                <w:highlight w:val="none"/>
              </w:rPr>
            </w:pPr>
            <w:r>
              <w:rPr>
                <w:rFonts w:ascii="Times New Roman" w:hAnsi="Times New Roman"/>
                <w:color w:val="000000" w:themeColor="text1"/>
                <w:kern w:val="0"/>
                <w:sz w:val="24"/>
                <w:szCs w:val="24"/>
                <w:highlight w:val="none"/>
                <w14:textFill>
                  <w14:solidFill>
                    <w14:schemeClr w14:val="tx1"/>
                  </w14:solidFill>
                </w14:textFill>
              </w:rPr>
              <w:t>本项目建设期施工人员生活污水应经化粪池预处理后，纳管排入</w:t>
            </w:r>
            <w:r>
              <w:rPr>
                <w:rFonts w:hint="default" w:ascii="Times New Roman" w:hAnsi="Times New Roman"/>
                <w:color w:val="000000" w:themeColor="text1"/>
                <w:kern w:val="0"/>
                <w:sz w:val="24"/>
                <w:szCs w:val="24"/>
                <w:highlight w:val="none"/>
                <w14:textFill>
                  <w14:solidFill>
                    <w14:schemeClr w14:val="tx1"/>
                  </w14:solidFill>
                </w14:textFill>
              </w:rPr>
              <w:t>德清县恒丰污水处理有限公司</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及湖州碧水源环境科技有限公司</w:t>
            </w:r>
            <w:r>
              <w:rPr>
                <w:rFonts w:ascii="Times New Roman" w:hAnsi="Times New Roman"/>
                <w:color w:val="000000" w:themeColor="text1"/>
                <w:kern w:val="0"/>
                <w:sz w:val="24"/>
                <w:szCs w:val="24"/>
                <w:highlight w:val="none"/>
                <w14:textFill>
                  <w14:solidFill>
                    <w14:schemeClr w14:val="tx1"/>
                  </w14:solidFill>
                </w14:textFill>
              </w:rPr>
              <w:t>集中处理后达标排放。</w:t>
            </w:r>
          </w:p>
          <w:p w14:paraId="07ACE699">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（2）建设期施工废水</w:t>
            </w:r>
          </w:p>
          <w:p w14:paraId="0B70B6DF">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本项目施工废水通过完善施工场地内临时排水系统，并在施工场地四周设截水沟防止雨水直接进入周边水体，另土地平整后及时进行硬化和绿化，以减少雨水冲刷裸露地面产生的含砂雨水径流。</w:t>
            </w:r>
          </w:p>
          <w:p w14:paraId="6C4BAB90">
            <w:pPr>
              <w:widowControl/>
              <w:wordWrap w:val="0"/>
              <w:spacing w:line="500" w:lineRule="exact"/>
              <w:jc w:val="left"/>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4.1.</w:t>
            </w:r>
            <w:r>
              <w:rPr>
                <w:rFonts w:ascii="Times New Roman" w:hAnsi="Times New Roman"/>
                <w:b/>
                <w:bCs/>
                <w:color w:val="auto"/>
                <w:kern w:val="0"/>
                <w:sz w:val="24"/>
                <w:szCs w:val="24"/>
                <w:highlight w:val="none"/>
              </w:rPr>
              <w:t>3噪声防治措施</w:t>
            </w:r>
          </w:p>
          <w:p w14:paraId="0A7C8AD7">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建设期噪声对项目周边地区影响较大，为减少对周围环境的影响，评价要求施工单位采取以下噪声防治措施：</w:t>
            </w:r>
          </w:p>
          <w:p w14:paraId="1E094D2A">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（1）采用先进施工设备和工艺，平时注意机械保养，使机械保持最低声级水平。</w:t>
            </w:r>
          </w:p>
          <w:p w14:paraId="5F4142CE">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2）施工单位应合理组织施工作业流程，合理安排各类施工机械的工作时间，尤其夜间（22时至次日凌晨6时）严禁高噪声设备进行施工作业，夜间如必须施工，需取得夜间施工许可，方可施工；夜间严禁打桩等高噪声作业；施工单位应该避免在高考、中考等特殊时段进行施工。</w:t>
            </w:r>
          </w:p>
          <w:p w14:paraId="05BDFAED">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（3）施工车辆经过周边居民住宅等环境敏感目标时应减速慢行，严禁鸣笛。</w:t>
            </w:r>
          </w:p>
          <w:p w14:paraId="60399069">
            <w:pPr>
              <w:widowControl/>
              <w:wordWrap w:val="0"/>
              <w:spacing w:line="500" w:lineRule="exact"/>
              <w:jc w:val="left"/>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4.1.</w:t>
            </w:r>
            <w:r>
              <w:rPr>
                <w:rFonts w:ascii="Times New Roman" w:hAnsi="Times New Roman"/>
                <w:b/>
                <w:bCs/>
                <w:color w:val="auto"/>
                <w:kern w:val="0"/>
                <w:sz w:val="24"/>
                <w:szCs w:val="24"/>
                <w:highlight w:val="none"/>
              </w:rPr>
              <w:t>4固体废物防治措施</w:t>
            </w:r>
          </w:p>
          <w:p w14:paraId="0D1D8E16">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建设期产生的固体废物主要为施工人员生活垃圾和构建筑物施工过程中产生的建筑垃圾等。</w:t>
            </w:r>
          </w:p>
          <w:p w14:paraId="1C73003C">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（1）建设期生活垃圾</w:t>
            </w:r>
          </w:p>
          <w:p w14:paraId="1E60F63E">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施工期间，施工人员的生活垃圾应分类收集在垃圾集中堆放场地，由环卫部门统一清运处理。</w:t>
            </w:r>
          </w:p>
          <w:p w14:paraId="4217E12B">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（2）建设期建筑垃圾</w:t>
            </w:r>
          </w:p>
          <w:p w14:paraId="280775D1">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①废土石方。项目基础开挖产生的土石方用于抬高地基和绿化用土，多余废土石方由施工方负责外运作综合利用，如作为施工填筑材料、绿化用土等。建设方应严格按规范运输，安排专人负责清运，防止随地散落、随意倾倒建筑垃圾的现象发生。</w:t>
            </w:r>
          </w:p>
          <w:p w14:paraId="6180450B">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②建筑废料。各种建筑材料（如砂石、水泥、砖、木材等）将产生大量建筑垃圾，必须按照市容环卫、环保和建筑业管理部门的有关规定进行处置，将混凝土块连同弃土、砖瓦、弃渣等外运至指定的垃圾堆放场所或用于回填低洼地带，建筑垃圾中钢筋等回收利用，其它用封闭式废土运输车及时清运，不能随意抛弃、转移和扩散。防止出现将垃圾随意倒入附近河道的现象。</w:t>
            </w:r>
          </w:p>
          <w:p w14:paraId="22CEF42B">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③包装材料。包装材料则大部分可加以回收利用，在施工场内要设置专门场所进行回收和堆放，集中后加以回收利用。</w:t>
            </w:r>
          </w:p>
          <w:p w14:paraId="051C5D74">
            <w:pPr>
              <w:widowControl/>
              <w:wordWrap w:val="0"/>
              <w:spacing w:line="500" w:lineRule="exact"/>
              <w:jc w:val="left"/>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4.1.</w:t>
            </w:r>
            <w:r>
              <w:rPr>
                <w:rFonts w:ascii="Times New Roman" w:hAnsi="Times New Roman"/>
                <w:b/>
                <w:bCs/>
                <w:color w:val="auto"/>
                <w:kern w:val="0"/>
                <w:sz w:val="24"/>
                <w:szCs w:val="24"/>
                <w:highlight w:val="none"/>
              </w:rPr>
              <w:t>5振动防治措施</w:t>
            </w:r>
          </w:p>
          <w:p w14:paraId="63F2CAB1">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（1）科学合理的施工现场布局是减少施工振动的重要途径，在满足施工作业的前提下</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应充分考虑施工场地布置与周边环境的相对位置关系，将施工现场的固定振动源</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如加工车间、料场等相对集中</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以缩小振动干扰的范围。</w:t>
            </w:r>
          </w:p>
          <w:p w14:paraId="4A0D2DB1">
            <w:pPr>
              <w:widowControl/>
              <w:wordWrap w:val="0"/>
              <w:spacing w:line="500" w:lineRule="exact"/>
              <w:ind w:firstLine="480" w:firstLineChars="200"/>
              <w:jc w:val="left"/>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（2）在保证施工进度的前提下</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优化施工方案</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合理安排作业时间，在环境振动背景值较高的时段内进行高振动作业，限制夜间进行有强振动污染严重的施工作业</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并做到文明施工。</w:t>
            </w:r>
          </w:p>
          <w:p w14:paraId="72D53BB7">
            <w:pPr>
              <w:pStyle w:val="7"/>
              <w:rPr>
                <w:rFonts w:hint="eastAsia" w:ascii="Times New Roman" w:hAnsi="Times New Roman" w:eastAsia="宋体" w:cs="Times New Roman"/>
                <w:color w:val="FF0000"/>
                <w:kern w:val="0"/>
                <w:sz w:val="24"/>
                <w:szCs w:val="24"/>
              </w:rPr>
            </w:pPr>
          </w:p>
          <w:p w14:paraId="590AE609">
            <w:pPr>
              <w:rPr>
                <w:rFonts w:hint="eastAsia" w:ascii="Times New Roman" w:hAnsi="Times New Roman" w:eastAsia="宋体" w:cs="Times New Roman"/>
                <w:color w:val="FF0000"/>
                <w:kern w:val="0"/>
                <w:sz w:val="24"/>
                <w:szCs w:val="24"/>
              </w:rPr>
            </w:pPr>
          </w:p>
          <w:p w14:paraId="6FCA0DB8">
            <w:pPr>
              <w:pStyle w:val="7"/>
              <w:rPr>
                <w:rFonts w:hint="eastAsia" w:ascii="Times New Roman" w:hAnsi="Times New Roman" w:eastAsia="宋体" w:cs="Times New Roman"/>
                <w:color w:val="FF0000"/>
                <w:kern w:val="0"/>
                <w:sz w:val="24"/>
                <w:szCs w:val="24"/>
              </w:rPr>
            </w:pPr>
          </w:p>
          <w:p w14:paraId="159BF000">
            <w:pPr>
              <w:rPr>
                <w:rFonts w:hint="eastAsia" w:ascii="Times New Roman" w:hAnsi="Times New Roman" w:eastAsia="宋体" w:cs="Times New Roman"/>
                <w:color w:val="FF0000"/>
                <w:kern w:val="0"/>
                <w:sz w:val="24"/>
                <w:szCs w:val="24"/>
              </w:rPr>
            </w:pPr>
          </w:p>
          <w:p w14:paraId="4DD7C067">
            <w:pPr>
              <w:pStyle w:val="7"/>
              <w:rPr>
                <w:rFonts w:hint="eastAsia" w:ascii="Times New Roman" w:hAnsi="Times New Roman" w:eastAsia="宋体" w:cs="Times New Roman"/>
                <w:color w:val="FF0000"/>
                <w:kern w:val="0"/>
                <w:sz w:val="24"/>
                <w:szCs w:val="24"/>
              </w:rPr>
            </w:pPr>
          </w:p>
          <w:p w14:paraId="53BE2BB9">
            <w:pPr>
              <w:rPr>
                <w:rFonts w:hint="eastAsia" w:ascii="Times New Roman" w:hAnsi="Times New Roman" w:eastAsia="宋体" w:cs="Times New Roman"/>
                <w:color w:val="FF0000"/>
                <w:kern w:val="0"/>
                <w:sz w:val="24"/>
                <w:szCs w:val="24"/>
              </w:rPr>
            </w:pPr>
          </w:p>
          <w:p w14:paraId="7807B70B">
            <w:pPr>
              <w:pStyle w:val="7"/>
              <w:rPr>
                <w:rFonts w:hint="eastAsia" w:ascii="Times New Roman" w:hAnsi="Times New Roman" w:eastAsia="宋体" w:cs="Times New Roman"/>
                <w:color w:val="FF0000"/>
                <w:kern w:val="0"/>
                <w:sz w:val="24"/>
                <w:szCs w:val="24"/>
              </w:rPr>
            </w:pPr>
          </w:p>
          <w:p w14:paraId="74F889B3">
            <w:pPr>
              <w:rPr>
                <w:rFonts w:hint="eastAsia" w:ascii="Times New Roman" w:hAnsi="Times New Roman" w:eastAsia="宋体" w:cs="Times New Roman"/>
                <w:color w:val="FF0000"/>
                <w:kern w:val="0"/>
                <w:sz w:val="24"/>
                <w:szCs w:val="24"/>
              </w:rPr>
            </w:pPr>
          </w:p>
          <w:p w14:paraId="207C1214">
            <w:pPr>
              <w:pStyle w:val="7"/>
              <w:rPr>
                <w:rFonts w:hint="eastAsia" w:ascii="Times New Roman" w:hAnsi="Times New Roman" w:eastAsia="宋体" w:cs="Times New Roman"/>
                <w:color w:val="FF0000"/>
                <w:kern w:val="0"/>
                <w:sz w:val="24"/>
                <w:szCs w:val="24"/>
              </w:rPr>
            </w:pPr>
          </w:p>
          <w:p w14:paraId="1766D39C">
            <w:pPr>
              <w:rPr>
                <w:rFonts w:hint="eastAsia" w:ascii="Times New Roman" w:hAnsi="Times New Roman" w:eastAsia="宋体" w:cs="Times New Roman"/>
                <w:color w:val="FF0000"/>
                <w:kern w:val="0"/>
                <w:sz w:val="24"/>
                <w:szCs w:val="24"/>
              </w:rPr>
            </w:pPr>
          </w:p>
          <w:p w14:paraId="4D4BF05B">
            <w:pPr>
              <w:pStyle w:val="7"/>
              <w:rPr>
                <w:rFonts w:hint="eastAsia" w:ascii="Times New Roman" w:hAnsi="Times New Roman" w:eastAsia="宋体" w:cs="Times New Roman"/>
                <w:color w:val="FF0000"/>
                <w:kern w:val="0"/>
                <w:sz w:val="24"/>
                <w:szCs w:val="24"/>
              </w:rPr>
            </w:pPr>
          </w:p>
          <w:p w14:paraId="6EBFBB1F">
            <w:pPr>
              <w:rPr>
                <w:rFonts w:hint="eastAsia" w:ascii="Times New Roman" w:hAnsi="Times New Roman" w:eastAsia="宋体" w:cs="Times New Roman"/>
                <w:color w:val="FF0000"/>
                <w:kern w:val="0"/>
                <w:sz w:val="24"/>
                <w:szCs w:val="24"/>
              </w:rPr>
            </w:pPr>
          </w:p>
          <w:p w14:paraId="668FD291">
            <w:pPr>
              <w:pStyle w:val="7"/>
              <w:rPr>
                <w:rFonts w:hint="eastAsia" w:ascii="Times New Roman" w:hAnsi="Times New Roman" w:eastAsia="宋体" w:cs="Times New Roman"/>
                <w:color w:val="FF0000"/>
                <w:kern w:val="0"/>
                <w:sz w:val="24"/>
                <w:szCs w:val="24"/>
              </w:rPr>
            </w:pPr>
          </w:p>
          <w:p w14:paraId="26504583">
            <w:pPr>
              <w:rPr>
                <w:rFonts w:hint="eastAsia" w:ascii="Times New Roman" w:hAnsi="Times New Roman" w:eastAsia="宋体" w:cs="Times New Roman"/>
                <w:color w:val="FF0000"/>
                <w:kern w:val="0"/>
                <w:sz w:val="24"/>
                <w:szCs w:val="24"/>
              </w:rPr>
            </w:pPr>
          </w:p>
          <w:p w14:paraId="65184C6C">
            <w:pPr>
              <w:pStyle w:val="7"/>
              <w:rPr>
                <w:rFonts w:hint="eastAsia" w:ascii="Times New Roman" w:hAnsi="Times New Roman" w:eastAsia="宋体" w:cs="Times New Roman"/>
                <w:color w:val="FF0000"/>
                <w:kern w:val="0"/>
                <w:sz w:val="24"/>
                <w:szCs w:val="24"/>
              </w:rPr>
            </w:pPr>
          </w:p>
          <w:p w14:paraId="139E7E7D">
            <w:pPr>
              <w:rPr>
                <w:rFonts w:hint="eastAsia" w:ascii="Times New Roman" w:hAnsi="Times New Roman" w:eastAsia="宋体" w:cs="Times New Roman"/>
                <w:color w:val="FF0000"/>
                <w:kern w:val="0"/>
                <w:sz w:val="24"/>
                <w:szCs w:val="24"/>
              </w:rPr>
            </w:pPr>
          </w:p>
          <w:p w14:paraId="4C95CB76">
            <w:pPr>
              <w:pStyle w:val="7"/>
              <w:rPr>
                <w:rFonts w:hint="eastAsia" w:ascii="Times New Roman" w:hAnsi="Times New Roman" w:eastAsia="宋体" w:cs="Times New Roman"/>
                <w:color w:val="FF0000"/>
                <w:kern w:val="0"/>
                <w:sz w:val="24"/>
                <w:szCs w:val="24"/>
              </w:rPr>
            </w:pPr>
          </w:p>
          <w:p w14:paraId="5E5CF3CC">
            <w:pPr>
              <w:rPr>
                <w:rFonts w:hint="eastAsia" w:ascii="Times New Roman" w:hAnsi="Times New Roman" w:eastAsia="宋体" w:cs="Times New Roman"/>
                <w:color w:val="FF0000"/>
                <w:kern w:val="0"/>
                <w:sz w:val="24"/>
                <w:szCs w:val="24"/>
              </w:rPr>
            </w:pPr>
          </w:p>
          <w:p w14:paraId="76F8B8D2">
            <w:pPr>
              <w:pStyle w:val="7"/>
              <w:rPr>
                <w:rFonts w:hint="eastAsia" w:ascii="Times New Roman" w:hAnsi="Times New Roman" w:eastAsia="宋体" w:cs="Times New Roman"/>
                <w:color w:val="FF0000"/>
                <w:kern w:val="0"/>
                <w:sz w:val="24"/>
                <w:szCs w:val="24"/>
              </w:rPr>
            </w:pPr>
          </w:p>
          <w:p w14:paraId="2E5E405F">
            <w:pPr>
              <w:rPr>
                <w:rFonts w:hint="eastAsia" w:ascii="Times New Roman" w:hAnsi="Times New Roman" w:eastAsia="宋体" w:cs="Times New Roman"/>
                <w:color w:val="FF0000"/>
                <w:kern w:val="0"/>
                <w:sz w:val="24"/>
                <w:szCs w:val="24"/>
              </w:rPr>
            </w:pPr>
          </w:p>
          <w:p w14:paraId="708F164E">
            <w:pPr>
              <w:pStyle w:val="7"/>
              <w:rPr>
                <w:rFonts w:hint="eastAsia" w:ascii="Times New Roman" w:hAnsi="Times New Roman" w:eastAsia="宋体" w:cs="Times New Roman"/>
                <w:color w:val="FF0000"/>
                <w:kern w:val="0"/>
                <w:sz w:val="24"/>
                <w:szCs w:val="24"/>
              </w:rPr>
            </w:pPr>
          </w:p>
          <w:p w14:paraId="22779E11">
            <w:pPr>
              <w:rPr>
                <w:rFonts w:hint="eastAsia" w:ascii="Times New Roman" w:hAnsi="Times New Roman" w:eastAsia="宋体" w:cs="Times New Roman"/>
                <w:color w:val="FF0000"/>
                <w:kern w:val="0"/>
                <w:sz w:val="24"/>
                <w:szCs w:val="24"/>
              </w:rPr>
            </w:pPr>
          </w:p>
          <w:p w14:paraId="2EFB507F">
            <w:pPr>
              <w:pStyle w:val="7"/>
              <w:rPr>
                <w:rFonts w:hint="eastAsia" w:ascii="Times New Roman" w:hAnsi="Times New Roman" w:eastAsia="宋体" w:cs="Times New Roman"/>
                <w:color w:val="FF0000"/>
                <w:kern w:val="0"/>
                <w:sz w:val="24"/>
                <w:szCs w:val="24"/>
              </w:rPr>
            </w:pPr>
          </w:p>
          <w:p w14:paraId="466E8E17">
            <w:pPr>
              <w:rPr>
                <w:rFonts w:hint="eastAsia" w:ascii="Times New Roman" w:hAnsi="Times New Roman" w:eastAsia="宋体" w:cs="Times New Roman"/>
                <w:color w:val="FF0000"/>
                <w:kern w:val="0"/>
                <w:sz w:val="24"/>
                <w:szCs w:val="24"/>
              </w:rPr>
            </w:pPr>
          </w:p>
          <w:p w14:paraId="10EF0E76">
            <w:pPr>
              <w:pStyle w:val="7"/>
              <w:rPr>
                <w:rFonts w:hint="eastAsia" w:ascii="Times New Roman" w:hAnsi="Times New Roman" w:eastAsia="宋体" w:cs="Times New Roman"/>
                <w:color w:val="FF0000"/>
                <w:kern w:val="0"/>
                <w:sz w:val="24"/>
                <w:szCs w:val="24"/>
              </w:rPr>
            </w:pPr>
          </w:p>
          <w:p w14:paraId="3901119B">
            <w:pPr>
              <w:rPr>
                <w:rFonts w:hint="eastAsia" w:ascii="Times New Roman" w:hAnsi="Times New Roman" w:eastAsia="宋体" w:cs="Times New Roman"/>
                <w:color w:val="FF0000"/>
                <w:kern w:val="0"/>
                <w:sz w:val="24"/>
                <w:szCs w:val="24"/>
              </w:rPr>
            </w:pPr>
          </w:p>
          <w:p w14:paraId="0B2930CC">
            <w:pPr>
              <w:spacing w:line="500" w:lineRule="exact"/>
              <w:rPr>
                <w:rFonts w:ascii="Times New Roman" w:hAnsi="Times New Roman" w:eastAsia="宋体" w:cs="Times New Roman"/>
                <w:color w:val="FF0000"/>
                <w:kern w:val="0"/>
                <w:sz w:val="24"/>
                <w:szCs w:val="24"/>
              </w:rPr>
            </w:pPr>
          </w:p>
        </w:tc>
      </w:tr>
    </w:tbl>
    <w:p w14:paraId="329AD838">
      <w:pPr>
        <w:rPr>
          <w:rFonts w:hint="eastAsia"/>
          <w:color w:val="FF0000"/>
        </w:rPr>
      </w:pPr>
    </w:p>
    <w:p w14:paraId="11AF73BC">
      <w:pPr>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62D755A">
      <w:pPr>
        <w:pStyle w:val="7"/>
        <w:rPr>
          <w:rFonts w:hint="eastAsia"/>
          <w:color w:val="FF0000"/>
        </w:rPr>
      </w:pPr>
    </w:p>
    <w:tbl>
      <w:tblPr>
        <w:tblStyle w:val="23"/>
        <w:tblW w:w="14740" w:type="dxa"/>
        <w:jc w:val="center"/>
        <w:tblLayout w:type="fixed"/>
        <w:tblCellMar>
          <w:top w:w="0" w:type="dxa"/>
          <w:left w:w="0" w:type="dxa"/>
          <w:bottom w:w="0" w:type="dxa"/>
          <w:right w:w="0" w:type="dxa"/>
        </w:tblCellMar>
      </w:tblPr>
      <w:tblGrid>
        <w:gridCol w:w="14740"/>
      </w:tblGrid>
      <w:tr w14:paraId="13A87094">
        <w:tblPrEx>
          <w:tblCellMar>
            <w:top w:w="0" w:type="dxa"/>
            <w:left w:w="0" w:type="dxa"/>
            <w:bottom w:w="0" w:type="dxa"/>
            <w:right w:w="0" w:type="dxa"/>
          </w:tblCellMar>
        </w:tblPrEx>
        <w:trPr>
          <w:trHeight w:val="7574" w:hRule="atLeast"/>
          <w:jc w:val="center"/>
        </w:trPr>
        <w:tc>
          <w:tcPr>
            <w:tcW w:w="1474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7945149">
            <w:pPr>
              <w:pStyle w:val="63"/>
              <w:spacing w:line="360" w:lineRule="auto"/>
              <w:rPr>
                <w:rFonts w:ascii="Times New Roman" w:hAnsi="Times New Roman" w:eastAsia="宋体" w:cs="Times New Roman"/>
                <w:color w:val="auto"/>
                <w:kern w:val="0"/>
              </w:rPr>
            </w:pPr>
            <w:r>
              <w:rPr>
                <w:rFonts w:hint="eastAsia" w:ascii="Times New Roman" w:hAnsi="Times New Roman" w:cs="Times New Roman"/>
                <w:b/>
                <w:bCs/>
                <w:color w:val="auto"/>
                <w:szCs w:val="20"/>
              </w:rPr>
              <w:t>4.2 营运期环境影响和保护措施</w:t>
            </w:r>
          </w:p>
          <w:p w14:paraId="096B451A">
            <w:pPr>
              <w:spacing w:line="360" w:lineRule="auto"/>
              <w:textAlignment w:val="center"/>
              <w:rPr>
                <w:rFonts w:ascii="Times New Roman" w:hAnsi="Times New Roman" w:eastAsia="宋体" w:cs="Times New Roman"/>
                <w:b/>
                <w:color w:val="auto"/>
                <w:sz w:val="24"/>
                <w:szCs w:val="24"/>
              </w:rPr>
            </w:pPr>
            <w:r>
              <w:rPr>
                <w:rFonts w:hint="eastAsia" w:ascii="Times New Roman" w:hAnsi="Times New Roman" w:cs="Times New Roman"/>
                <w:b/>
                <w:bCs/>
                <w:color w:val="auto"/>
                <w:sz w:val="24"/>
                <w:szCs w:val="20"/>
              </w:rPr>
              <w:t>4.2.1 废气</w:t>
            </w:r>
          </w:p>
          <w:p w14:paraId="73C38022">
            <w:pPr>
              <w:spacing w:line="460" w:lineRule="exact"/>
              <w:jc w:val="center"/>
              <w:outlineLvl w:val="0"/>
              <w:rPr>
                <w:rFonts w:ascii="Times New Roman" w:hAnsi="Times New Roman" w:eastAsia="宋体" w:cs="Times New Roman"/>
                <w:b/>
                <w:bCs/>
                <w:color w:val="auto"/>
                <w:kern w:val="0"/>
                <w:szCs w:val="21"/>
              </w:rPr>
            </w:pPr>
            <w:bookmarkStart w:id="10" w:name="_Toc32139"/>
            <w:r>
              <w:rPr>
                <w:rFonts w:ascii="Times New Roman" w:hAnsi="Times New Roman" w:eastAsia="宋体" w:cs="Times New Roman"/>
                <w:b/>
                <w:color w:val="auto"/>
                <w:kern w:val="0"/>
                <w:szCs w:val="21"/>
              </w:rPr>
              <w:t>表</w:t>
            </w:r>
            <w:r>
              <w:rPr>
                <w:rFonts w:hint="eastAsia" w:ascii="Times New Roman" w:hAnsi="Times New Roman" w:eastAsia="宋体" w:cs="Times New Roman"/>
                <w:b/>
                <w:color w:val="auto"/>
                <w:kern w:val="0"/>
                <w:szCs w:val="21"/>
              </w:rPr>
              <w:t>4</w:t>
            </w:r>
            <w:r>
              <w:rPr>
                <w:rFonts w:ascii="Times New Roman" w:hAnsi="Times New Roman" w:eastAsia="宋体" w:cs="Times New Roman"/>
                <w:b/>
                <w:color w:val="auto"/>
                <w:kern w:val="0"/>
                <w:szCs w:val="21"/>
              </w:rPr>
              <w:t>-</w:t>
            </w:r>
            <w:r>
              <w:rPr>
                <w:rFonts w:hint="eastAsia" w:ascii="Times New Roman" w:hAnsi="Times New Roman" w:eastAsia="宋体" w:cs="Times New Roman"/>
                <w:b/>
                <w:color w:val="auto"/>
                <w:kern w:val="0"/>
                <w:szCs w:val="21"/>
              </w:rPr>
              <w:t xml:space="preserve">1 </w:t>
            </w:r>
            <w:r>
              <w:rPr>
                <w:rFonts w:ascii="Times New Roman" w:hAnsi="Times New Roman" w:eastAsia="宋体" w:cs="Times New Roman"/>
                <w:b/>
                <w:bCs/>
                <w:color w:val="auto"/>
                <w:kern w:val="0"/>
                <w:szCs w:val="21"/>
              </w:rPr>
              <w:t>废气产生情况一览表</w:t>
            </w:r>
            <w:bookmarkEnd w:id="10"/>
          </w:p>
          <w:tbl>
            <w:tblPr>
              <w:tblStyle w:val="23"/>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456"/>
              <w:gridCol w:w="3072"/>
              <w:gridCol w:w="2359"/>
              <w:gridCol w:w="3101"/>
            </w:tblGrid>
            <w:tr w14:paraId="0EAF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tcBorders>
                    <w:tl2br w:val="nil"/>
                    <w:tr2bl w:val="nil"/>
                  </w:tcBorders>
                  <w:noWrap/>
                  <w:vAlign w:val="center"/>
                </w:tcPr>
                <w:p w14:paraId="05C5B841">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产排污环节</w:t>
                  </w:r>
                </w:p>
              </w:tc>
              <w:tc>
                <w:tcPr>
                  <w:tcW w:w="2456" w:type="dxa"/>
                  <w:tcBorders>
                    <w:tl2br w:val="nil"/>
                    <w:tr2bl w:val="nil"/>
                  </w:tcBorders>
                  <w:noWrap/>
                  <w:vAlign w:val="center"/>
                </w:tcPr>
                <w:p w14:paraId="07F723AE">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污染物种类</w:t>
                  </w:r>
                </w:p>
              </w:tc>
              <w:tc>
                <w:tcPr>
                  <w:tcW w:w="3072" w:type="dxa"/>
                  <w:tcBorders>
                    <w:tl2br w:val="nil"/>
                    <w:tr2bl w:val="nil"/>
                  </w:tcBorders>
                  <w:noWrap/>
                  <w:vAlign w:val="center"/>
                </w:tcPr>
                <w:p w14:paraId="5C81F7BC">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产生量（t/a）</w:t>
                  </w:r>
                </w:p>
              </w:tc>
              <w:tc>
                <w:tcPr>
                  <w:tcW w:w="2359" w:type="dxa"/>
                  <w:tcBorders>
                    <w:tl2br w:val="nil"/>
                    <w:tr2bl w:val="nil"/>
                  </w:tcBorders>
                  <w:noWrap/>
                  <w:vAlign w:val="center"/>
                </w:tcPr>
                <w:p w14:paraId="4BA87504">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工作时间（h）</w:t>
                  </w:r>
                </w:p>
              </w:tc>
              <w:tc>
                <w:tcPr>
                  <w:tcW w:w="3101" w:type="dxa"/>
                  <w:tcBorders>
                    <w:tl2br w:val="nil"/>
                    <w:tr2bl w:val="nil"/>
                  </w:tcBorders>
                  <w:noWrap/>
                  <w:vAlign w:val="center"/>
                </w:tcPr>
                <w:p w14:paraId="28634CBA">
                  <w:pPr>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产生速率（kg/h）</w:t>
                  </w:r>
                </w:p>
              </w:tc>
            </w:tr>
            <w:tr w14:paraId="49A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vMerge w:val="restart"/>
                  <w:noWrap/>
                  <w:vAlign w:val="center"/>
                </w:tcPr>
                <w:p w14:paraId="77BF1206">
                  <w:pPr>
                    <w:adjustRightInd w:val="0"/>
                    <w:snapToGrid w:val="0"/>
                    <w:jc w:val="center"/>
                    <w:rPr>
                      <w:rFonts w:hint="default" w:ascii="Times New Roman" w:hAnsi="Times New Roman" w:eastAsia="宋体" w:cs="Times New Roman"/>
                      <w:bCs/>
                      <w:color w:val="auto"/>
                      <w:kern w:val="0"/>
                      <w:szCs w:val="21"/>
                      <w:lang w:val="en-US" w:eastAsia="zh-CN"/>
                    </w:rPr>
                  </w:pPr>
                  <w:r>
                    <w:rPr>
                      <w:rFonts w:hint="eastAsia" w:ascii="Times New Roman" w:eastAsia="宋体" w:cs="Times New Roman"/>
                      <w:color w:val="auto"/>
                      <w:szCs w:val="21"/>
                      <w:lang w:val="en-US" w:eastAsia="zh-CN"/>
                    </w:rPr>
                    <w:t>焊锡、清洗</w:t>
                  </w:r>
                </w:p>
              </w:tc>
              <w:tc>
                <w:tcPr>
                  <w:tcW w:w="2456" w:type="dxa"/>
                  <w:noWrap/>
                  <w:vAlign w:val="center"/>
                </w:tcPr>
                <w:p w14:paraId="6FB524EC">
                  <w:pPr>
                    <w:jc w:val="center"/>
                    <w:rPr>
                      <w:rFonts w:hint="default" w:ascii="Times New Roman" w:hAnsi="Times New Roman" w:eastAsia="宋体" w:cs="Times New Roman"/>
                      <w:bCs/>
                      <w:color w:val="auto"/>
                      <w:kern w:val="0"/>
                      <w:szCs w:val="24"/>
                      <w:lang w:val="en-US" w:eastAsia="zh-CN"/>
                    </w:rPr>
                  </w:pPr>
                  <w:r>
                    <w:rPr>
                      <w:rFonts w:hint="eastAsia" w:ascii="Times New Roman" w:hAnsi="Times New Roman" w:eastAsia="宋体" w:cs="Times New Roman"/>
                      <w:bCs/>
                      <w:color w:val="auto"/>
                      <w:lang w:val="en-US" w:eastAsia="zh-CN"/>
                    </w:rPr>
                    <w:t>非甲烷总烃</w:t>
                  </w:r>
                </w:p>
              </w:tc>
              <w:tc>
                <w:tcPr>
                  <w:tcW w:w="3072" w:type="dxa"/>
                  <w:noWrap/>
                  <w:vAlign w:val="center"/>
                </w:tcPr>
                <w:p w14:paraId="5743A907">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0.048</w:t>
                  </w:r>
                </w:p>
              </w:tc>
              <w:tc>
                <w:tcPr>
                  <w:tcW w:w="2359" w:type="dxa"/>
                  <w:noWrap/>
                  <w:vAlign w:val="center"/>
                </w:tcPr>
                <w:p w14:paraId="5822E1B0">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2400</w:t>
                  </w:r>
                </w:p>
              </w:tc>
              <w:tc>
                <w:tcPr>
                  <w:tcW w:w="3101" w:type="dxa"/>
                  <w:noWrap/>
                  <w:vAlign w:val="center"/>
                </w:tcPr>
                <w:p w14:paraId="115FDFF6">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0.02</w:t>
                  </w:r>
                </w:p>
              </w:tc>
            </w:tr>
            <w:tr w14:paraId="079B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vMerge w:val="continue"/>
                  <w:noWrap/>
                  <w:vAlign w:val="center"/>
                </w:tcPr>
                <w:p w14:paraId="2AAE47B4">
                  <w:pPr>
                    <w:adjustRightInd w:val="0"/>
                    <w:snapToGrid w:val="0"/>
                    <w:jc w:val="center"/>
                    <w:rPr>
                      <w:rFonts w:hint="eastAsia" w:ascii="Times New Roman" w:eastAsia="宋体" w:cs="Times New Roman"/>
                      <w:color w:val="auto"/>
                      <w:szCs w:val="21"/>
                      <w:lang w:val="en-US" w:eastAsia="zh-CN"/>
                    </w:rPr>
                  </w:pPr>
                </w:p>
              </w:tc>
              <w:tc>
                <w:tcPr>
                  <w:tcW w:w="2456" w:type="dxa"/>
                  <w:noWrap/>
                  <w:vAlign w:val="center"/>
                </w:tcPr>
                <w:p w14:paraId="4E2F5E28">
                  <w:pPr>
                    <w:jc w:val="center"/>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臭气浓度</w:t>
                  </w:r>
                </w:p>
              </w:tc>
              <w:tc>
                <w:tcPr>
                  <w:tcW w:w="3072" w:type="dxa"/>
                  <w:noWrap/>
                  <w:vAlign w:val="center"/>
                </w:tcPr>
                <w:p w14:paraId="3D516478">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少量</w:t>
                  </w:r>
                </w:p>
              </w:tc>
              <w:tc>
                <w:tcPr>
                  <w:tcW w:w="2359" w:type="dxa"/>
                  <w:noWrap/>
                  <w:vAlign w:val="center"/>
                </w:tcPr>
                <w:p w14:paraId="49EA2F01">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2400</w:t>
                  </w:r>
                </w:p>
              </w:tc>
              <w:tc>
                <w:tcPr>
                  <w:tcW w:w="3101" w:type="dxa"/>
                  <w:noWrap/>
                  <w:vAlign w:val="center"/>
                </w:tcPr>
                <w:p w14:paraId="11455F07">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w:t>
                  </w:r>
                </w:p>
              </w:tc>
            </w:tr>
            <w:tr w14:paraId="61E9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vMerge w:val="restart"/>
                  <w:noWrap/>
                  <w:vAlign w:val="center"/>
                </w:tcPr>
                <w:p w14:paraId="2E595DAF">
                  <w:pPr>
                    <w:adjustRightInd w:val="0"/>
                    <w:snapToGrid w:val="0"/>
                    <w:jc w:val="center"/>
                    <w:rPr>
                      <w:rFonts w:hint="default" w:ascii="Times New Roman" w:eastAsia="宋体" w:cs="Times New Roman"/>
                      <w:color w:val="FF0000"/>
                      <w:szCs w:val="21"/>
                      <w:lang w:val="en-US" w:eastAsia="zh-CN"/>
                    </w:rPr>
                  </w:pPr>
                  <w:r>
                    <w:rPr>
                      <w:rFonts w:hint="eastAsia" w:ascii="Times New Roman" w:eastAsia="宋体" w:cs="Times New Roman"/>
                      <w:color w:val="auto"/>
                      <w:szCs w:val="21"/>
                      <w:lang w:val="en-US" w:eastAsia="zh-CN"/>
                    </w:rPr>
                    <w:t>塑封</w:t>
                  </w:r>
                </w:p>
              </w:tc>
              <w:tc>
                <w:tcPr>
                  <w:tcW w:w="2456" w:type="dxa"/>
                  <w:noWrap/>
                  <w:vAlign w:val="center"/>
                </w:tcPr>
                <w:p w14:paraId="43FB85E0">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非甲烷总烃</w:t>
                  </w:r>
                </w:p>
              </w:tc>
              <w:tc>
                <w:tcPr>
                  <w:tcW w:w="3072" w:type="dxa"/>
                  <w:noWrap/>
                  <w:vAlign w:val="center"/>
                </w:tcPr>
                <w:p w14:paraId="088F1AD1">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0.054</w:t>
                  </w:r>
                </w:p>
              </w:tc>
              <w:tc>
                <w:tcPr>
                  <w:tcW w:w="2359" w:type="dxa"/>
                  <w:noWrap/>
                  <w:vAlign w:val="center"/>
                </w:tcPr>
                <w:p w14:paraId="454AF980">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2400</w:t>
                  </w:r>
                </w:p>
              </w:tc>
              <w:tc>
                <w:tcPr>
                  <w:tcW w:w="3101" w:type="dxa"/>
                  <w:noWrap/>
                  <w:vAlign w:val="center"/>
                </w:tcPr>
                <w:p w14:paraId="37B9B8F8">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0.023</w:t>
                  </w:r>
                </w:p>
              </w:tc>
            </w:tr>
            <w:tr w14:paraId="3396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vMerge w:val="continue"/>
                  <w:noWrap/>
                  <w:vAlign w:val="center"/>
                </w:tcPr>
                <w:p w14:paraId="2DB70E49">
                  <w:pPr>
                    <w:adjustRightInd w:val="0"/>
                    <w:snapToGrid w:val="0"/>
                    <w:jc w:val="center"/>
                    <w:rPr>
                      <w:rFonts w:hint="eastAsia" w:ascii="Times New Roman" w:eastAsia="宋体" w:cs="Times New Roman"/>
                      <w:color w:val="auto"/>
                      <w:szCs w:val="21"/>
                      <w:lang w:val="en-US" w:eastAsia="zh-CN"/>
                    </w:rPr>
                  </w:pPr>
                </w:p>
              </w:tc>
              <w:tc>
                <w:tcPr>
                  <w:tcW w:w="2456" w:type="dxa"/>
                  <w:noWrap/>
                  <w:vAlign w:val="center"/>
                </w:tcPr>
                <w:p w14:paraId="2691598B">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苯乙烯</w:t>
                  </w:r>
                </w:p>
              </w:tc>
              <w:tc>
                <w:tcPr>
                  <w:tcW w:w="3072" w:type="dxa"/>
                  <w:noWrap/>
                  <w:vAlign w:val="center"/>
                </w:tcPr>
                <w:p w14:paraId="3F3EE89D">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0.054</w:t>
                  </w:r>
                </w:p>
              </w:tc>
              <w:tc>
                <w:tcPr>
                  <w:tcW w:w="2359" w:type="dxa"/>
                  <w:noWrap/>
                  <w:vAlign w:val="center"/>
                </w:tcPr>
                <w:p w14:paraId="0D34EF55">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2400</w:t>
                  </w:r>
                </w:p>
              </w:tc>
              <w:tc>
                <w:tcPr>
                  <w:tcW w:w="3101" w:type="dxa"/>
                  <w:noWrap/>
                  <w:vAlign w:val="center"/>
                </w:tcPr>
                <w:p w14:paraId="51C021CA">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0.023</w:t>
                  </w:r>
                </w:p>
              </w:tc>
            </w:tr>
            <w:tr w14:paraId="156F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vMerge w:val="continue"/>
                  <w:noWrap/>
                  <w:vAlign w:val="center"/>
                </w:tcPr>
                <w:p w14:paraId="260D8881">
                  <w:pPr>
                    <w:adjustRightInd w:val="0"/>
                    <w:snapToGrid w:val="0"/>
                    <w:jc w:val="center"/>
                    <w:rPr>
                      <w:rFonts w:hint="eastAsia" w:ascii="Times New Roman" w:eastAsia="宋体" w:cs="Times New Roman"/>
                      <w:color w:val="FF0000"/>
                      <w:szCs w:val="21"/>
                      <w:lang w:val="en-US" w:eastAsia="zh-CN"/>
                    </w:rPr>
                  </w:pPr>
                </w:p>
              </w:tc>
              <w:tc>
                <w:tcPr>
                  <w:tcW w:w="2456" w:type="dxa"/>
                  <w:noWrap/>
                  <w:vAlign w:val="center"/>
                </w:tcPr>
                <w:p w14:paraId="593A84D9">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臭气浓度</w:t>
                  </w:r>
                </w:p>
              </w:tc>
              <w:tc>
                <w:tcPr>
                  <w:tcW w:w="3072" w:type="dxa"/>
                  <w:noWrap/>
                  <w:vAlign w:val="center"/>
                </w:tcPr>
                <w:p w14:paraId="2251D7B5">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少量</w:t>
                  </w:r>
                </w:p>
              </w:tc>
              <w:tc>
                <w:tcPr>
                  <w:tcW w:w="2359" w:type="dxa"/>
                  <w:noWrap/>
                  <w:vAlign w:val="center"/>
                </w:tcPr>
                <w:p w14:paraId="5E3DC73C">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2400</w:t>
                  </w:r>
                </w:p>
              </w:tc>
              <w:tc>
                <w:tcPr>
                  <w:tcW w:w="3101" w:type="dxa"/>
                  <w:noWrap/>
                  <w:vAlign w:val="center"/>
                </w:tcPr>
                <w:p w14:paraId="6B108FA2">
                  <w:pPr>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w:t>
                  </w:r>
                </w:p>
              </w:tc>
            </w:tr>
            <w:tr w14:paraId="393C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8" w:type="dxa"/>
                  <w:noWrap/>
                  <w:vAlign w:val="center"/>
                </w:tcPr>
                <w:p w14:paraId="01884993">
                  <w:pPr>
                    <w:adjustRightInd w:val="0"/>
                    <w:snapToGrid w:val="0"/>
                    <w:jc w:val="center"/>
                    <w:rPr>
                      <w:rFonts w:hint="default" w:ascii="Times New Roman" w:eastAsia="宋体" w:cs="Times New Roman"/>
                      <w:color w:val="FF0000"/>
                      <w:szCs w:val="21"/>
                      <w:lang w:val="en-US" w:eastAsia="zh-CN"/>
                    </w:rPr>
                  </w:pPr>
                  <w:r>
                    <w:rPr>
                      <w:rFonts w:hint="eastAsia" w:ascii="Times New Roman" w:eastAsia="宋体" w:cs="Times New Roman"/>
                      <w:color w:val="000000" w:themeColor="text1"/>
                      <w:szCs w:val="21"/>
                      <w:lang w:val="en-US" w:eastAsia="zh-CN"/>
                      <w14:textFill>
                        <w14:solidFill>
                          <w14:schemeClr w14:val="tx1"/>
                        </w14:solidFill>
                      </w14:textFill>
                    </w:rPr>
                    <w:t>食堂烹饪</w:t>
                  </w:r>
                </w:p>
              </w:tc>
              <w:tc>
                <w:tcPr>
                  <w:tcW w:w="2456" w:type="dxa"/>
                  <w:noWrap/>
                  <w:vAlign w:val="center"/>
                </w:tcPr>
                <w:p w14:paraId="15BC1A41">
                  <w:pPr>
                    <w:jc w:val="center"/>
                    <w:rPr>
                      <w:rFonts w:hint="default" w:ascii="Times New Roman" w:hAnsi="Times New Roman" w:eastAsia="宋体" w:cs="Times New Roman"/>
                      <w:bCs/>
                      <w:color w:val="FF0000"/>
                      <w:lang w:val="en-US" w:eastAsia="zh-CN"/>
                    </w:rPr>
                  </w:pPr>
                  <w:r>
                    <w:rPr>
                      <w:rFonts w:hint="eastAsia" w:ascii="Times New Roman" w:hAnsi="Times New Roman" w:eastAsia="宋体" w:cs="Times New Roman"/>
                      <w:bCs/>
                      <w:color w:val="auto"/>
                      <w:lang w:val="en-US" w:eastAsia="zh-CN"/>
                    </w:rPr>
                    <w:t>油烟</w:t>
                  </w:r>
                </w:p>
              </w:tc>
              <w:tc>
                <w:tcPr>
                  <w:tcW w:w="3072" w:type="dxa"/>
                  <w:noWrap/>
                  <w:vAlign w:val="center"/>
                </w:tcPr>
                <w:p w14:paraId="26739F5D">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0.013</w:t>
                  </w:r>
                </w:p>
              </w:tc>
              <w:tc>
                <w:tcPr>
                  <w:tcW w:w="2359" w:type="dxa"/>
                  <w:noWrap/>
                  <w:vAlign w:val="center"/>
                </w:tcPr>
                <w:p w14:paraId="482E38B3">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1200</w:t>
                  </w:r>
                </w:p>
              </w:tc>
              <w:tc>
                <w:tcPr>
                  <w:tcW w:w="3101" w:type="dxa"/>
                  <w:noWrap/>
                  <w:vAlign w:val="center"/>
                </w:tcPr>
                <w:p w14:paraId="34BBBD85">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0.011</w:t>
                  </w:r>
                </w:p>
              </w:tc>
            </w:tr>
          </w:tbl>
          <w:p w14:paraId="500FF1D4">
            <w:pPr>
              <w:pStyle w:val="35"/>
              <w:spacing w:line="460" w:lineRule="exact"/>
              <w:rPr>
                <w:color w:val="auto"/>
                <w:sz w:val="21"/>
                <w:szCs w:val="21"/>
              </w:rPr>
            </w:pPr>
            <w:r>
              <w:rPr>
                <w:rFonts w:ascii="Times New Roman"/>
                <w:b/>
                <w:color w:val="auto"/>
                <w:sz w:val="21"/>
                <w:szCs w:val="21"/>
              </w:rPr>
              <w:t>表</w:t>
            </w:r>
            <w:r>
              <w:rPr>
                <w:rFonts w:hint="eastAsia" w:ascii="Times New Roman"/>
                <w:b/>
                <w:color w:val="auto"/>
                <w:sz w:val="21"/>
                <w:szCs w:val="21"/>
              </w:rPr>
              <w:t>4</w:t>
            </w:r>
            <w:r>
              <w:rPr>
                <w:rFonts w:ascii="Times New Roman"/>
                <w:b/>
                <w:color w:val="auto"/>
                <w:sz w:val="21"/>
                <w:szCs w:val="21"/>
              </w:rPr>
              <w:t>-</w:t>
            </w:r>
            <w:r>
              <w:rPr>
                <w:rFonts w:hint="eastAsia" w:ascii="Times New Roman"/>
                <w:b/>
                <w:color w:val="auto"/>
                <w:sz w:val="21"/>
                <w:szCs w:val="21"/>
              </w:rPr>
              <w:t xml:space="preserve">2 </w:t>
            </w:r>
            <w:r>
              <w:rPr>
                <w:rFonts w:hint="eastAsia" w:ascii="Times New Roman"/>
                <w:b/>
                <w:bCs/>
                <w:color w:val="auto"/>
                <w:sz w:val="21"/>
                <w:szCs w:val="21"/>
              </w:rPr>
              <w:t>废气收集与治理</w:t>
            </w:r>
            <w:r>
              <w:rPr>
                <w:rFonts w:ascii="Times New Roman"/>
                <w:b/>
                <w:bCs/>
                <w:color w:val="auto"/>
                <w:sz w:val="21"/>
                <w:szCs w:val="21"/>
              </w:rPr>
              <w:t>情况一览表</w:t>
            </w:r>
          </w:p>
          <w:tbl>
            <w:tblPr>
              <w:tblStyle w:val="23"/>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35"/>
              <w:gridCol w:w="1304"/>
              <w:gridCol w:w="1463"/>
              <w:gridCol w:w="1621"/>
              <w:gridCol w:w="1658"/>
              <w:gridCol w:w="1747"/>
              <w:gridCol w:w="1151"/>
              <w:gridCol w:w="1136"/>
              <w:gridCol w:w="1127"/>
            </w:tblGrid>
            <w:tr w14:paraId="0FC7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restart"/>
                  <w:tcBorders>
                    <w:tl2br w:val="nil"/>
                    <w:tr2bl w:val="nil"/>
                  </w:tcBorders>
                  <w:noWrap/>
                  <w:vAlign w:val="center"/>
                </w:tcPr>
                <w:p w14:paraId="140F2145">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工序/生产线</w:t>
                  </w:r>
                </w:p>
              </w:tc>
              <w:tc>
                <w:tcPr>
                  <w:tcW w:w="1135" w:type="dxa"/>
                  <w:vMerge w:val="restart"/>
                  <w:tcBorders>
                    <w:tl2br w:val="nil"/>
                    <w:tr2bl w:val="nil"/>
                  </w:tcBorders>
                  <w:noWrap/>
                  <w:vAlign w:val="center"/>
                </w:tcPr>
                <w:p w14:paraId="59AD2454">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排放方式</w:t>
                  </w:r>
                </w:p>
              </w:tc>
              <w:tc>
                <w:tcPr>
                  <w:tcW w:w="1304" w:type="dxa"/>
                  <w:vMerge w:val="restart"/>
                  <w:tcBorders>
                    <w:tl2br w:val="nil"/>
                    <w:tr2bl w:val="nil"/>
                  </w:tcBorders>
                  <w:noWrap/>
                  <w:vAlign w:val="center"/>
                </w:tcPr>
                <w:p w14:paraId="54871798">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污染物种类</w:t>
                  </w:r>
                </w:p>
              </w:tc>
              <w:tc>
                <w:tcPr>
                  <w:tcW w:w="1463" w:type="dxa"/>
                  <w:vMerge w:val="restart"/>
                  <w:tcBorders>
                    <w:tl2br w:val="nil"/>
                    <w:tr2bl w:val="nil"/>
                  </w:tcBorders>
                  <w:noWrap/>
                  <w:vAlign w:val="center"/>
                </w:tcPr>
                <w:p w14:paraId="0C94DE61">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收集效率（</w:t>
                  </w:r>
                  <w:r>
                    <w:rPr>
                      <w:rFonts w:ascii="Times New Roman" w:hAnsi="Times New Roman" w:eastAsia="宋体C...." w:cs="Times New Roman"/>
                      <w:b/>
                      <w:bCs w:val="0"/>
                      <w:color w:val="auto"/>
                      <w:szCs w:val="21"/>
                    </w:rPr>
                    <w:t>%</w:t>
                  </w:r>
                  <w:r>
                    <w:rPr>
                      <w:rFonts w:hint="eastAsia" w:ascii="Times New Roman" w:hAnsi="Times New Roman" w:eastAsia="宋体C...." w:cs="Times New Roman"/>
                      <w:b/>
                      <w:bCs w:val="0"/>
                      <w:color w:val="auto"/>
                      <w:szCs w:val="21"/>
                    </w:rPr>
                    <w:t>）</w:t>
                  </w:r>
                </w:p>
              </w:tc>
              <w:tc>
                <w:tcPr>
                  <w:tcW w:w="1621" w:type="dxa"/>
                  <w:vMerge w:val="restart"/>
                  <w:tcBorders>
                    <w:tl2br w:val="nil"/>
                    <w:tr2bl w:val="nil"/>
                  </w:tcBorders>
                  <w:noWrap/>
                  <w:vAlign w:val="center"/>
                </w:tcPr>
                <w:p w14:paraId="50D18216">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处理能力</w:t>
                  </w:r>
                  <w:r>
                    <w:rPr>
                      <w:rFonts w:ascii="Times New Roman" w:hAnsi="Times New Roman" w:eastAsia="宋体C...." w:cs="Times New Roman"/>
                      <w:b/>
                      <w:bCs w:val="0"/>
                      <w:color w:val="auto"/>
                      <w:szCs w:val="21"/>
                    </w:rPr>
                    <w:t>（</w:t>
                  </w:r>
                  <w:r>
                    <w:rPr>
                      <w:rFonts w:hint="eastAsia" w:ascii="Times New Roman" w:hAnsi="Times New Roman" w:eastAsia="宋体C...." w:cs="Times New Roman"/>
                      <w:b/>
                      <w:bCs w:val="0"/>
                      <w:color w:val="auto"/>
                      <w:szCs w:val="21"/>
                    </w:rPr>
                    <w:t>m</w:t>
                  </w:r>
                  <w:r>
                    <w:rPr>
                      <w:rFonts w:hint="eastAsia" w:ascii="Times New Roman" w:hAnsi="Times New Roman" w:eastAsia="宋体C...." w:cs="Times New Roman"/>
                      <w:b/>
                      <w:bCs w:val="0"/>
                      <w:color w:val="auto"/>
                      <w:szCs w:val="21"/>
                      <w:vertAlign w:val="superscript"/>
                    </w:rPr>
                    <w:t>3</w:t>
                  </w:r>
                  <w:r>
                    <w:rPr>
                      <w:rFonts w:ascii="Times New Roman" w:hAnsi="Times New Roman" w:eastAsia="宋体C...." w:cs="Times New Roman"/>
                      <w:b/>
                      <w:bCs w:val="0"/>
                      <w:color w:val="auto"/>
                      <w:szCs w:val="21"/>
                    </w:rPr>
                    <w:t>/h）</w:t>
                  </w:r>
                </w:p>
              </w:tc>
              <w:tc>
                <w:tcPr>
                  <w:tcW w:w="3405" w:type="dxa"/>
                  <w:gridSpan w:val="2"/>
                  <w:tcBorders>
                    <w:tl2br w:val="nil"/>
                    <w:tr2bl w:val="nil"/>
                  </w:tcBorders>
                  <w:noWrap/>
                  <w:vAlign w:val="center"/>
                </w:tcPr>
                <w:p w14:paraId="2FC52F78">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污染物产生</w:t>
                  </w:r>
                </w:p>
              </w:tc>
              <w:tc>
                <w:tcPr>
                  <w:tcW w:w="3414" w:type="dxa"/>
                  <w:gridSpan w:val="3"/>
                  <w:tcBorders>
                    <w:tl2br w:val="nil"/>
                    <w:tr2bl w:val="nil"/>
                  </w:tcBorders>
                  <w:noWrap/>
                  <w:vAlign w:val="center"/>
                </w:tcPr>
                <w:p w14:paraId="1DFB5F40">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治理措施</w:t>
                  </w:r>
                </w:p>
              </w:tc>
            </w:tr>
            <w:tr w14:paraId="3745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61233F0B">
                  <w:pPr>
                    <w:autoSpaceDE w:val="0"/>
                    <w:autoSpaceDN w:val="0"/>
                    <w:jc w:val="center"/>
                    <w:rPr>
                      <w:rFonts w:ascii="Times New Roman" w:hAnsi="Times New Roman" w:eastAsia="宋体C...." w:cs="Times New Roman"/>
                      <w:b/>
                      <w:bCs w:val="0"/>
                      <w:color w:val="auto"/>
                      <w:szCs w:val="21"/>
                    </w:rPr>
                  </w:pPr>
                </w:p>
              </w:tc>
              <w:tc>
                <w:tcPr>
                  <w:tcW w:w="1135" w:type="dxa"/>
                  <w:vMerge w:val="continue"/>
                  <w:tcBorders>
                    <w:tl2br w:val="nil"/>
                    <w:tr2bl w:val="nil"/>
                  </w:tcBorders>
                  <w:noWrap/>
                  <w:vAlign w:val="center"/>
                </w:tcPr>
                <w:p w14:paraId="215B483F">
                  <w:pPr>
                    <w:autoSpaceDE w:val="0"/>
                    <w:autoSpaceDN w:val="0"/>
                    <w:jc w:val="center"/>
                    <w:rPr>
                      <w:rFonts w:ascii="Times New Roman" w:hAnsi="Times New Roman" w:eastAsia="宋体C...." w:cs="Times New Roman"/>
                      <w:b/>
                      <w:bCs w:val="0"/>
                      <w:color w:val="auto"/>
                      <w:szCs w:val="21"/>
                    </w:rPr>
                  </w:pPr>
                </w:p>
              </w:tc>
              <w:tc>
                <w:tcPr>
                  <w:tcW w:w="1304" w:type="dxa"/>
                  <w:vMerge w:val="continue"/>
                  <w:tcBorders>
                    <w:tl2br w:val="nil"/>
                    <w:tr2bl w:val="nil"/>
                  </w:tcBorders>
                  <w:noWrap/>
                  <w:vAlign w:val="center"/>
                </w:tcPr>
                <w:p w14:paraId="4B0CE2A1">
                  <w:pPr>
                    <w:autoSpaceDE w:val="0"/>
                    <w:autoSpaceDN w:val="0"/>
                    <w:jc w:val="center"/>
                    <w:rPr>
                      <w:rFonts w:ascii="Times New Roman" w:hAnsi="Times New Roman" w:eastAsia="宋体C...." w:cs="Times New Roman"/>
                      <w:b/>
                      <w:bCs w:val="0"/>
                      <w:color w:val="auto"/>
                      <w:szCs w:val="21"/>
                    </w:rPr>
                  </w:pPr>
                </w:p>
              </w:tc>
              <w:tc>
                <w:tcPr>
                  <w:tcW w:w="1463" w:type="dxa"/>
                  <w:vMerge w:val="continue"/>
                  <w:tcBorders>
                    <w:tl2br w:val="nil"/>
                    <w:tr2bl w:val="nil"/>
                  </w:tcBorders>
                  <w:noWrap/>
                  <w:vAlign w:val="center"/>
                </w:tcPr>
                <w:p w14:paraId="467E94F2">
                  <w:pPr>
                    <w:autoSpaceDE w:val="0"/>
                    <w:autoSpaceDN w:val="0"/>
                    <w:jc w:val="center"/>
                    <w:rPr>
                      <w:rFonts w:ascii="Times New Roman" w:hAnsi="Times New Roman" w:eastAsia="宋体C...." w:cs="Times New Roman"/>
                      <w:b/>
                      <w:bCs w:val="0"/>
                      <w:color w:val="auto"/>
                      <w:szCs w:val="21"/>
                    </w:rPr>
                  </w:pPr>
                </w:p>
              </w:tc>
              <w:tc>
                <w:tcPr>
                  <w:tcW w:w="1621" w:type="dxa"/>
                  <w:vMerge w:val="continue"/>
                  <w:tcBorders>
                    <w:tl2br w:val="nil"/>
                    <w:tr2bl w:val="nil"/>
                  </w:tcBorders>
                  <w:noWrap/>
                  <w:vAlign w:val="center"/>
                </w:tcPr>
                <w:p w14:paraId="2ED95B1B">
                  <w:pPr>
                    <w:autoSpaceDE w:val="0"/>
                    <w:autoSpaceDN w:val="0"/>
                    <w:jc w:val="center"/>
                    <w:rPr>
                      <w:rFonts w:ascii="Times New Roman" w:hAnsi="Times New Roman" w:eastAsia="宋体C...." w:cs="Times New Roman"/>
                      <w:b/>
                      <w:bCs w:val="0"/>
                      <w:color w:val="auto"/>
                      <w:szCs w:val="21"/>
                    </w:rPr>
                  </w:pPr>
                </w:p>
              </w:tc>
              <w:tc>
                <w:tcPr>
                  <w:tcW w:w="1658" w:type="dxa"/>
                  <w:tcBorders>
                    <w:tl2br w:val="nil"/>
                    <w:tr2bl w:val="nil"/>
                  </w:tcBorders>
                  <w:noWrap/>
                  <w:vAlign w:val="center"/>
                </w:tcPr>
                <w:p w14:paraId="2C0A7130">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产生浓度（mg/m</w:t>
                  </w:r>
                  <w:r>
                    <w:rPr>
                      <w:rFonts w:ascii="Times New Roman" w:hAnsi="Times New Roman" w:eastAsia="宋体C...." w:cs="Times New Roman"/>
                      <w:b/>
                      <w:bCs w:val="0"/>
                      <w:color w:val="auto"/>
                      <w:szCs w:val="21"/>
                      <w:vertAlign w:val="superscript"/>
                    </w:rPr>
                    <w:t>3</w:t>
                  </w:r>
                  <w:r>
                    <w:rPr>
                      <w:rFonts w:ascii="Times New Roman" w:hAnsi="Times New Roman" w:eastAsia="宋体C...." w:cs="Times New Roman"/>
                      <w:b/>
                      <w:bCs w:val="0"/>
                      <w:color w:val="auto"/>
                      <w:szCs w:val="21"/>
                    </w:rPr>
                    <w:t>）</w:t>
                  </w:r>
                </w:p>
              </w:tc>
              <w:tc>
                <w:tcPr>
                  <w:tcW w:w="1747" w:type="dxa"/>
                  <w:tcBorders>
                    <w:tl2br w:val="nil"/>
                    <w:tr2bl w:val="nil"/>
                  </w:tcBorders>
                  <w:noWrap/>
                  <w:vAlign w:val="center"/>
                </w:tcPr>
                <w:p w14:paraId="79258DE5">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产生量（</w:t>
                  </w:r>
                  <w:r>
                    <w:rPr>
                      <w:rFonts w:hint="eastAsia" w:ascii="Times New Roman" w:hAnsi="Times New Roman" w:eastAsia="宋体C...." w:cs="Times New Roman"/>
                      <w:b/>
                      <w:bCs w:val="0"/>
                      <w:color w:val="auto"/>
                      <w:szCs w:val="21"/>
                    </w:rPr>
                    <w:t>kg</w:t>
                  </w:r>
                  <w:r>
                    <w:rPr>
                      <w:rFonts w:ascii="Times New Roman" w:hAnsi="Times New Roman" w:eastAsia="宋体C...." w:cs="Times New Roman"/>
                      <w:b/>
                      <w:bCs w:val="0"/>
                      <w:color w:val="auto"/>
                      <w:szCs w:val="21"/>
                    </w:rPr>
                    <w:t>/</w:t>
                  </w:r>
                  <w:r>
                    <w:rPr>
                      <w:rFonts w:hint="eastAsia" w:ascii="Times New Roman" w:hAnsi="Times New Roman" w:eastAsia="宋体C...." w:cs="Times New Roman"/>
                      <w:b/>
                      <w:bCs w:val="0"/>
                      <w:color w:val="auto"/>
                      <w:szCs w:val="21"/>
                    </w:rPr>
                    <w:t>h</w:t>
                  </w:r>
                  <w:r>
                    <w:rPr>
                      <w:rFonts w:ascii="Times New Roman" w:hAnsi="Times New Roman" w:eastAsia="宋体C...." w:cs="Times New Roman"/>
                      <w:b/>
                      <w:bCs w:val="0"/>
                      <w:color w:val="auto"/>
                      <w:szCs w:val="21"/>
                    </w:rPr>
                    <w:t>）</w:t>
                  </w:r>
                </w:p>
              </w:tc>
              <w:tc>
                <w:tcPr>
                  <w:tcW w:w="1151" w:type="dxa"/>
                  <w:tcBorders>
                    <w:tl2br w:val="nil"/>
                    <w:tr2bl w:val="nil"/>
                  </w:tcBorders>
                  <w:noWrap/>
                  <w:vAlign w:val="center"/>
                </w:tcPr>
                <w:p w14:paraId="450FE7E1">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工艺</w:t>
                  </w:r>
                </w:p>
              </w:tc>
              <w:tc>
                <w:tcPr>
                  <w:tcW w:w="1136" w:type="dxa"/>
                  <w:tcBorders>
                    <w:tl2br w:val="nil"/>
                    <w:tr2bl w:val="nil"/>
                  </w:tcBorders>
                  <w:noWrap/>
                  <w:vAlign w:val="center"/>
                </w:tcPr>
                <w:p w14:paraId="01D5533E">
                  <w:pPr>
                    <w:autoSpaceDE w:val="0"/>
                    <w:autoSpaceDN w:val="0"/>
                    <w:jc w:val="center"/>
                    <w:rPr>
                      <w:rFonts w:ascii="Times New Roman" w:hAnsi="Times New Roman" w:eastAsia="宋体C...." w:cs="Times New Roman"/>
                      <w:b/>
                      <w:bCs w:val="0"/>
                      <w:color w:val="auto"/>
                      <w:szCs w:val="21"/>
                    </w:rPr>
                  </w:pPr>
                  <w:r>
                    <w:rPr>
                      <w:rFonts w:ascii="Times New Roman" w:hAnsi="Times New Roman" w:eastAsia="宋体C...." w:cs="Times New Roman"/>
                      <w:b/>
                      <w:bCs w:val="0"/>
                      <w:color w:val="auto"/>
                      <w:szCs w:val="21"/>
                    </w:rPr>
                    <w:t>效率</w:t>
                  </w:r>
                  <w:r>
                    <w:rPr>
                      <w:rFonts w:hint="eastAsia" w:ascii="Times New Roman" w:hAnsi="Times New Roman" w:eastAsia="宋体C...." w:cs="Times New Roman"/>
                      <w:b/>
                      <w:bCs w:val="0"/>
                      <w:color w:val="auto"/>
                      <w:szCs w:val="21"/>
                    </w:rPr>
                    <w:t>（</w:t>
                  </w:r>
                  <w:r>
                    <w:rPr>
                      <w:rFonts w:ascii="Times New Roman" w:hAnsi="Times New Roman" w:eastAsia="宋体C...." w:cs="Times New Roman"/>
                      <w:b/>
                      <w:bCs w:val="0"/>
                      <w:color w:val="auto"/>
                      <w:szCs w:val="21"/>
                    </w:rPr>
                    <w:t>%</w:t>
                  </w:r>
                  <w:r>
                    <w:rPr>
                      <w:rFonts w:hint="eastAsia" w:ascii="Times New Roman" w:hAnsi="Times New Roman" w:eastAsia="宋体C...." w:cs="Times New Roman"/>
                      <w:b/>
                      <w:bCs w:val="0"/>
                      <w:color w:val="auto"/>
                      <w:szCs w:val="21"/>
                    </w:rPr>
                    <w:t>）</w:t>
                  </w:r>
                </w:p>
              </w:tc>
              <w:tc>
                <w:tcPr>
                  <w:tcW w:w="1127" w:type="dxa"/>
                  <w:tcBorders>
                    <w:tl2br w:val="nil"/>
                    <w:tr2bl w:val="nil"/>
                  </w:tcBorders>
                  <w:noWrap/>
                  <w:vAlign w:val="center"/>
                </w:tcPr>
                <w:p w14:paraId="0FF712EA">
                  <w:pPr>
                    <w:autoSpaceDE w:val="0"/>
                    <w:autoSpaceDN w:val="0"/>
                    <w:jc w:val="center"/>
                    <w:rPr>
                      <w:rFonts w:ascii="Times New Roman" w:hAnsi="Times New Roman" w:eastAsia="宋体C...." w:cs="Times New Roman"/>
                      <w:b/>
                      <w:bCs w:val="0"/>
                      <w:color w:val="auto"/>
                      <w:szCs w:val="21"/>
                    </w:rPr>
                  </w:pPr>
                  <w:r>
                    <w:rPr>
                      <w:rFonts w:hint="eastAsia" w:ascii="Times New Roman" w:hAnsi="Times New Roman" w:eastAsia="宋体C...." w:cs="Times New Roman"/>
                      <w:b/>
                      <w:bCs w:val="0"/>
                      <w:color w:val="auto"/>
                      <w:szCs w:val="21"/>
                    </w:rPr>
                    <w:t>是否为可行技术</w:t>
                  </w:r>
                </w:p>
              </w:tc>
            </w:tr>
            <w:tr w14:paraId="2702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restart"/>
                  <w:tcBorders>
                    <w:tl2br w:val="nil"/>
                    <w:tr2bl w:val="nil"/>
                  </w:tcBorders>
                  <w:noWrap/>
                  <w:vAlign w:val="center"/>
                </w:tcPr>
                <w:p w14:paraId="562B8F74">
                  <w:pPr>
                    <w:autoSpaceDE w:val="0"/>
                    <w:autoSpaceDN w:val="0"/>
                    <w:jc w:val="center"/>
                    <w:rPr>
                      <w:rFonts w:hint="default" w:eastAsia="宋体C...." w:cs="Times New Roman"/>
                      <w:bCs/>
                      <w:color w:val="FF0000"/>
                      <w:szCs w:val="21"/>
                      <w:lang w:val="en-US" w:eastAsia="zh-CN"/>
                    </w:rPr>
                  </w:pPr>
                  <w:r>
                    <w:rPr>
                      <w:rFonts w:hint="eastAsia" w:ascii="Times New Roman" w:eastAsia="宋体" w:cs="Times New Roman"/>
                      <w:color w:val="auto"/>
                      <w:szCs w:val="21"/>
                      <w:lang w:val="en-US" w:eastAsia="zh-CN"/>
                    </w:rPr>
                    <w:t>焊锡、清洗</w:t>
                  </w:r>
                </w:p>
              </w:tc>
              <w:tc>
                <w:tcPr>
                  <w:tcW w:w="1135" w:type="dxa"/>
                  <w:vMerge w:val="restart"/>
                  <w:tcBorders>
                    <w:tl2br w:val="nil"/>
                    <w:tr2bl w:val="nil"/>
                  </w:tcBorders>
                  <w:noWrap/>
                  <w:vAlign w:val="center"/>
                </w:tcPr>
                <w:p w14:paraId="478AB824">
                  <w:pPr>
                    <w:autoSpaceDE w:val="0"/>
                    <w:autoSpaceDN w:val="0"/>
                    <w:jc w:val="center"/>
                    <w:rPr>
                      <w:rFonts w:ascii="Times New Roman" w:hAnsi="Times New Roman" w:eastAsia="宋体C...." w:cs="Times New Roman"/>
                      <w:bCs/>
                      <w:color w:val="auto"/>
                      <w:szCs w:val="21"/>
                    </w:rPr>
                  </w:pPr>
                  <w:r>
                    <w:rPr>
                      <w:rFonts w:hint="eastAsia" w:ascii="Times New Roman" w:hAnsi="Times New Roman" w:eastAsia="宋体C...." w:cs="Times New Roman"/>
                      <w:bCs/>
                      <w:color w:val="auto"/>
                      <w:szCs w:val="21"/>
                      <w:lang w:val="en-US" w:eastAsia="zh-CN"/>
                    </w:rPr>
                    <w:t>有</w:t>
                  </w:r>
                  <w:r>
                    <w:rPr>
                      <w:rFonts w:hint="eastAsia" w:ascii="Times New Roman" w:hAnsi="Times New Roman" w:eastAsia="宋体C...." w:cs="Times New Roman"/>
                      <w:bCs/>
                      <w:color w:val="auto"/>
                      <w:szCs w:val="21"/>
                    </w:rPr>
                    <w:t>组织</w:t>
                  </w:r>
                </w:p>
              </w:tc>
              <w:tc>
                <w:tcPr>
                  <w:tcW w:w="1304" w:type="dxa"/>
                  <w:tcBorders>
                    <w:tl2br w:val="nil"/>
                    <w:tr2bl w:val="nil"/>
                  </w:tcBorders>
                  <w:noWrap/>
                  <w:vAlign w:val="center"/>
                </w:tcPr>
                <w:p w14:paraId="0B951ABD">
                  <w:pPr>
                    <w:jc w:val="center"/>
                    <w:rPr>
                      <w:rFonts w:hint="default" w:eastAsia="宋体C...." w:cs="Times New Roman"/>
                      <w:bCs/>
                      <w:color w:val="auto"/>
                      <w:szCs w:val="21"/>
                      <w:lang w:val="en-US" w:eastAsia="zh-CN"/>
                    </w:rPr>
                  </w:pPr>
                  <w:r>
                    <w:rPr>
                      <w:rFonts w:hint="eastAsia" w:ascii="Times New Roman" w:hAnsi="Times New Roman" w:eastAsia="宋体" w:cs="Times New Roman"/>
                      <w:bCs/>
                      <w:color w:val="auto"/>
                      <w:lang w:val="en-US" w:eastAsia="zh-CN"/>
                    </w:rPr>
                    <w:t>非甲烷总烃</w:t>
                  </w:r>
                </w:p>
              </w:tc>
              <w:tc>
                <w:tcPr>
                  <w:tcW w:w="1463" w:type="dxa"/>
                  <w:vMerge w:val="restart"/>
                  <w:tcBorders>
                    <w:tl2br w:val="nil"/>
                    <w:tr2bl w:val="nil"/>
                  </w:tcBorders>
                  <w:noWrap/>
                  <w:vAlign w:val="center"/>
                </w:tcPr>
                <w:p w14:paraId="65661D55">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60</w:t>
                  </w:r>
                </w:p>
              </w:tc>
              <w:tc>
                <w:tcPr>
                  <w:tcW w:w="1621" w:type="dxa"/>
                  <w:vMerge w:val="restart"/>
                  <w:tcBorders>
                    <w:tl2br w:val="nil"/>
                    <w:tr2bl w:val="nil"/>
                  </w:tcBorders>
                  <w:noWrap/>
                  <w:vAlign w:val="center"/>
                </w:tcPr>
                <w:p w14:paraId="0B5077C0">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2000</w:t>
                  </w:r>
                </w:p>
              </w:tc>
              <w:tc>
                <w:tcPr>
                  <w:tcW w:w="1658" w:type="dxa"/>
                  <w:tcBorders>
                    <w:tl2br w:val="nil"/>
                    <w:tr2bl w:val="nil"/>
                  </w:tcBorders>
                  <w:noWrap/>
                  <w:vAlign w:val="center"/>
                </w:tcPr>
                <w:p w14:paraId="089069D9">
                  <w:pPr>
                    <w:autoSpaceDE w:val="0"/>
                    <w:autoSpaceDN w:val="0"/>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6</w:t>
                  </w:r>
                </w:p>
              </w:tc>
              <w:tc>
                <w:tcPr>
                  <w:tcW w:w="1747" w:type="dxa"/>
                  <w:tcBorders>
                    <w:tl2br w:val="nil"/>
                    <w:tr2bl w:val="nil"/>
                  </w:tcBorders>
                  <w:noWrap/>
                  <w:vAlign w:val="center"/>
                </w:tcPr>
                <w:p w14:paraId="752FE56D">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0.012</w:t>
                  </w:r>
                </w:p>
              </w:tc>
              <w:tc>
                <w:tcPr>
                  <w:tcW w:w="1151" w:type="dxa"/>
                  <w:vMerge w:val="restart"/>
                  <w:tcBorders>
                    <w:tl2br w:val="nil"/>
                    <w:tr2bl w:val="nil"/>
                  </w:tcBorders>
                  <w:noWrap/>
                  <w:vAlign w:val="center"/>
                </w:tcPr>
                <w:p w14:paraId="6C8D959A">
                  <w:pPr>
                    <w:autoSpaceDE w:val="0"/>
                    <w:autoSpaceDN w:val="0"/>
                    <w:jc w:val="center"/>
                    <w:rPr>
                      <w:rFonts w:hint="default" w:eastAsia="宋体C...." w:cs="Times New Roman"/>
                      <w:bCs/>
                      <w:color w:val="auto"/>
                      <w:szCs w:val="21"/>
                      <w:lang w:val="en-US" w:eastAsia="zh-CN"/>
                    </w:rPr>
                  </w:pPr>
                  <w:r>
                    <w:rPr>
                      <w:rFonts w:hint="default" w:eastAsia="宋体C...." w:cs="Times New Roman"/>
                      <w:bCs/>
                      <w:color w:val="auto"/>
                      <w:szCs w:val="21"/>
                      <w:lang w:val="en-US" w:eastAsia="zh-CN"/>
                    </w:rPr>
                    <w:t>过滤棉+活性炭吸附</w:t>
                  </w:r>
                </w:p>
              </w:tc>
              <w:tc>
                <w:tcPr>
                  <w:tcW w:w="1136" w:type="dxa"/>
                  <w:vMerge w:val="restart"/>
                  <w:tcBorders>
                    <w:tl2br w:val="nil"/>
                    <w:tr2bl w:val="nil"/>
                  </w:tcBorders>
                  <w:noWrap/>
                  <w:vAlign w:val="center"/>
                </w:tcPr>
                <w:p w14:paraId="752EE737">
                  <w:pPr>
                    <w:autoSpaceDE w:val="0"/>
                    <w:autoSpaceDN w:val="0"/>
                    <w:jc w:val="center"/>
                    <w:rPr>
                      <w:rFonts w:hint="default"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1127" w:type="dxa"/>
                  <w:vMerge w:val="restart"/>
                  <w:tcBorders>
                    <w:tl2br w:val="nil"/>
                    <w:tr2bl w:val="nil"/>
                  </w:tcBorders>
                  <w:noWrap/>
                  <w:vAlign w:val="center"/>
                </w:tcPr>
                <w:p w14:paraId="7B2A714E">
                  <w:pPr>
                    <w:autoSpaceDE w:val="0"/>
                    <w:autoSpaceDN w:val="0"/>
                    <w:jc w:val="center"/>
                    <w:rPr>
                      <w:rFonts w:eastAsia="宋体C...." w:cs="Times New Roman"/>
                      <w:bCs/>
                      <w:color w:val="auto"/>
                      <w:szCs w:val="21"/>
                    </w:rPr>
                  </w:pPr>
                  <w:r>
                    <w:rPr>
                      <w:rFonts w:hint="eastAsia" w:eastAsia="宋体C...." w:cs="Times New Roman"/>
                      <w:bCs/>
                      <w:color w:val="auto"/>
                      <w:szCs w:val="21"/>
                    </w:rPr>
                    <w:t>是</w:t>
                  </w:r>
                </w:p>
              </w:tc>
            </w:tr>
            <w:tr w14:paraId="43EF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33AE89E9">
                  <w:pPr>
                    <w:autoSpaceDE w:val="0"/>
                    <w:autoSpaceDN w:val="0"/>
                    <w:jc w:val="center"/>
                    <w:rPr>
                      <w:rFonts w:hint="eastAsia" w:ascii="Times New Roman" w:eastAsia="宋体" w:cs="Times New Roman"/>
                      <w:color w:val="FF0000"/>
                      <w:szCs w:val="21"/>
                      <w:lang w:val="en-US" w:eastAsia="zh-CN"/>
                    </w:rPr>
                  </w:pPr>
                </w:p>
              </w:tc>
              <w:tc>
                <w:tcPr>
                  <w:tcW w:w="1135" w:type="dxa"/>
                  <w:vMerge w:val="continue"/>
                  <w:tcBorders>
                    <w:tl2br w:val="nil"/>
                    <w:tr2bl w:val="nil"/>
                  </w:tcBorders>
                  <w:noWrap/>
                  <w:vAlign w:val="center"/>
                </w:tcPr>
                <w:p w14:paraId="3B199ABF">
                  <w:pPr>
                    <w:autoSpaceDE w:val="0"/>
                    <w:autoSpaceDN w:val="0"/>
                    <w:jc w:val="center"/>
                    <w:rPr>
                      <w:rFonts w:hint="eastAsia" w:ascii="Times New Roman" w:hAnsi="Times New Roman" w:eastAsia="宋体C...." w:cs="Times New Roman"/>
                      <w:bCs/>
                      <w:color w:val="auto"/>
                      <w:szCs w:val="21"/>
                      <w:lang w:val="en-US" w:eastAsia="zh-CN"/>
                    </w:rPr>
                  </w:pPr>
                </w:p>
              </w:tc>
              <w:tc>
                <w:tcPr>
                  <w:tcW w:w="1304" w:type="dxa"/>
                  <w:tcBorders>
                    <w:tl2br w:val="nil"/>
                    <w:tr2bl w:val="nil"/>
                  </w:tcBorders>
                  <w:noWrap/>
                  <w:vAlign w:val="center"/>
                </w:tcPr>
                <w:p w14:paraId="5D7AB94D">
                  <w:pPr>
                    <w:jc w:val="center"/>
                    <w:rPr>
                      <w:rFonts w:hint="eastAsia" w:eastAsia="宋体C...." w:cs="Times New Roman"/>
                      <w:bCs/>
                      <w:color w:val="auto"/>
                      <w:szCs w:val="21"/>
                      <w:lang w:val="en-US" w:eastAsia="zh-CN"/>
                    </w:rPr>
                  </w:pPr>
                  <w:r>
                    <w:rPr>
                      <w:rFonts w:hint="eastAsia" w:ascii="Times New Roman" w:hAnsi="Times New Roman" w:eastAsia="宋体" w:cs="Times New Roman"/>
                      <w:bCs/>
                      <w:color w:val="auto"/>
                      <w:lang w:val="en-US" w:eastAsia="zh-CN"/>
                    </w:rPr>
                    <w:t>臭气浓度</w:t>
                  </w:r>
                </w:p>
              </w:tc>
              <w:tc>
                <w:tcPr>
                  <w:tcW w:w="1463" w:type="dxa"/>
                  <w:vMerge w:val="continue"/>
                  <w:tcBorders>
                    <w:tl2br w:val="nil"/>
                    <w:tr2bl w:val="nil"/>
                  </w:tcBorders>
                  <w:noWrap/>
                  <w:vAlign w:val="center"/>
                </w:tcPr>
                <w:p w14:paraId="791C3A69">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0A77779C">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tcBorders>
                    <w:tl2br w:val="nil"/>
                    <w:tr2bl w:val="nil"/>
                  </w:tcBorders>
                  <w:noWrap/>
                  <w:vAlign w:val="center"/>
                </w:tcPr>
                <w:p w14:paraId="357A79AD">
                  <w:pPr>
                    <w:autoSpaceDE w:val="0"/>
                    <w:autoSpaceDN w:val="0"/>
                    <w:jc w:val="center"/>
                    <w:rPr>
                      <w:rFonts w:hint="eastAsia"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68D47546">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151" w:type="dxa"/>
                  <w:vMerge w:val="continue"/>
                  <w:tcBorders>
                    <w:tl2br w:val="nil"/>
                    <w:tr2bl w:val="nil"/>
                  </w:tcBorders>
                  <w:noWrap/>
                  <w:vAlign w:val="center"/>
                </w:tcPr>
                <w:p w14:paraId="1E95DF93">
                  <w:pPr>
                    <w:autoSpaceDE w:val="0"/>
                    <w:autoSpaceDN w:val="0"/>
                    <w:jc w:val="center"/>
                    <w:rPr>
                      <w:rFonts w:hint="eastAsia" w:eastAsia="宋体C...." w:cs="Times New Roman"/>
                      <w:bCs/>
                      <w:color w:val="FF0000"/>
                      <w:szCs w:val="21"/>
                      <w:lang w:val="en-US" w:eastAsia="zh-CN"/>
                    </w:rPr>
                  </w:pPr>
                </w:p>
              </w:tc>
              <w:tc>
                <w:tcPr>
                  <w:tcW w:w="1136" w:type="dxa"/>
                  <w:vMerge w:val="continue"/>
                  <w:tcBorders>
                    <w:tl2br w:val="nil"/>
                    <w:tr2bl w:val="nil"/>
                  </w:tcBorders>
                  <w:noWrap/>
                  <w:vAlign w:val="center"/>
                </w:tcPr>
                <w:p w14:paraId="4F10033C">
                  <w:pPr>
                    <w:autoSpaceDE w:val="0"/>
                    <w:autoSpaceDN w:val="0"/>
                    <w:jc w:val="center"/>
                    <w:rPr>
                      <w:rFonts w:hint="eastAsia" w:ascii="Times New Roman" w:hAnsi="Times New Roman" w:eastAsia="宋体" w:cs="Times New Roman"/>
                      <w:bCs/>
                      <w:color w:val="FF0000"/>
                      <w:szCs w:val="21"/>
                      <w:lang w:val="en-US" w:eastAsia="zh-CN"/>
                    </w:rPr>
                  </w:pPr>
                </w:p>
              </w:tc>
              <w:tc>
                <w:tcPr>
                  <w:tcW w:w="1127" w:type="dxa"/>
                  <w:vMerge w:val="continue"/>
                  <w:tcBorders>
                    <w:tl2br w:val="nil"/>
                    <w:tr2bl w:val="nil"/>
                  </w:tcBorders>
                  <w:noWrap/>
                  <w:vAlign w:val="center"/>
                </w:tcPr>
                <w:p w14:paraId="2A201F6B">
                  <w:pPr>
                    <w:autoSpaceDE w:val="0"/>
                    <w:autoSpaceDN w:val="0"/>
                    <w:jc w:val="center"/>
                    <w:rPr>
                      <w:rFonts w:hint="eastAsia" w:eastAsia="宋体C...." w:cs="Times New Roman"/>
                      <w:bCs/>
                      <w:color w:val="FF0000"/>
                      <w:szCs w:val="21"/>
                    </w:rPr>
                  </w:pPr>
                </w:p>
              </w:tc>
            </w:tr>
            <w:tr w14:paraId="0862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06297067">
                  <w:pPr>
                    <w:autoSpaceDE w:val="0"/>
                    <w:autoSpaceDN w:val="0"/>
                    <w:jc w:val="center"/>
                    <w:rPr>
                      <w:rFonts w:hint="eastAsia" w:eastAsia="宋体C...." w:cs="Times New Roman"/>
                      <w:bCs/>
                      <w:color w:val="FF0000"/>
                      <w:szCs w:val="21"/>
                      <w:lang w:val="en-US" w:eastAsia="zh-CN"/>
                    </w:rPr>
                  </w:pPr>
                </w:p>
              </w:tc>
              <w:tc>
                <w:tcPr>
                  <w:tcW w:w="1135" w:type="dxa"/>
                  <w:vMerge w:val="restart"/>
                  <w:tcBorders>
                    <w:tl2br w:val="nil"/>
                    <w:tr2bl w:val="nil"/>
                  </w:tcBorders>
                  <w:noWrap/>
                  <w:vAlign w:val="center"/>
                </w:tcPr>
                <w:p w14:paraId="352F0414">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无组织</w:t>
                  </w:r>
                </w:p>
              </w:tc>
              <w:tc>
                <w:tcPr>
                  <w:tcW w:w="1304" w:type="dxa"/>
                  <w:tcBorders>
                    <w:tl2br w:val="nil"/>
                    <w:tr2bl w:val="nil"/>
                  </w:tcBorders>
                  <w:noWrap/>
                  <w:vAlign w:val="center"/>
                </w:tcPr>
                <w:p w14:paraId="6ADB82B0">
                  <w:pPr>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lang w:val="en-US" w:eastAsia="zh-CN"/>
                    </w:rPr>
                    <w:t>非甲烷总烃</w:t>
                  </w:r>
                </w:p>
              </w:tc>
              <w:tc>
                <w:tcPr>
                  <w:tcW w:w="1463" w:type="dxa"/>
                  <w:vMerge w:val="restart"/>
                  <w:tcBorders>
                    <w:tl2br w:val="nil"/>
                    <w:tr2bl w:val="nil"/>
                  </w:tcBorders>
                  <w:noWrap/>
                  <w:vAlign w:val="center"/>
                </w:tcPr>
                <w:p w14:paraId="602C7757">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21" w:type="dxa"/>
                  <w:vMerge w:val="restart"/>
                  <w:tcBorders>
                    <w:tl2br w:val="nil"/>
                    <w:tr2bl w:val="nil"/>
                  </w:tcBorders>
                  <w:noWrap/>
                  <w:vAlign w:val="center"/>
                </w:tcPr>
                <w:p w14:paraId="4A7029B5">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58" w:type="dxa"/>
                  <w:vMerge w:val="restart"/>
                  <w:tcBorders>
                    <w:tl2br w:val="nil"/>
                    <w:tr2bl w:val="nil"/>
                  </w:tcBorders>
                  <w:noWrap/>
                  <w:vAlign w:val="center"/>
                </w:tcPr>
                <w:p w14:paraId="6B3E6E06">
                  <w:pPr>
                    <w:autoSpaceDE w:val="0"/>
                    <w:autoSpaceDN w:val="0"/>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2DC40F75">
                  <w:pPr>
                    <w:autoSpaceDE w:val="0"/>
                    <w:autoSpaceDN w:val="0"/>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eastAsia="宋体" w:cs="Times New Roman"/>
                      <w:bCs/>
                      <w:color w:val="auto"/>
                      <w:kern w:val="0"/>
                      <w:szCs w:val="21"/>
                      <w:lang w:val="en-US" w:eastAsia="zh-CN"/>
                    </w:rPr>
                    <w:t>0.008</w:t>
                  </w:r>
                </w:p>
              </w:tc>
              <w:tc>
                <w:tcPr>
                  <w:tcW w:w="1151" w:type="dxa"/>
                  <w:vMerge w:val="restart"/>
                  <w:tcBorders>
                    <w:tl2br w:val="nil"/>
                    <w:tr2bl w:val="nil"/>
                  </w:tcBorders>
                  <w:noWrap/>
                  <w:vAlign w:val="center"/>
                </w:tcPr>
                <w:p w14:paraId="7B8185C6">
                  <w:pPr>
                    <w:autoSpaceDE w:val="0"/>
                    <w:autoSpaceDN w:val="0"/>
                    <w:jc w:val="center"/>
                    <w:rPr>
                      <w:rFonts w:hint="eastAsia"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w:t>
                  </w:r>
                </w:p>
              </w:tc>
              <w:tc>
                <w:tcPr>
                  <w:tcW w:w="1136" w:type="dxa"/>
                  <w:vMerge w:val="restart"/>
                  <w:tcBorders>
                    <w:tl2br w:val="nil"/>
                    <w:tr2bl w:val="nil"/>
                  </w:tcBorders>
                  <w:noWrap/>
                  <w:vAlign w:val="center"/>
                </w:tcPr>
                <w:p w14:paraId="1D944358">
                  <w:pPr>
                    <w:autoSpaceDE w:val="0"/>
                    <w:autoSpaceDN w:val="0"/>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27" w:type="dxa"/>
                  <w:vMerge w:val="restart"/>
                  <w:tcBorders>
                    <w:tl2br w:val="nil"/>
                    <w:tr2bl w:val="nil"/>
                  </w:tcBorders>
                  <w:noWrap/>
                  <w:vAlign w:val="center"/>
                </w:tcPr>
                <w:p w14:paraId="4A82C724">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w:t>
                  </w:r>
                </w:p>
              </w:tc>
            </w:tr>
            <w:tr w14:paraId="6866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53E3ABA7">
                  <w:pPr>
                    <w:autoSpaceDE w:val="0"/>
                    <w:autoSpaceDN w:val="0"/>
                    <w:jc w:val="center"/>
                    <w:rPr>
                      <w:rFonts w:hint="eastAsia" w:eastAsia="宋体C...." w:cs="Times New Roman"/>
                      <w:bCs/>
                      <w:color w:val="FF0000"/>
                      <w:szCs w:val="21"/>
                      <w:lang w:val="en-US" w:eastAsia="zh-CN"/>
                    </w:rPr>
                  </w:pPr>
                  <w:bookmarkStart w:id="11" w:name="_Toc3818"/>
                </w:p>
              </w:tc>
              <w:tc>
                <w:tcPr>
                  <w:tcW w:w="1135" w:type="dxa"/>
                  <w:vMerge w:val="continue"/>
                  <w:tcBorders>
                    <w:tl2br w:val="nil"/>
                    <w:tr2bl w:val="nil"/>
                  </w:tcBorders>
                  <w:noWrap/>
                  <w:vAlign w:val="center"/>
                </w:tcPr>
                <w:p w14:paraId="32D8D120">
                  <w:pPr>
                    <w:autoSpaceDE w:val="0"/>
                    <w:autoSpaceDN w:val="0"/>
                    <w:jc w:val="center"/>
                    <w:rPr>
                      <w:rFonts w:hint="eastAsia" w:ascii="Times New Roman" w:hAnsi="Times New Roman" w:eastAsia="宋体C...." w:cs="Times New Roman"/>
                      <w:bCs/>
                      <w:color w:val="auto"/>
                      <w:szCs w:val="21"/>
                      <w:lang w:val="en-US" w:eastAsia="zh-CN"/>
                    </w:rPr>
                  </w:pPr>
                </w:p>
              </w:tc>
              <w:tc>
                <w:tcPr>
                  <w:tcW w:w="1304" w:type="dxa"/>
                  <w:tcBorders>
                    <w:tl2br w:val="nil"/>
                    <w:tr2bl w:val="nil"/>
                  </w:tcBorders>
                  <w:noWrap/>
                  <w:vAlign w:val="center"/>
                </w:tcPr>
                <w:p w14:paraId="24CB8185">
                  <w:pPr>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lang w:val="en-US" w:eastAsia="zh-CN"/>
                    </w:rPr>
                    <w:t>臭气浓度</w:t>
                  </w:r>
                </w:p>
              </w:tc>
              <w:tc>
                <w:tcPr>
                  <w:tcW w:w="1463" w:type="dxa"/>
                  <w:vMerge w:val="continue"/>
                  <w:tcBorders>
                    <w:tl2br w:val="nil"/>
                    <w:tr2bl w:val="nil"/>
                  </w:tcBorders>
                  <w:noWrap/>
                  <w:vAlign w:val="center"/>
                </w:tcPr>
                <w:p w14:paraId="5FEAE7F5">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16796B00">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vMerge w:val="continue"/>
                  <w:tcBorders>
                    <w:tl2br w:val="nil"/>
                    <w:tr2bl w:val="nil"/>
                  </w:tcBorders>
                  <w:noWrap/>
                  <w:vAlign w:val="center"/>
                </w:tcPr>
                <w:p w14:paraId="2DBBBA04">
                  <w:pPr>
                    <w:autoSpaceDE w:val="0"/>
                    <w:autoSpaceDN w:val="0"/>
                    <w:jc w:val="center"/>
                    <w:rPr>
                      <w:rFonts w:hint="eastAsia" w:ascii="Times New Roman" w:hAnsi="Times New Roman" w:cs="Times New Roman"/>
                      <w:bCs/>
                      <w:color w:val="FF0000"/>
                      <w:szCs w:val="21"/>
                      <w:lang w:val="en-US" w:eastAsia="zh-CN"/>
                    </w:rPr>
                  </w:pPr>
                </w:p>
              </w:tc>
              <w:tc>
                <w:tcPr>
                  <w:tcW w:w="1747" w:type="dxa"/>
                  <w:tcBorders>
                    <w:tl2br w:val="nil"/>
                    <w:tr2bl w:val="nil"/>
                  </w:tcBorders>
                  <w:noWrap/>
                  <w:vAlign w:val="center"/>
                </w:tcPr>
                <w:p w14:paraId="658E0928">
                  <w:pPr>
                    <w:autoSpaceDE w:val="0"/>
                    <w:autoSpaceDN w:val="0"/>
                    <w:jc w:val="center"/>
                    <w:rPr>
                      <w:rFonts w:hint="eastAsia" w:ascii="Times New Roman" w:hAnsi="Times New Roman" w:eastAsia="宋体" w:cs="Times New Roman"/>
                      <w:bCs/>
                      <w:color w:val="FF0000"/>
                      <w:kern w:val="0"/>
                      <w:szCs w:val="21"/>
                      <w:lang w:val="en-US" w:eastAsia="zh-CN"/>
                    </w:rPr>
                  </w:pPr>
                  <w:r>
                    <w:rPr>
                      <w:rFonts w:hint="eastAsia" w:ascii="Times New Roman" w:hAnsi="Times New Roman" w:cs="Times New Roman"/>
                      <w:bCs/>
                      <w:color w:val="auto"/>
                      <w:szCs w:val="21"/>
                      <w:lang w:val="en-US" w:eastAsia="zh-CN"/>
                    </w:rPr>
                    <w:t>/</w:t>
                  </w:r>
                </w:p>
              </w:tc>
              <w:tc>
                <w:tcPr>
                  <w:tcW w:w="1151" w:type="dxa"/>
                  <w:vMerge w:val="continue"/>
                  <w:tcBorders>
                    <w:tl2br w:val="nil"/>
                    <w:tr2bl w:val="nil"/>
                  </w:tcBorders>
                  <w:noWrap/>
                  <w:vAlign w:val="center"/>
                </w:tcPr>
                <w:p w14:paraId="019F3614">
                  <w:pPr>
                    <w:autoSpaceDE w:val="0"/>
                    <w:autoSpaceDN w:val="0"/>
                    <w:jc w:val="center"/>
                    <w:rPr>
                      <w:rFonts w:hint="eastAsia" w:ascii="Times New Roman" w:hAnsi="Times New Roman"/>
                      <w:color w:val="FF0000"/>
                      <w:kern w:val="0"/>
                      <w:szCs w:val="21"/>
                      <w:lang w:val="en-US" w:eastAsia="zh-CN"/>
                    </w:rPr>
                  </w:pPr>
                </w:p>
              </w:tc>
              <w:tc>
                <w:tcPr>
                  <w:tcW w:w="1136" w:type="dxa"/>
                  <w:vMerge w:val="continue"/>
                  <w:tcBorders>
                    <w:tl2br w:val="nil"/>
                    <w:tr2bl w:val="nil"/>
                  </w:tcBorders>
                  <w:noWrap/>
                  <w:vAlign w:val="center"/>
                </w:tcPr>
                <w:p w14:paraId="2485CEE3">
                  <w:pPr>
                    <w:autoSpaceDE w:val="0"/>
                    <w:autoSpaceDN w:val="0"/>
                    <w:jc w:val="center"/>
                    <w:rPr>
                      <w:rFonts w:hint="eastAsia" w:ascii="Times New Roman" w:hAnsi="Times New Roman" w:eastAsia="宋体" w:cs="Times New Roman"/>
                      <w:bCs/>
                      <w:color w:val="FF0000"/>
                      <w:szCs w:val="21"/>
                      <w:lang w:val="en-US" w:eastAsia="zh-CN"/>
                    </w:rPr>
                  </w:pPr>
                </w:p>
              </w:tc>
              <w:tc>
                <w:tcPr>
                  <w:tcW w:w="1127" w:type="dxa"/>
                  <w:vMerge w:val="continue"/>
                  <w:tcBorders>
                    <w:tl2br w:val="nil"/>
                    <w:tr2bl w:val="nil"/>
                  </w:tcBorders>
                  <w:noWrap/>
                  <w:vAlign w:val="center"/>
                </w:tcPr>
                <w:p w14:paraId="0F26FC28">
                  <w:pPr>
                    <w:autoSpaceDE w:val="0"/>
                    <w:autoSpaceDN w:val="0"/>
                    <w:jc w:val="center"/>
                    <w:rPr>
                      <w:rFonts w:hint="eastAsia" w:eastAsia="宋体C...." w:cs="Times New Roman"/>
                      <w:bCs/>
                      <w:color w:val="auto"/>
                      <w:szCs w:val="21"/>
                      <w:lang w:val="en-US" w:eastAsia="zh-CN"/>
                    </w:rPr>
                  </w:pPr>
                </w:p>
              </w:tc>
            </w:tr>
            <w:tr w14:paraId="7DAE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restart"/>
                  <w:tcBorders>
                    <w:tl2br w:val="nil"/>
                    <w:tr2bl w:val="nil"/>
                  </w:tcBorders>
                  <w:noWrap/>
                  <w:vAlign w:val="center"/>
                </w:tcPr>
                <w:p w14:paraId="0BBC6EF2">
                  <w:pPr>
                    <w:autoSpaceDE w:val="0"/>
                    <w:autoSpaceDN w:val="0"/>
                    <w:jc w:val="center"/>
                    <w:rPr>
                      <w:rFonts w:hint="default" w:eastAsia="宋体C...." w:cs="Times New Roman"/>
                      <w:bCs/>
                      <w:color w:val="FF0000"/>
                      <w:szCs w:val="21"/>
                      <w:lang w:val="en-US" w:eastAsia="zh-CN"/>
                    </w:rPr>
                  </w:pPr>
                  <w:r>
                    <w:rPr>
                      <w:rFonts w:hint="eastAsia" w:ascii="Times New Roman" w:eastAsia="宋体" w:cs="Times New Roman"/>
                      <w:color w:val="auto"/>
                      <w:szCs w:val="21"/>
                      <w:lang w:val="en-US" w:eastAsia="zh-CN"/>
                    </w:rPr>
                    <w:t>塑封</w:t>
                  </w:r>
                </w:p>
              </w:tc>
              <w:tc>
                <w:tcPr>
                  <w:tcW w:w="1135" w:type="dxa"/>
                  <w:vMerge w:val="restart"/>
                  <w:tcBorders>
                    <w:tl2br w:val="nil"/>
                    <w:tr2bl w:val="nil"/>
                  </w:tcBorders>
                  <w:noWrap/>
                  <w:vAlign w:val="center"/>
                </w:tcPr>
                <w:p w14:paraId="4977C4FB">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有</w:t>
                  </w:r>
                  <w:r>
                    <w:rPr>
                      <w:rFonts w:hint="eastAsia" w:ascii="Times New Roman" w:hAnsi="Times New Roman" w:eastAsia="宋体C...." w:cs="Times New Roman"/>
                      <w:bCs/>
                      <w:color w:val="auto"/>
                      <w:szCs w:val="21"/>
                    </w:rPr>
                    <w:t>组织</w:t>
                  </w:r>
                </w:p>
              </w:tc>
              <w:tc>
                <w:tcPr>
                  <w:tcW w:w="1304" w:type="dxa"/>
                  <w:tcBorders>
                    <w:tl2br w:val="nil"/>
                    <w:tr2bl w:val="nil"/>
                  </w:tcBorders>
                  <w:noWrap/>
                  <w:vAlign w:val="center"/>
                </w:tcPr>
                <w:p w14:paraId="0C2DC0D4">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非甲烷总烃</w:t>
                  </w:r>
                </w:p>
              </w:tc>
              <w:tc>
                <w:tcPr>
                  <w:tcW w:w="1463" w:type="dxa"/>
                  <w:vMerge w:val="restart"/>
                  <w:tcBorders>
                    <w:tl2br w:val="nil"/>
                    <w:tr2bl w:val="nil"/>
                  </w:tcBorders>
                  <w:noWrap/>
                  <w:vAlign w:val="center"/>
                </w:tcPr>
                <w:p w14:paraId="551BAE0A">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90</w:t>
                  </w:r>
                </w:p>
              </w:tc>
              <w:tc>
                <w:tcPr>
                  <w:tcW w:w="1621" w:type="dxa"/>
                  <w:vMerge w:val="restart"/>
                  <w:tcBorders>
                    <w:tl2br w:val="nil"/>
                    <w:tr2bl w:val="nil"/>
                  </w:tcBorders>
                  <w:noWrap/>
                  <w:vAlign w:val="center"/>
                </w:tcPr>
                <w:p w14:paraId="59FB2F48">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3500</w:t>
                  </w:r>
                </w:p>
              </w:tc>
              <w:tc>
                <w:tcPr>
                  <w:tcW w:w="1658" w:type="dxa"/>
                  <w:tcBorders>
                    <w:tl2br w:val="nil"/>
                    <w:tr2bl w:val="nil"/>
                  </w:tcBorders>
                  <w:noWrap/>
                  <w:vAlign w:val="center"/>
                </w:tcPr>
                <w:p w14:paraId="0013B821">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5.7</w:t>
                  </w:r>
                </w:p>
              </w:tc>
              <w:tc>
                <w:tcPr>
                  <w:tcW w:w="1747" w:type="dxa"/>
                  <w:tcBorders>
                    <w:tl2br w:val="nil"/>
                    <w:tr2bl w:val="nil"/>
                  </w:tcBorders>
                  <w:noWrap/>
                  <w:vAlign w:val="center"/>
                </w:tcPr>
                <w:p w14:paraId="19A0DC53">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0.02</w:t>
                  </w:r>
                </w:p>
              </w:tc>
              <w:tc>
                <w:tcPr>
                  <w:tcW w:w="1151" w:type="dxa"/>
                  <w:vMerge w:val="restart"/>
                  <w:tcBorders>
                    <w:tl2br w:val="nil"/>
                    <w:tr2bl w:val="nil"/>
                  </w:tcBorders>
                  <w:noWrap/>
                  <w:vAlign w:val="center"/>
                </w:tcPr>
                <w:p w14:paraId="0A07788C">
                  <w:pPr>
                    <w:autoSpaceDE w:val="0"/>
                    <w:autoSpaceDN w:val="0"/>
                    <w:jc w:val="center"/>
                    <w:rPr>
                      <w:rFonts w:hint="default" w:ascii="Times New Roman" w:hAnsi="Times New Roman"/>
                      <w:color w:val="FF0000"/>
                      <w:kern w:val="0"/>
                      <w:szCs w:val="21"/>
                      <w:lang w:val="en-US" w:eastAsia="zh-CN"/>
                    </w:rPr>
                  </w:pPr>
                  <w:r>
                    <w:rPr>
                      <w:rFonts w:hint="default" w:ascii="Times New Roman" w:hAnsi="Times New Roman"/>
                      <w:color w:val="auto"/>
                      <w:kern w:val="0"/>
                      <w:szCs w:val="21"/>
                      <w:lang w:val="en-US" w:eastAsia="zh-CN"/>
                    </w:rPr>
                    <w:t>活性炭吸附装置</w:t>
                  </w:r>
                </w:p>
              </w:tc>
              <w:tc>
                <w:tcPr>
                  <w:tcW w:w="1136" w:type="dxa"/>
                  <w:tcBorders>
                    <w:tl2br w:val="nil"/>
                    <w:tr2bl w:val="nil"/>
                  </w:tcBorders>
                  <w:noWrap/>
                  <w:vAlign w:val="center"/>
                </w:tcPr>
                <w:p w14:paraId="592A5174">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1127" w:type="dxa"/>
                  <w:vMerge w:val="restart"/>
                  <w:tcBorders>
                    <w:tl2br w:val="nil"/>
                    <w:tr2bl w:val="nil"/>
                  </w:tcBorders>
                  <w:noWrap/>
                  <w:vAlign w:val="center"/>
                </w:tcPr>
                <w:p w14:paraId="3BDBE071">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是</w:t>
                  </w:r>
                </w:p>
              </w:tc>
            </w:tr>
            <w:tr w14:paraId="1C5D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1594C782">
                  <w:pPr>
                    <w:autoSpaceDE w:val="0"/>
                    <w:autoSpaceDN w:val="0"/>
                    <w:jc w:val="center"/>
                    <w:rPr>
                      <w:rFonts w:hint="eastAsia" w:eastAsia="宋体C...." w:cs="Times New Roman"/>
                      <w:bCs/>
                      <w:color w:val="FF0000"/>
                      <w:szCs w:val="21"/>
                      <w:lang w:val="en-US" w:eastAsia="zh-CN"/>
                    </w:rPr>
                  </w:pPr>
                </w:p>
              </w:tc>
              <w:tc>
                <w:tcPr>
                  <w:tcW w:w="1135" w:type="dxa"/>
                  <w:vMerge w:val="continue"/>
                  <w:tcBorders>
                    <w:tl2br w:val="nil"/>
                    <w:tr2bl w:val="nil"/>
                  </w:tcBorders>
                  <w:noWrap/>
                  <w:vAlign w:val="center"/>
                </w:tcPr>
                <w:p w14:paraId="06CA346E">
                  <w:pPr>
                    <w:autoSpaceDE w:val="0"/>
                    <w:autoSpaceDN w:val="0"/>
                    <w:jc w:val="center"/>
                    <w:rPr>
                      <w:rFonts w:hint="eastAsia" w:ascii="Times New Roman" w:hAnsi="Times New Roman" w:eastAsia="宋体C...." w:cs="Times New Roman"/>
                      <w:bCs/>
                      <w:color w:val="FF0000"/>
                      <w:szCs w:val="21"/>
                      <w:lang w:val="en-US" w:eastAsia="zh-CN"/>
                    </w:rPr>
                  </w:pPr>
                </w:p>
              </w:tc>
              <w:tc>
                <w:tcPr>
                  <w:tcW w:w="1304" w:type="dxa"/>
                  <w:tcBorders>
                    <w:tl2br w:val="nil"/>
                    <w:tr2bl w:val="nil"/>
                  </w:tcBorders>
                  <w:noWrap/>
                  <w:vAlign w:val="center"/>
                </w:tcPr>
                <w:p w14:paraId="2C32EAA7">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苯乙烯</w:t>
                  </w:r>
                </w:p>
              </w:tc>
              <w:tc>
                <w:tcPr>
                  <w:tcW w:w="1463" w:type="dxa"/>
                  <w:vMerge w:val="continue"/>
                  <w:tcBorders>
                    <w:tl2br w:val="nil"/>
                    <w:tr2bl w:val="nil"/>
                  </w:tcBorders>
                  <w:noWrap/>
                  <w:vAlign w:val="center"/>
                </w:tcPr>
                <w:p w14:paraId="7317C31A">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2B091E95">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tcBorders>
                    <w:tl2br w:val="nil"/>
                    <w:tr2bl w:val="nil"/>
                  </w:tcBorders>
                  <w:noWrap/>
                  <w:vAlign w:val="center"/>
                </w:tcPr>
                <w:p w14:paraId="58844134">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5.7</w:t>
                  </w:r>
                </w:p>
              </w:tc>
              <w:tc>
                <w:tcPr>
                  <w:tcW w:w="1747" w:type="dxa"/>
                  <w:tcBorders>
                    <w:tl2br w:val="nil"/>
                    <w:tr2bl w:val="nil"/>
                  </w:tcBorders>
                  <w:noWrap/>
                  <w:vAlign w:val="center"/>
                </w:tcPr>
                <w:p w14:paraId="5AEAE4E7">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0.02</w:t>
                  </w:r>
                </w:p>
              </w:tc>
              <w:tc>
                <w:tcPr>
                  <w:tcW w:w="1151" w:type="dxa"/>
                  <w:vMerge w:val="continue"/>
                  <w:tcBorders>
                    <w:tl2br w:val="nil"/>
                    <w:tr2bl w:val="nil"/>
                  </w:tcBorders>
                  <w:noWrap/>
                  <w:vAlign w:val="center"/>
                </w:tcPr>
                <w:p w14:paraId="49FEDB86">
                  <w:pPr>
                    <w:autoSpaceDE w:val="0"/>
                    <w:autoSpaceDN w:val="0"/>
                    <w:jc w:val="center"/>
                    <w:rPr>
                      <w:rFonts w:hint="eastAsia" w:ascii="Times New Roman" w:hAnsi="Times New Roman"/>
                      <w:color w:val="FF0000"/>
                      <w:kern w:val="0"/>
                      <w:szCs w:val="21"/>
                      <w:lang w:val="en-US" w:eastAsia="zh-CN"/>
                    </w:rPr>
                  </w:pPr>
                </w:p>
              </w:tc>
              <w:tc>
                <w:tcPr>
                  <w:tcW w:w="1136" w:type="dxa"/>
                  <w:tcBorders>
                    <w:tl2br w:val="nil"/>
                    <w:tr2bl w:val="nil"/>
                  </w:tcBorders>
                  <w:noWrap/>
                  <w:vAlign w:val="center"/>
                </w:tcPr>
                <w:p w14:paraId="1C3B5C8D">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1127" w:type="dxa"/>
                  <w:vMerge w:val="continue"/>
                  <w:tcBorders>
                    <w:tl2br w:val="nil"/>
                    <w:tr2bl w:val="nil"/>
                  </w:tcBorders>
                  <w:noWrap/>
                  <w:vAlign w:val="center"/>
                </w:tcPr>
                <w:p w14:paraId="6A468392">
                  <w:pPr>
                    <w:autoSpaceDE w:val="0"/>
                    <w:autoSpaceDN w:val="0"/>
                    <w:jc w:val="center"/>
                    <w:rPr>
                      <w:rFonts w:hint="eastAsia" w:eastAsia="宋体C...." w:cs="Times New Roman"/>
                      <w:bCs/>
                      <w:color w:val="FF0000"/>
                      <w:szCs w:val="21"/>
                      <w:lang w:val="en-US" w:eastAsia="zh-CN"/>
                    </w:rPr>
                  </w:pPr>
                </w:p>
              </w:tc>
            </w:tr>
            <w:tr w14:paraId="0002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526A65F2">
                  <w:pPr>
                    <w:autoSpaceDE w:val="0"/>
                    <w:autoSpaceDN w:val="0"/>
                    <w:jc w:val="center"/>
                    <w:rPr>
                      <w:rFonts w:hint="eastAsia" w:eastAsia="宋体C...." w:cs="Times New Roman"/>
                      <w:bCs/>
                      <w:color w:val="FF0000"/>
                      <w:szCs w:val="21"/>
                      <w:lang w:val="en-US" w:eastAsia="zh-CN"/>
                    </w:rPr>
                  </w:pPr>
                </w:p>
              </w:tc>
              <w:tc>
                <w:tcPr>
                  <w:tcW w:w="1135" w:type="dxa"/>
                  <w:vMerge w:val="continue"/>
                  <w:tcBorders>
                    <w:tl2br w:val="nil"/>
                    <w:tr2bl w:val="nil"/>
                  </w:tcBorders>
                  <w:noWrap/>
                  <w:vAlign w:val="center"/>
                </w:tcPr>
                <w:p w14:paraId="77C4BF83">
                  <w:pPr>
                    <w:autoSpaceDE w:val="0"/>
                    <w:autoSpaceDN w:val="0"/>
                    <w:jc w:val="center"/>
                    <w:rPr>
                      <w:rFonts w:hint="eastAsia" w:ascii="Times New Roman" w:hAnsi="Times New Roman" w:eastAsia="宋体C...." w:cs="Times New Roman"/>
                      <w:bCs/>
                      <w:color w:val="FF0000"/>
                      <w:szCs w:val="21"/>
                      <w:lang w:val="en-US" w:eastAsia="zh-CN"/>
                    </w:rPr>
                  </w:pPr>
                </w:p>
              </w:tc>
              <w:tc>
                <w:tcPr>
                  <w:tcW w:w="1304" w:type="dxa"/>
                  <w:tcBorders>
                    <w:tl2br w:val="nil"/>
                    <w:tr2bl w:val="nil"/>
                  </w:tcBorders>
                  <w:noWrap/>
                  <w:vAlign w:val="center"/>
                </w:tcPr>
                <w:p w14:paraId="135F30A0">
                  <w:pPr>
                    <w:jc w:val="center"/>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臭气浓度</w:t>
                  </w:r>
                </w:p>
              </w:tc>
              <w:tc>
                <w:tcPr>
                  <w:tcW w:w="1463" w:type="dxa"/>
                  <w:vMerge w:val="continue"/>
                  <w:tcBorders>
                    <w:tl2br w:val="nil"/>
                    <w:tr2bl w:val="nil"/>
                  </w:tcBorders>
                  <w:noWrap/>
                  <w:vAlign w:val="center"/>
                </w:tcPr>
                <w:p w14:paraId="64C1C537">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5CA6F3E0">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tcBorders>
                    <w:tl2br w:val="nil"/>
                    <w:tr2bl w:val="nil"/>
                  </w:tcBorders>
                  <w:noWrap/>
                  <w:vAlign w:val="center"/>
                </w:tcPr>
                <w:p w14:paraId="58887EA3">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747" w:type="dxa"/>
                  <w:tcBorders>
                    <w:tl2br w:val="nil"/>
                    <w:tr2bl w:val="nil"/>
                  </w:tcBorders>
                  <w:noWrap/>
                  <w:vAlign w:val="center"/>
                </w:tcPr>
                <w:p w14:paraId="2DFE8BC2">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w:t>
                  </w:r>
                </w:p>
              </w:tc>
              <w:tc>
                <w:tcPr>
                  <w:tcW w:w="1151" w:type="dxa"/>
                  <w:vMerge w:val="continue"/>
                  <w:tcBorders>
                    <w:tl2br w:val="nil"/>
                    <w:tr2bl w:val="nil"/>
                  </w:tcBorders>
                  <w:noWrap/>
                  <w:vAlign w:val="center"/>
                </w:tcPr>
                <w:p w14:paraId="44C4F11F">
                  <w:pPr>
                    <w:autoSpaceDE w:val="0"/>
                    <w:autoSpaceDN w:val="0"/>
                    <w:jc w:val="center"/>
                    <w:rPr>
                      <w:rFonts w:hint="eastAsia" w:ascii="Times New Roman" w:hAnsi="Times New Roman"/>
                      <w:color w:val="FF0000"/>
                      <w:kern w:val="0"/>
                      <w:szCs w:val="21"/>
                      <w:lang w:val="en-US" w:eastAsia="zh-CN"/>
                    </w:rPr>
                  </w:pPr>
                </w:p>
              </w:tc>
              <w:tc>
                <w:tcPr>
                  <w:tcW w:w="1136" w:type="dxa"/>
                  <w:tcBorders>
                    <w:tl2br w:val="nil"/>
                    <w:tr2bl w:val="nil"/>
                  </w:tcBorders>
                  <w:noWrap/>
                  <w:vAlign w:val="center"/>
                </w:tcPr>
                <w:p w14:paraId="5F60D7E9">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1127" w:type="dxa"/>
                  <w:vMerge w:val="continue"/>
                  <w:tcBorders>
                    <w:tl2br w:val="nil"/>
                    <w:tr2bl w:val="nil"/>
                  </w:tcBorders>
                  <w:noWrap/>
                  <w:vAlign w:val="center"/>
                </w:tcPr>
                <w:p w14:paraId="4C96ED68">
                  <w:pPr>
                    <w:autoSpaceDE w:val="0"/>
                    <w:autoSpaceDN w:val="0"/>
                    <w:jc w:val="center"/>
                    <w:rPr>
                      <w:rFonts w:hint="eastAsia" w:eastAsia="宋体C...." w:cs="Times New Roman"/>
                      <w:bCs/>
                      <w:color w:val="FF0000"/>
                      <w:szCs w:val="21"/>
                      <w:lang w:val="en-US" w:eastAsia="zh-CN"/>
                    </w:rPr>
                  </w:pPr>
                </w:p>
              </w:tc>
            </w:tr>
            <w:tr w14:paraId="5097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2181DF4F">
                  <w:pPr>
                    <w:autoSpaceDE w:val="0"/>
                    <w:autoSpaceDN w:val="0"/>
                    <w:jc w:val="center"/>
                    <w:rPr>
                      <w:rFonts w:hint="eastAsia" w:eastAsia="宋体C...." w:cs="Times New Roman"/>
                      <w:bCs/>
                      <w:color w:val="FF0000"/>
                      <w:szCs w:val="21"/>
                      <w:lang w:val="en-US" w:eastAsia="zh-CN"/>
                    </w:rPr>
                  </w:pPr>
                </w:p>
              </w:tc>
              <w:tc>
                <w:tcPr>
                  <w:tcW w:w="1135" w:type="dxa"/>
                  <w:vMerge w:val="restart"/>
                  <w:tcBorders>
                    <w:tl2br w:val="nil"/>
                    <w:tr2bl w:val="nil"/>
                  </w:tcBorders>
                  <w:noWrap/>
                  <w:vAlign w:val="center"/>
                </w:tcPr>
                <w:p w14:paraId="1BAEF559">
                  <w:pPr>
                    <w:autoSpaceDE w:val="0"/>
                    <w:autoSpaceDN w:val="0"/>
                    <w:jc w:val="center"/>
                    <w:rPr>
                      <w:rFonts w:hint="eastAsia" w:ascii="Times New Roman" w:hAnsi="Times New Roman" w:eastAsia="宋体C...." w:cs="Times New Roman"/>
                      <w:bCs/>
                      <w:color w:val="FF0000"/>
                      <w:szCs w:val="21"/>
                      <w:lang w:val="en-US" w:eastAsia="zh-CN"/>
                    </w:rPr>
                  </w:pPr>
                  <w:r>
                    <w:rPr>
                      <w:rFonts w:hint="eastAsia" w:ascii="Times New Roman" w:hAnsi="Times New Roman" w:eastAsia="宋体C...." w:cs="Times New Roman"/>
                      <w:bCs/>
                      <w:color w:val="auto"/>
                      <w:szCs w:val="21"/>
                      <w:lang w:val="en-US" w:eastAsia="zh-CN"/>
                    </w:rPr>
                    <w:t>无组织</w:t>
                  </w:r>
                </w:p>
              </w:tc>
              <w:tc>
                <w:tcPr>
                  <w:tcW w:w="1304" w:type="dxa"/>
                  <w:tcBorders>
                    <w:tl2br w:val="nil"/>
                    <w:tr2bl w:val="nil"/>
                  </w:tcBorders>
                  <w:noWrap/>
                  <w:vAlign w:val="center"/>
                </w:tcPr>
                <w:p w14:paraId="1AF3D687">
                  <w:pPr>
                    <w:jc w:val="center"/>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非甲烷总烃</w:t>
                  </w:r>
                </w:p>
              </w:tc>
              <w:tc>
                <w:tcPr>
                  <w:tcW w:w="1463" w:type="dxa"/>
                  <w:vMerge w:val="restart"/>
                  <w:tcBorders>
                    <w:tl2br w:val="nil"/>
                    <w:tr2bl w:val="nil"/>
                  </w:tcBorders>
                  <w:noWrap/>
                  <w:vAlign w:val="center"/>
                </w:tcPr>
                <w:p w14:paraId="6C570609">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21" w:type="dxa"/>
                  <w:vMerge w:val="restart"/>
                  <w:tcBorders>
                    <w:tl2br w:val="nil"/>
                    <w:tr2bl w:val="nil"/>
                  </w:tcBorders>
                  <w:noWrap/>
                  <w:vAlign w:val="center"/>
                </w:tcPr>
                <w:p w14:paraId="20130767">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658" w:type="dxa"/>
                  <w:vMerge w:val="restart"/>
                  <w:tcBorders>
                    <w:tl2br w:val="nil"/>
                    <w:tr2bl w:val="nil"/>
                  </w:tcBorders>
                  <w:noWrap/>
                  <w:vAlign w:val="center"/>
                </w:tcPr>
                <w:p w14:paraId="27C5CD9B">
                  <w:pPr>
                    <w:autoSpaceDE w:val="0"/>
                    <w:autoSpaceDN w:val="0"/>
                    <w:jc w:val="center"/>
                    <w:rPr>
                      <w:rFonts w:hint="eastAsia" w:ascii="Times New Roman" w:hAnsi="Times New Roman" w:cs="Times New Roman"/>
                      <w:bCs/>
                      <w:color w:val="auto"/>
                      <w:szCs w:val="21"/>
                      <w:lang w:val="en-US" w:eastAsia="zh-CN"/>
                    </w:rPr>
                  </w:pPr>
                  <w:r>
                    <w:rPr>
                      <w:rFonts w:hint="eastAsia" w:ascii="Times New Roman" w:hAnsi="Times New Roman" w:eastAsia="宋体C...." w:cs="Times New Roman"/>
                      <w:bCs/>
                      <w:color w:val="auto"/>
                      <w:szCs w:val="21"/>
                      <w:lang w:val="en-US" w:eastAsia="zh-CN"/>
                    </w:rPr>
                    <w:t>/</w:t>
                  </w:r>
                </w:p>
              </w:tc>
              <w:tc>
                <w:tcPr>
                  <w:tcW w:w="1747" w:type="dxa"/>
                  <w:tcBorders>
                    <w:tl2br w:val="nil"/>
                    <w:tr2bl w:val="nil"/>
                  </w:tcBorders>
                  <w:noWrap/>
                  <w:vAlign w:val="center"/>
                </w:tcPr>
                <w:p w14:paraId="69453C50">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0.002</w:t>
                  </w:r>
                </w:p>
              </w:tc>
              <w:tc>
                <w:tcPr>
                  <w:tcW w:w="1151" w:type="dxa"/>
                  <w:vMerge w:val="restart"/>
                  <w:tcBorders>
                    <w:tl2br w:val="nil"/>
                    <w:tr2bl w:val="nil"/>
                  </w:tcBorders>
                  <w:noWrap/>
                  <w:vAlign w:val="center"/>
                </w:tcPr>
                <w:p w14:paraId="43783291">
                  <w:pPr>
                    <w:autoSpaceDE w:val="0"/>
                    <w:autoSpaceDN w:val="0"/>
                    <w:jc w:val="center"/>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w:t>
                  </w:r>
                </w:p>
              </w:tc>
              <w:tc>
                <w:tcPr>
                  <w:tcW w:w="1136" w:type="dxa"/>
                  <w:vMerge w:val="restart"/>
                  <w:tcBorders>
                    <w:tl2br w:val="nil"/>
                    <w:tr2bl w:val="nil"/>
                  </w:tcBorders>
                  <w:noWrap/>
                  <w:vAlign w:val="center"/>
                </w:tcPr>
                <w:p w14:paraId="634ED5F0">
                  <w:pPr>
                    <w:autoSpaceDE w:val="0"/>
                    <w:autoSpaceDN w:val="0"/>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27" w:type="dxa"/>
                  <w:vMerge w:val="restart"/>
                  <w:tcBorders>
                    <w:tl2br w:val="nil"/>
                    <w:tr2bl w:val="nil"/>
                  </w:tcBorders>
                  <w:noWrap/>
                  <w:vAlign w:val="center"/>
                </w:tcPr>
                <w:p w14:paraId="1F53C2EF">
                  <w:pPr>
                    <w:autoSpaceDE w:val="0"/>
                    <w:autoSpaceDN w:val="0"/>
                    <w:jc w:val="center"/>
                    <w:rPr>
                      <w:rFonts w:hint="eastAsia" w:eastAsia="宋体C...." w:cs="Times New Roman"/>
                      <w:bCs/>
                      <w:color w:val="auto"/>
                      <w:szCs w:val="21"/>
                      <w:lang w:val="en-US" w:eastAsia="zh-CN"/>
                    </w:rPr>
                  </w:pPr>
                  <w:r>
                    <w:rPr>
                      <w:rFonts w:hint="eastAsia" w:eastAsia="宋体C...." w:cs="Times New Roman"/>
                      <w:bCs/>
                      <w:color w:val="auto"/>
                      <w:szCs w:val="21"/>
                      <w:lang w:val="en-US" w:eastAsia="zh-CN"/>
                    </w:rPr>
                    <w:t>/</w:t>
                  </w:r>
                </w:p>
              </w:tc>
            </w:tr>
            <w:tr w14:paraId="05AD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4EF11689">
                  <w:pPr>
                    <w:autoSpaceDE w:val="0"/>
                    <w:autoSpaceDN w:val="0"/>
                    <w:jc w:val="center"/>
                    <w:rPr>
                      <w:rFonts w:hint="eastAsia" w:eastAsia="宋体C...." w:cs="Times New Roman"/>
                      <w:bCs/>
                      <w:color w:val="FF0000"/>
                      <w:szCs w:val="21"/>
                      <w:lang w:val="en-US" w:eastAsia="zh-CN"/>
                    </w:rPr>
                  </w:pPr>
                </w:p>
              </w:tc>
              <w:tc>
                <w:tcPr>
                  <w:tcW w:w="1135" w:type="dxa"/>
                  <w:vMerge w:val="continue"/>
                  <w:tcBorders>
                    <w:tl2br w:val="nil"/>
                    <w:tr2bl w:val="nil"/>
                  </w:tcBorders>
                  <w:noWrap/>
                  <w:vAlign w:val="center"/>
                </w:tcPr>
                <w:p w14:paraId="1FB982DA">
                  <w:pPr>
                    <w:autoSpaceDE w:val="0"/>
                    <w:autoSpaceDN w:val="0"/>
                    <w:jc w:val="center"/>
                    <w:rPr>
                      <w:rFonts w:hint="eastAsia" w:ascii="Times New Roman" w:hAnsi="Times New Roman" w:eastAsia="宋体C...." w:cs="Times New Roman"/>
                      <w:bCs/>
                      <w:color w:val="FF0000"/>
                      <w:szCs w:val="21"/>
                      <w:lang w:val="en-US" w:eastAsia="zh-CN"/>
                    </w:rPr>
                  </w:pPr>
                </w:p>
              </w:tc>
              <w:tc>
                <w:tcPr>
                  <w:tcW w:w="1304" w:type="dxa"/>
                  <w:tcBorders>
                    <w:tl2br w:val="nil"/>
                    <w:tr2bl w:val="nil"/>
                  </w:tcBorders>
                  <w:noWrap/>
                  <w:vAlign w:val="center"/>
                </w:tcPr>
                <w:p w14:paraId="4F135B69">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苯乙烯</w:t>
                  </w:r>
                </w:p>
              </w:tc>
              <w:tc>
                <w:tcPr>
                  <w:tcW w:w="1463" w:type="dxa"/>
                  <w:vMerge w:val="continue"/>
                  <w:tcBorders>
                    <w:tl2br w:val="nil"/>
                    <w:tr2bl w:val="nil"/>
                  </w:tcBorders>
                  <w:noWrap/>
                  <w:vAlign w:val="center"/>
                </w:tcPr>
                <w:p w14:paraId="37FB864D">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76F22CF3">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vMerge w:val="continue"/>
                  <w:tcBorders>
                    <w:tl2br w:val="nil"/>
                    <w:tr2bl w:val="nil"/>
                  </w:tcBorders>
                  <w:noWrap/>
                  <w:vAlign w:val="center"/>
                </w:tcPr>
                <w:p w14:paraId="7CB2846B">
                  <w:pPr>
                    <w:autoSpaceDE w:val="0"/>
                    <w:autoSpaceDN w:val="0"/>
                    <w:jc w:val="center"/>
                    <w:rPr>
                      <w:rFonts w:hint="eastAsia" w:ascii="Times New Roman" w:hAnsi="Times New Roman" w:cs="Times New Roman"/>
                      <w:bCs/>
                      <w:color w:val="FF0000"/>
                      <w:szCs w:val="21"/>
                      <w:lang w:val="en-US" w:eastAsia="zh-CN"/>
                    </w:rPr>
                  </w:pPr>
                </w:p>
              </w:tc>
              <w:tc>
                <w:tcPr>
                  <w:tcW w:w="1747" w:type="dxa"/>
                  <w:tcBorders>
                    <w:tl2br w:val="nil"/>
                    <w:tr2bl w:val="nil"/>
                  </w:tcBorders>
                  <w:noWrap/>
                  <w:vAlign w:val="center"/>
                </w:tcPr>
                <w:p w14:paraId="2F6D4511">
                  <w:pPr>
                    <w:autoSpaceDE w:val="0"/>
                    <w:autoSpaceDN w:val="0"/>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0.002</w:t>
                  </w:r>
                </w:p>
              </w:tc>
              <w:tc>
                <w:tcPr>
                  <w:tcW w:w="1151" w:type="dxa"/>
                  <w:vMerge w:val="continue"/>
                  <w:tcBorders>
                    <w:tl2br w:val="nil"/>
                    <w:tr2bl w:val="nil"/>
                  </w:tcBorders>
                  <w:noWrap/>
                  <w:vAlign w:val="center"/>
                </w:tcPr>
                <w:p w14:paraId="677E13D6">
                  <w:pPr>
                    <w:autoSpaceDE w:val="0"/>
                    <w:autoSpaceDN w:val="0"/>
                    <w:jc w:val="center"/>
                    <w:rPr>
                      <w:rFonts w:hint="eastAsia" w:ascii="Times New Roman" w:hAnsi="Times New Roman"/>
                      <w:color w:val="FF0000"/>
                      <w:kern w:val="0"/>
                      <w:szCs w:val="21"/>
                      <w:lang w:val="en-US" w:eastAsia="zh-CN"/>
                    </w:rPr>
                  </w:pPr>
                </w:p>
              </w:tc>
              <w:tc>
                <w:tcPr>
                  <w:tcW w:w="1136" w:type="dxa"/>
                  <w:vMerge w:val="continue"/>
                  <w:tcBorders>
                    <w:tl2br w:val="nil"/>
                    <w:tr2bl w:val="nil"/>
                  </w:tcBorders>
                  <w:noWrap/>
                  <w:vAlign w:val="center"/>
                </w:tcPr>
                <w:p w14:paraId="24AC5654">
                  <w:pPr>
                    <w:autoSpaceDE w:val="0"/>
                    <w:autoSpaceDN w:val="0"/>
                    <w:jc w:val="center"/>
                    <w:rPr>
                      <w:rFonts w:hint="eastAsia" w:ascii="Times New Roman" w:hAnsi="Times New Roman" w:eastAsia="宋体" w:cs="Times New Roman"/>
                      <w:bCs/>
                      <w:color w:val="FF0000"/>
                      <w:szCs w:val="21"/>
                      <w:lang w:val="en-US" w:eastAsia="zh-CN"/>
                    </w:rPr>
                  </w:pPr>
                </w:p>
              </w:tc>
              <w:tc>
                <w:tcPr>
                  <w:tcW w:w="1127" w:type="dxa"/>
                  <w:vMerge w:val="continue"/>
                  <w:tcBorders>
                    <w:tl2br w:val="nil"/>
                    <w:tr2bl w:val="nil"/>
                  </w:tcBorders>
                  <w:noWrap/>
                  <w:vAlign w:val="center"/>
                </w:tcPr>
                <w:p w14:paraId="4C856644">
                  <w:pPr>
                    <w:autoSpaceDE w:val="0"/>
                    <w:autoSpaceDN w:val="0"/>
                    <w:jc w:val="center"/>
                    <w:rPr>
                      <w:rFonts w:hint="eastAsia" w:eastAsia="宋体C...." w:cs="Times New Roman"/>
                      <w:bCs/>
                      <w:color w:val="FF0000"/>
                      <w:szCs w:val="21"/>
                      <w:lang w:val="en-US" w:eastAsia="zh-CN"/>
                    </w:rPr>
                  </w:pPr>
                </w:p>
              </w:tc>
            </w:tr>
            <w:tr w14:paraId="43AA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vMerge w:val="continue"/>
                  <w:tcBorders>
                    <w:tl2br w:val="nil"/>
                    <w:tr2bl w:val="nil"/>
                  </w:tcBorders>
                  <w:noWrap/>
                  <w:vAlign w:val="center"/>
                </w:tcPr>
                <w:p w14:paraId="5D942EEB">
                  <w:pPr>
                    <w:autoSpaceDE w:val="0"/>
                    <w:autoSpaceDN w:val="0"/>
                    <w:jc w:val="center"/>
                    <w:rPr>
                      <w:rFonts w:hint="eastAsia" w:eastAsia="宋体C...." w:cs="Times New Roman"/>
                      <w:bCs/>
                      <w:color w:val="FF0000"/>
                      <w:szCs w:val="21"/>
                      <w:lang w:val="en-US" w:eastAsia="zh-CN"/>
                    </w:rPr>
                  </w:pPr>
                </w:p>
              </w:tc>
              <w:tc>
                <w:tcPr>
                  <w:tcW w:w="1135" w:type="dxa"/>
                  <w:vMerge w:val="continue"/>
                  <w:tcBorders>
                    <w:tl2br w:val="nil"/>
                    <w:tr2bl w:val="nil"/>
                  </w:tcBorders>
                  <w:noWrap/>
                  <w:vAlign w:val="center"/>
                </w:tcPr>
                <w:p w14:paraId="1E8F7A38">
                  <w:pPr>
                    <w:autoSpaceDE w:val="0"/>
                    <w:autoSpaceDN w:val="0"/>
                    <w:jc w:val="center"/>
                    <w:rPr>
                      <w:rFonts w:hint="eastAsia" w:ascii="Times New Roman" w:hAnsi="Times New Roman" w:eastAsia="宋体C...." w:cs="Times New Roman"/>
                      <w:bCs/>
                      <w:color w:val="FF0000"/>
                      <w:szCs w:val="21"/>
                      <w:lang w:val="en-US" w:eastAsia="zh-CN"/>
                    </w:rPr>
                  </w:pPr>
                </w:p>
              </w:tc>
              <w:tc>
                <w:tcPr>
                  <w:tcW w:w="1304" w:type="dxa"/>
                  <w:tcBorders>
                    <w:tl2br w:val="nil"/>
                    <w:tr2bl w:val="nil"/>
                  </w:tcBorders>
                  <w:noWrap/>
                  <w:vAlign w:val="center"/>
                </w:tcPr>
                <w:p w14:paraId="2D57CCBC">
                  <w:pPr>
                    <w:jc w:val="center"/>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臭气浓度</w:t>
                  </w:r>
                </w:p>
              </w:tc>
              <w:tc>
                <w:tcPr>
                  <w:tcW w:w="1463" w:type="dxa"/>
                  <w:vMerge w:val="continue"/>
                  <w:tcBorders>
                    <w:tl2br w:val="nil"/>
                    <w:tr2bl w:val="nil"/>
                  </w:tcBorders>
                  <w:noWrap/>
                  <w:vAlign w:val="center"/>
                </w:tcPr>
                <w:p w14:paraId="253F164E">
                  <w:pPr>
                    <w:autoSpaceDE w:val="0"/>
                    <w:autoSpaceDN w:val="0"/>
                    <w:jc w:val="center"/>
                    <w:rPr>
                      <w:rFonts w:hint="eastAsia" w:ascii="Times New Roman" w:hAnsi="Times New Roman" w:eastAsia="宋体C...." w:cs="Times New Roman"/>
                      <w:bCs/>
                      <w:color w:val="FF0000"/>
                      <w:szCs w:val="21"/>
                      <w:lang w:val="en-US" w:eastAsia="zh-CN"/>
                    </w:rPr>
                  </w:pPr>
                </w:p>
              </w:tc>
              <w:tc>
                <w:tcPr>
                  <w:tcW w:w="1621" w:type="dxa"/>
                  <w:vMerge w:val="continue"/>
                  <w:tcBorders>
                    <w:tl2br w:val="nil"/>
                    <w:tr2bl w:val="nil"/>
                  </w:tcBorders>
                  <w:noWrap/>
                  <w:vAlign w:val="center"/>
                </w:tcPr>
                <w:p w14:paraId="2E23900B">
                  <w:pPr>
                    <w:autoSpaceDE w:val="0"/>
                    <w:autoSpaceDN w:val="0"/>
                    <w:jc w:val="center"/>
                    <w:rPr>
                      <w:rFonts w:hint="eastAsia" w:ascii="Times New Roman" w:hAnsi="Times New Roman" w:eastAsia="宋体C...." w:cs="Times New Roman"/>
                      <w:bCs/>
                      <w:color w:val="FF0000"/>
                      <w:szCs w:val="21"/>
                      <w:lang w:val="en-US" w:eastAsia="zh-CN"/>
                    </w:rPr>
                  </w:pPr>
                </w:p>
              </w:tc>
              <w:tc>
                <w:tcPr>
                  <w:tcW w:w="1658" w:type="dxa"/>
                  <w:vMerge w:val="continue"/>
                  <w:tcBorders>
                    <w:tl2br w:val="nil"/>
                    <w:tr2bl w:val="nil"/>
                  </w:tcBorders>
                  <w:noWrap/>
                  <w:vAlign w:val="center"/>
                </w:tcPr>
                <w:p w14:paraId="7ACE827C">
                  <w:pPr>
                    <w:autoSpaceDE w:val="0"/>
                    <w:autoSpaceDN w:val="0"/>
                    <w:jc w:val="center"/>
                    <w:rPr>
                      <w:rFonts w:hint="eastAsia" w:ascii="Times New Roman" w:hAnsi="Times New Roman" w:cs="Times New Roman"/>
                      <w:bCs/>
                      <w:color w:val="FF0000"/>
                      <w:szCs w:val="21"/>
                      <w:lang w:val="en-US" w:eastAsia="zh-CN"/>
                    </w:rPr>
                  </w:pPr>
                </w:p>
              </w:tc>
              <w:tc>
                <w:tcPr>
                  <w:tcW w:w="1747" w:type="dxa"/>
                  <w:tcBorders>
                    <w:tl2br w:val="nil"/>
                    <w:tr2bl w:val="nil"/>
                  </w:tcBorders>
                  <w:noWrap/>
                  <w:vAlign w:val="center"/>
                </w:tcPr>
                <w:p w14:paraId="1A70EED9">
                  <w:pPr>
                    <w:autoSpaceDE w:val="0"/>
                    <w:autoSpaceDN w:val="0"/>
                    <w:jc w:val="center"/>
                    <w:rPr>
                      <w:rFonts w:hint="eastAsia" w:ascii="Times New Roman" w:hAnsi="Times New Roman" w:eastAsia="宋体" w:cs="Times New Roman"/>
                      <w:bCs/>
                      <w:color w:val="FF0000"/>
                      <w:kern w:val="0"/>
                      <w:szCs w:val="21"/>
                      <w:lang w:val="en-US" w:eastAsia="zh-CN"/>
                    </w:rPr>
                  </w:pPr>
                  <w:r>
                    <w:rPr>
                      <w:rFonts w:hint="eastAsia" w:ascii="Times New Roman" w:hAnsi="Times New Roman" w:eastAsia="宋体C...." w:cs="Times New Roman"/>
                      <w:bCs/>
                      <w:color w:val="auto"/>
                      <w:szCs w:val="21"/>
                      <w:lang w:val="en-US" w:eastAsia="zh-CN"/>
                    </w:rPr>
                    <w:t>/</w:t>
                  </w:r>
                </w:p>
              </w:tc>
              <w:tc>
                <w:tcPr>
                  <w:tcW w:w="1151" w:type="dxa"/>
                  <w:vMerge w:val="continue"/>
                  <w:tcBorders>
                    <w:tl2br w:val="nil"/>
                    <w:tr2bl w:val="nil"/>
                  </w:tcBorders>
                  <w:noWrap/>
                  <w:vAlign w:val="center"/>
                </w:tcPr>
                <w:p w14:paraId="250BA0AD">
                  <w:pPr>
                    <w:autoSpaceDE w:val="0"/>
                    <w:autoSpaceDN w:val="0"/>
                    <w:jc w:val="center"/>
                    <w:rPr>
                      <w:rFonts w:hint="eastAsia" w:ascii="Times New Roman" w:hAnsi="Times New Roman"/>
                      <w:color w:val="FF0000"/>
                      <w:kern w:val="0"/>
                      <w:szCs w:val="21"/>
                      <w:lang w:val="en-US" w:eastAsia="zh-CN"/>
                    </w:rPr>
                  </w:pPr>
                </w:p>
              </w:tc>
              <w:tc>
                <w:tcPr>
                  <w:tcW w:w="1136" w:type="dxa"/>
                  <w:vMerge w:val="continue"/>
                  <w:tcBorders>
                    <w:tl2br w:val="nil"/>
                    <w:tr2bl w:val="nil"/>
                  </w:tcBorders>
                  <w:noWrap/>
                  <w:vAlign w:val="center"/>
                </w:tcPr>
                <w:p w14:paraId="25509D2C">
                  <w:pPr>
                    <w:autoSpaceDE w:val="0"/>
                    <w:autoSpaceDN w:val="0"/>
                    <w:jc w:val="center"/>
                    <w:rPr>
                      <w:rFonts w:hint="eastAsia" w:ascii="Times New Roman" w:hAnsi="Times New Roman" w:eastAsia="宋体" w:cs="Times New Roman"/>
                      <w:bCs/>
                      <w:color w:val="FF0000"/>
                      <w:szCs w:val="21"/>
                      <w:lang w:val="en-US" w:eastAsia="zh-CN"/>
                    </w:rPr>
                  </w:pPr>
                </w:p>
              </w:tc>
              <w:tc>
                <w:tcPr>
                  <w:tcW w:w="1127" w:type="dxa"/>
                  <w:vMerge w:val="continue"/>
                  <w:tcBorders>
                    <w:tl2br w:val="nil"/>
                    <w:tr2bl w:val="nil"/>
                  </w:tcBorders>
                  <w:noWrap/>
                  <w:vAlign w:val="center"/>
                </w:tcPr>
                <w:p w14:paraId="5DBB1F4E">
                  <w:pPr>
                    <w:autoSpaceDE w:val="0"/>
                    <w:autoSpaceDN w:val="0"/>
                    <w:jc w:val="center"/>
                    <w:rPr>
                      <w:rFonts w:hint="eastAsia" w:eastAsia="宋体C...." w:cs="Times New Roman"/>
                      <w:bCs/>
                      <w:color w:val="FF0000"/>
                      <w:szCs w:val="21"/>
                      <w:lang w:val="en-US" w:eastAsia="zh-CN"/>
                    </w:rPr>
                  </w:pPr>
                </w:p>
              </w:tc>
            </w:tr>
            <w:tr w14:paraId="0C28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4" w:type="dxa"/>
                  <w:tcBorders>
                    <w:tl2br w:val="nil"/>
                    <w:tr2bl w:val="nil"/>
                  </w:tcBorders>
                  <w:noWrap/>
                  <w:vAlign w:val="center"/>
                </w:tcPr>
                <w:p w14:paraId="4D9A390E">
                  <w:pPr>
                    <w:autoSpaceDE w:val="0"/>
                    <w:autoSpaceDN w:val="0"/>
                    <w:jc w:val="center"/>
                    <w:rPr>
                      <w:rFonts w:hint="default" w:eastAsia="宋体C...." w:cs="Times New Roman"/>
                      <w:bCs/>
                      <w:color w:val="FF0000"/>
                      <w:szCs w:val="21"/>
                      <w:lang w:val="en-US" w:eastAsia="zh-CN"/>
                    </w:rPr>
                  </w:pPr>
                  <w:r>
                    <w:rPr>
                      <w:rFonts w:hint="eastAsia" w:ascii="Times New Roman" w:eastAsia="宋体" w:cs="Times New Roman"/>
                      <w:color w:val="000000" w:themeColor="text1"/>
                      <w:szCs w:val="21"/>
                      <w:lang w:val="en-US" w:eastAsia="zh-CN"/>
                      <w14:textFill>
                        <w14:solidFill>
                          <w14:schemeClr w14:val="tx1"/>
                        </w14:solidFill>
                      </w14:textFill>
                    </w:rPr>
                    <w:t>食堂烹饪</w:t>
                  </w:r>
                </w:p>
              </w:tc>
              <w:tc>
                <w:tcPr>
                  <w:tcW w:w="1135" w:type="dxa"/>
                  <w:tcBorders>
                    <w:tl2br w:val="nil"/>
                    <w:tr2bl w:val="nil"/>
                  </w:tcBorders>
                  <w:noWrap/>
                  <w:vAlign w:val="center"/>
                </w:tcPr>
                <w:p w14:paraId="66EAD631">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有组织</w:t>
                  </w:r>
                </w:p>
              </w:tc>
              <w:tc>
                <w:tcPr>
                  <w:tcW w:w="1304" w:type="dxa"/>
                  <w:tcBorders>
                    <w:tl2br w:val="nil"/>
                    <w:tr2bl w:val="nil"/>
                  </w:tcBorders>
                  <w:noWrap/>
                  <w:vAlign w:val="center"/>
                </w:tcPr>
                <w:p w14:paraId="1457F11C">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油烟</w:t>
                  </w:r>
                </w:p>
              </w:tc>
              <w:tc>
                <w:tcPr>
                  <w:tcW w:w="1463" w:type="dxa"/>
                  <w:tcBorders>
                    <w:tl2br w:val="nil"/>
                    <w:tr2bl w:val="nil"/>
                  </w:tcBorders>
                  <w:noWrap/>
                  <w:vAlign w:val="center"/>
                </w:tcPr>
                <w:p w14:paraId="151EF5CF">
                  <w:pPr>
                    <w:autoSpaceDE w:val="0"/>
                    <w:autoSpaceDN w:val="0"/>
                    <w:jc w:val="center"/>
                    <w:rPr>
                      <w:rFonts w:hint="default" w:ascii="Times New Roman" w:hAnsi="Times New Roman" w:eastAsia="宋体C...." w:cs="Times New Roman"/>
                      <w:bCs/>
                      <w:color w:val="FF0000"/>
                      <w:szCs w:val="21"/>
                      <w:lang w:val="en-US" w:eastAsia="zh-CN"/>
                    </w:rPr>
                  </w:pPr>
                  <w:r>
                    <w:rPr>
                      <w:rFonts w:hint="eastAsia" w:ascii="Times New Roman" w:hAnsi="Times New Roman" w:eastAsia="宋体C...." w:cs="Times New Roman"/>
                      <w:bCs/>
                      <w:color w:val="auto"/>
                      <w:szCs w:val="21"/>
                      <w:lang w:val="en-US" w:eastAsia="zh-CN"/>
                    </w:rPr>
                    <w:t>100</w:t>
                  </w:r>
                </w:p>
              </w:tc>
              <w:tc>
                <w:tcPr>
                  <w:tcW w:w="1621" w:type="dxa"/>
                  <w:tcBorders>
                    <w:tl2br w:val="nil"/>
                    <w:tr2bl w:val="nil"/>
                  </w:tcBorders>
                  <w:noWrap/>
                  <w:vAlign w:val="center"/>
                </w:tcPr>
                <w:p w14:paraId="3C7C88F0">
                  <w:pPr>
                    <w:autoSpaceDE w:val="0"/>
                    <w:autoSpaceDN w:val="0"/>
                    <w:jc w:val="center"/>
                    <w:rPr>
                      <w:rFonts w:hint="default" w:ascii="Times New Roman" w:hAnsi="Times New Roman" w:eastAsia="宋体C...." w:cs="Times New Roman"/>
                      <w:bCs/>
                      <w:color w:val="FF0000"/>
                      <w:szCs w:val="21"/>
                      <w:lang w:val="en-US" w:eastAsia="zh-CN"/>
                    </w:rPr>
                  </w:pPr>
                  <w:r>
                    <w:rPr>
                      <w:rFonts w:hint="eastAsia" w:ascii="Times New Roman" w:hAnsi="Times New Roman" w:eastAsia="宋体C...." w:cs="Times New Roman"/>
                      <w:bCs/>
                      <w:color w:val="auto"/>
                      <w:szCs w:val="21"/>
                      <w:lang w:val="en-US" w:eastAsia="zh-CN"/>
                    </w:rPr>
                    <w:t>4000</w:t>
                  </w:r>
                </w:p>
              </w:tc>
              <w:tc>
                <w:tcPr>
                  <w:tcW w:w="1658" w:type="dxa"/>
                  <w:tcBorders>
                    <w:tl2br w:val="nil"/>
                    <w:tr2bl w:val="nil"/>
                  </w:tcBorders>
                  <w:noWrap/>
                  <w:vAlign w:val="center"/>
                </w:tcPr>
                <w:p w14:paraId="160529B2">
                  <w:pPr>
                    <w:jc w:val="center"/>
                    <w:rPr>
                      <w:rFonts w:hint="default" w:ascii="Times New Roman" w:hAnsi="Times New Roman" w:cs="Times New Roman"/>
                      <w:bCs/>
                      <w:color w:val="FF0000"/>
                      <w:szCs w:val="21"/>
                      <w:lang w:val="en-US" w:eastAsia="zh-CN"/>
                    </w:rPr>
                  </w:pPr>
                  <w:r>
                    <w:rPr>
                      <w:rFonts w:hint="eastAsia" w:ascii="Times New Roman" w:hAnsi="Times New Roman" w:cs="Times New Roman"/>
                      <w:color w:val="auto"/>
                      <w:szCs w:val="21"/>
                      <w:lang w:val="en-US" w:eastAsia="zh-CN"/>
                    </w:rPr>
                    <w:t>2.8</w:t>
                  </w:r>
                </w:p>
              </w:tc>
              <w:tc>
                <w:tcPr>
                  <w:tcW w:w="1747" w:type="dxa"/>
                  <w:tcBorders>
                    <w:tl2br w:val="nil"/>
                    <w:tr2bl w:val="nil"/>
                  </w:tcBorders>
                  <w:noWrap/>
                  <w:vAlign w:val="center"/>
                </w:tcPr>
                <w:p w14:paraId="2BAF353F">
                  <w:pPr>
                    <w:jc w:val="center"/>
                    <w:rPr>
                      <w:rFonts w:hint="default" w:ascii="Times New Roman" w:hAnsi="Times New Roman" w:eastAsia="宋体" w:cs="Times New Roman"/>
                      <w:bCs/>
                      <w:color w:val="FF0000"/>
                      <w:kern w:val="0"/>
                      <w:szCs w:val="21"/>
                      <w:lang w:val="en-US" w:eastAsia="zh-CN"/>
                    </w:rPr>
                  </w:pPr>
                  <w:r>
                    <w:rPr>
                      <w:rFonts w:hint="eastAsia" w:ascii="Times New Roman" w:hAnsi="Times New Roman" w:cs="Times New Roman"/>
                      <w:color w:val="auto"/>
                      <w:szCs w:val="21"/>
                      <w:lang w:val="en-US" w:eastAsia="zh-CN"/>
                    </w:rPr>
                    <w:t>0.011</w:t>
                  </w:r>
                </w:p>
              </w:tc>
              <w:tc>
                <w:tcPr>
                  <w:tcW w:w="1151" w:type="dxa"/>
                  <w:tcBorders>
                    <w:tl2br w:val="nil"/>
                    <w:tr2bl w:val="nil"/>
                  </w:tcBorders>
                  <w:noWrap/>
                  <w:vAlign w:val="center"/>
                </w:tcPr>
                <w:p w14:paraId="6C935C8F">
                  <w:pPr>
                    <w:autoSpaceDE w:val="0"/>
                    <w:autoSpaceDN w:val="0"/>
                    <w:jc w:val="center"/>
                    <w:rPr>
                      <w:rFonts w:hint="default" w:ascii="Times New Roman" w:hAnsi="Times New Roman"/>
                      <w:color w:val="auto"/>
                      <w:kern w:val="0"/>
                      <w:szCs w:val="21"/>
                      <w:lang w:val="en-US" w:eastAsia="zh-CN"/>
                    </w:rPr>
                  </w:pPr>
                  <w:r>
                    <w:rPr>
                      <w:rFonts w:hint="eastAsia" w:ascii="Times New Roman" w:hAnsi="Times New Roman"/>
                      <w:color w:val="auto"/>
                      <w:kern w:val="0"/>
                      <w:szCs w:val="21"/>
                      <w:lang w:val="en-US" w:eastAsia="zh-CN"/>
                    </w:rPr>
                    <w:t>油烟净化器</w:t>
                  </w:r>
                </w:p>
              </w:tc>
              <w:tc>
                <w:tcPr>
                  <w:tcW w:w="1136" w:type="dxa"/>
                  <w:tcBorders>
                    <w:tl2br w:val="nil"/>
                    <w:tr2bl w:val="nil"/>
                  </w:tcBorders>
                  <w:noWrap/>
                  <w:vAlign w:val="center"/>
                </w:tcPr>
                <w:p w14:paraId="2C8AC287">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1127" w:type="dxa"/>
                  <w:tcBorders>
                    <w:tl2br w:val="nil"/>
                    <w:tr2bl w:val="nil"/>
                  </w:tcBorders>
                  <w:noWrap/>
                  <w:vAlign w:val="center"/>
                </w:tcPr>
                <w:p w14:paraId="148C76AD">
                  <w:pPr>
                    <w:autoSpaceDE w:val="0"/>
                    <w:autoSpaceDN w:val="0"/>
                    <w:jc w:val="center"/>
                    <w:rPr>
                      <w:rFonts w:hint="default" w:eastAsia="宋体C...." w:cs="Times New Roman"/>
                      <w:bCs/>
                      <w:color w:val="auto"/>
                      <w:szCs w:val="21"/>
                      <w:lang w:val="en-US" w:eastAsia="zh-CN"/>
                    </w:rPr>
                  </w:pPr>
                  <w:r>
                    <w:rPr>
                      <w:rFonts w:hint="eastAsia" w:eastAsia="宋体C...." w:cs="Times New Roman"/>
                      <w:bCs/>
                      <w:color w:val="auto"/>
                      <w:szCs w:val="21"/>
                      <w:lang w:val="en-US" w:eastAsia="zh-CN"/>
                    </w:rPr>
                    <w:t>是</w:t>
                  </w:r>
                </w:p>
              </w:tc>
            </w:tr>
          </w:tbl>
          <w:p w14:paraId="0B25A327">
            <w:pPr>
              <w:spacing w:line="460" w:lineRule="exact"/>
              <w:jc w:val="center"/>
              <w:outlineLvl w:val="0"/>
              <w:rPr>
                <w:rFonts w:hint="eastAsia" w:ascii="Times New Roman" w:hAnsi="Times New Roman" w:eastAsia="宋体" w:cs="Times New Roman"/>
                <w:b/>
                <w:color w:val="auto"/>
                <w:kern w:val="0"/>
                <w:szCs w:val="21"/>
                <w:lang w:eastAsia="zh-CN"/>
              </w:rPr>
            </w:pPr>
            <w:r>
              <w:rPr>
                <w:rFonts w:ascii="Times New Roman" w:hAnsi="Times New Roman" w:eastAsia="宋体" w:cs="Times New Roman"/>
                <w:b/>
                <w:color w:val="auto"/>
                <w:kern w:val="0"/>
                <w:szCs w:val="21"/>
              </w:rPr>
              <w:t>表</w:t>
            </w:r>
            <w:r>
              <w:rPr>
                <w:rFonts w:hint="eastAsia" w:ascii="Times New Roman" w:hAnsi="Times New Roman" w:eastAsia="宋体" w:cs="Times New Roman"/>
                <w:b/>
                <w:color w:val="auto"/>
                <w:kern w:val="0"/>
                <w:szCs w:val="21"/>
              </w:rPr>
              <w:t>4</w:t>
            </w:r>
            <w:r>
              <w:rPr>
                <w:rFonts w:ascii="Times New Roman" w:hAnsi="Times New Roman" w:eastAsia="宋体" w:cs="Times New Roman"/>
                <w:b/>
                <w:color w:val="auto"/>
                <w:kern w:val="0"/>
                <w:szCs w:val="21"/>
              </w:rPr>
              <w:t>-</w:t>
            </w:r>
            <w:r>
              <w:rPr>
                <w:rFonts w:hint="eastAsia" w:ascii="Times New Roman" w:hAnsi="Times New Roman" w:eastAsia="宋体" w:cs="Times New Roman"/>
                <w:b/>
                <w:color w:val="auto"/>
                <w:kern w:val="0"/>
                <w:szCs w:val="21"/>
              </w:rPr>
              <w:t xml:space="preserve">3 </w:t>
            </w:r>
            <w:r>
              <w:rPr>
                <w:rFonts w:hint="eastAsia" w:ascii="Times New Roman" w:hAnsi="Times New Roman" w:eastAsia="宋体" w:cs="Times New Roman"/>
                <w:b/>
                <w:bCs/>
                <w:color w:val="auto"/>
                <w:kern w:val="0"/>
                <w:szCs w:val="21"/>
              </w:rPr>
              <w:t>废气排放</w:t>
            </w:r>
            <w:r>
              <w:rPr>
                <w:rFonts w:ascii="Times New Roman" w:hAnsi="Times New Roman" w:eastAsia="宋体" w:cs="Times New Roman"/>
                <w:b/>
                <w:bCs/>
                <w:color w:val="auto"/>
                <w:kern w:val="0"/>
                <w:szCs w:val="21"/>
              </w:rPr>
              <w:t>情况一览表</w:t>
            </w:r>
            <w:bookmarkEnd w:id="11"/>
          </w:p>
          <w:tbl>
            <w:tblPr>
              <w:tblStyle w:val="23"/>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64"/>
              <w:gridCol w:w="1384"/>
              <w:gridCol w:w="951"/>
              <w:gridCol w:w="132"/>
              <w:gridCol w:w="943"/>
              <w:gridCol w:w="1137"/>
              <w:gridCol w:w="698"/>
              <w:gridCol w:w="340"/>
              <w:gridCol w:w="870"/>
              <w:gridCol w:w="900"/>
              <w:gridCol w:w="534"/>
              <w:gridCol w:w="591"/>
              <w:gridCol w:w="1087"/>
              <w:gridCol w:w="53"/>
              <w:gridCol w:w="855"/>
              <w:gridCol w:w="581"/>
              <w:gridCol w:w="364"/>
              <w:gridCol w:w="1119"/>
            </w:tblGrid>
            <w:tr w14:paraId="66E5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06" w:type="dxa"/>
                  <w:gridSpan w:val="19"/>
                  <w:tcBorders>
                    <w:tl2br w:val="nil"/>
                    <w:tr2bl w:val="nil"/>
                  </w:tcBorders>
                  <w:noWrap/>
                  <w:vAlign w:val="center"/>
                </w:tcPr>
                <w:p w14:paraId="32439890">
                  <w:pPr>
                    <w:jc w:val="center"/>
                    <w:rPr>
                      <w:rFonts w:ascii="Times New Roman" w:hAnsi="Times New Roman" w:eastAsia="宋体" w:cs="Times New Roman"/>
                      <w:b/>
                      <w:bCs/>
                      <w:color w:val="FF0000"/>
                      <w:szCs w:val="21"/>
                    </w:rPr>
                  </w:pPr>
                  <w:r>
                    <w:rPr>
                      <w:rFonts w:hint="eastAsia" w:ascii="Times New Roman" w:hAnsi="Times New Roman" w:cs="Times New Roman"/>
                      <w:b/>
                      <w:bCs/>
                      <w:color w:val="auto"/>
                      <w:szCs w:val="21"/>
                    </w:rPr>
                    <w:t>有组织</w:t>
                  </w:r>
                </w:p>
              </w:tc>
            </w:tr>
            <w:tr w14:paraId="4C12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restart"/>
                  <w:tcBorders>
                    <w:tl2br w:val="nil"/>
                    <w:tr2bl w:val="nil"/>
                  </w:tcBorders>
                  <w:noWrap/>
                  <w:vAlign w:val="center"/>
                </w:tcPr>
                <w:p w14:paraId="1656AE17">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名称</w:t>
                  </w:r>
                </w:p>
              </w:tc>
              <w:tc>
                <w:tcPr>
                  <w:tcW w:w="5749" w:type="dxa"/>
                  <w:gridSpan w:val="8"/>
                  <w:tcBorders>
                    <w:tl2br w:val="nil"/>
                    <w:tr2bl w:val="nil"/>
                  </w:tcBorders>
                  <w:noWrap/>
                  <w:vAlign w:val="center"/>
                </w:tcPr>
                <w:p w14:paraId="3EF13ACC">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排放口基本情况</w:t>
                  </w:r>
                </w:p>
              </w:tc>
              <w:tc>
                <w:tcPr>
                  <w:tcW w:w="870" w:type="dxa"/>
                  <w:vMerge w:val="restart"/>
                  <w:tcBorders>
                    <w:tl2br w:val="nil"/>
                    <w:tr2bl w:val="nil"/>
                  </w:tcBorders>
                  <w:noWrap/>
                  <w:vAlign w:val="center"/>
                </w:tcPr>
                <w:p w14:paraId="4BF5E011">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年排放小时数</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h</w:t>
                  </w:r>
                  <w:r>
                    <w:rPr>
                      <w:rFonts w:hint="eastAsia" w:ascii="Times New Roman" w:hAnsi="Times New Roman" w:eastAsia="宋体" w:cs="Times New Roman"/>
                      <w:b/>
                      <w:bCs/>
                      <w:color w:val="auto"/>
                      <w:szCs w:val="21"/>
                    </w:rPr>
                    <w:t>）</w:t>
                  </w:r>
                </w:p>
              </w:tc>
              <w:tc>
                <w:tcPr>
                  <w:tcW w:w="900" w:type="dxa"/>
                  <w:vMerge w:val="restart"/>
                  <w:tcBorders>
                    <w:tl2br w:val="nil"/>
                    <w:tr2bl w:val="nil"/>
                  </w:tcBorders>
                  <w:noWrap/>
                  <w:vAlign w:val="center"/>
                </w:tcPr>
                <w:p w14:paraId="59512A77">
                  <w:pPr>
                    <w:autoSpaceDE w:val="0"/>
                    <w:autoSpaceDN w:val="0"/>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污染物种类</w:t>
                  </w:r>
                </w:p>
              </w:tc>
              <w:tc>
                <w:tcPr>
                  <w:tcW w:w="1125" w:type="dxa"/>
                  <w:gridSpan w:val="2"/>
                  <w:vMerge w:val="restart"/>
                  <w:tcBorders>
                    <w:tl2br w:val="nil"/>
                    <w:tr2bl w:val="nil"/>
                  </w:tcBorders>
                  <w:noWrap/>
                  <w:vAlign w:val="center"/>
                </w:tcPr>
                <w:p w14:paraId="5AEAEE75">
                  <w:pPr>
                    <w:autoSpaceDE w:val="0"/>
                    <w:autoSpaceDN w:val="0"/>
                    <w:jc w:val="center"/>
                    <w:rPr>
                      <w:rFonts w:ascii="Times New Roman" w:hAnsi="Times New Roman" w:eastAsia="宋体C...." w:cs="Times New Roman"/>
                      <w:b/>
                      <w:bCs/>
                      <w:color w:val="auto"/>
                      <w:szCs w:val="21"/>
                    </w:rPr>
                  </w:pPr>
                  <w:r>
                    <w:rPr>
                      <w:rFonts w:ascii="Times New Roman" w:hAnsi="Times New Roman" w:eastAsia="宋体C...." w:cs="Times New Roman"/>
                      <w:b/>
                      <w:bCs/>
                      <w:color w:val="auto"/>
                      <w:szCs w:val="21"/>
                    </w:rPr>
                    <w:t>排放浓度</w:t>
                  </w:r>
                </w:p>
                <w:p w14:paraId="48A92AE3">
                  <w:pPr>
                    <w:autoSpaceDE w:val="0"/>
                    <w:autoSpaceDN w:val="0"/>
                    <w:jc w:val="center"/>
                    <w:rPr>
                      <w:rFonts w:ascii="Times New Roman" w:hAnsi="Times New Roman" w:eastAsia="宋体" w:cs="Times New Roman"/>
                      <w:b/>
                      <w:bCs/>
                      <w:color w:val="auto"/>
                      <w:szCs w:val="21"/>
                    </w:rPr>
                  </w:pPr>
                  <w:r>
                    <w:rPr>
                      <w:rFonts w:ascii="Times New Roman" w:hAnsi="Times New Roman" w:eastAsia="宋体C...." w:cs="Times New Roman"/>
                      <w:b/>
                      <w:bCs/>
                      <w:color w:val="auto"/>
                      <w:szCs w:val="21"/>
                    </w:rPr>
                    <w:t>（mg/m</w:t>
                  </w:r>
                  <w:r>
                    <w:rPr>
                      <w:rFonts w:ascii="Times New Roman" w:hAnsi="Times New Roman" w:eastAsia="宋体C...." w:cs="Times New Roman"/>
                      <w:b/>
                      <w:bCs/>
                      <w:color w:val="auto"/>
                      <w:szCs w:val="21"/>
                      <w:vertAlign w:val="superscript"/>
                    </w:rPr>
                    <w:t>3</w:t>
                  </w:r>
                  <w:r>
                    <w:rPr>
                      <w:rFonts w:ascii="Times New Roman" w:hAnsi="Times New Roman" w:eastAsia="宋体C...." w:cs="Times New Roman"/>
                      <w:b/>
                      <w:bCs/>
                      <w:color w:val="auto"/>
                      <w:szCs w:val="21"/>
                    </w:rPr>
                    <w:t>）</w:t>
                  </w:r>
                </w:p>
              </w:tc>
              <w:tc>
                <w:tcPr>
                  <w:tcW w:w="1140" w:type="dxa"/>
                  <w:gridSpan w:val="2"/>
                  <w:vMerge w:val="restart"/>
                  <w:tcBorders>
                    <w:tl2br w:val="nil"/>
                    <w:tr2bl w:val="nil"/>
                  </w:tcBorders>
                  <w:noWrap/>
                  <w:vAlign w:val="center"/>
                </w:tcPr>
                <w:p w14:paraId="7FB88F26">
                  <w:pPr>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排放速率（kg/h）</w:t>
                  </w:r>
                </w:p>
              </w:tc>
              <w:tc>
                <w:tcPr>
                  <w:tcW w:w="855" w:type="dxa"/>
                  <w:vMerge w:val="restart"/>
                  <w:tcBorders>
                    <w:tl2br w:val="nil"/>
                    <w:tr2bl w:val="nil"/>
                  </w:tcBorders>
                  <w:noWrap/>
                  <w:vAlign w:val="center"/>
                </w:tcPr>
                <w:p w14:paraId="54B42613">
                  <w:pPr>
                    <w:jc w:val="center"/>
                    <w:rPr>
                      <w:rFonts w:ascii="Times New Roman" w:hAnsi="Times New Roman" w:eastAsia="宋体C...." w:cs="Times New Roman"/>
                      <w:b/>
                      <w:bCs/>
                      <w:color w:val="auto"/>
                      <w:szCs w:val="21"/>
                    </w:rPr>
                  </w:pPr>
                  <w:r>
                    <w:rPr>
                      <w:rFonts w:ascii="Times New Roman" w:hAnsi="Times New Roman" w:eastAsia="宋体C...." w:cs="Times New Roman"/>
                      <w:b/>
                      <w:bCs/>
                      <w:color w:val="auto"/>
                      <w:szCs w:val="21"/>
                    </w:rPr>
                    <w:t>排放量</w:t>
                  </w:r>
                </w:p>
                <w:p w14:paraId="2C738D8A">
                  <w:pPr>
                    <w:jc w:val="center"/>
                    <w:rPr>
                      <w:rFonts w:ascii="Times New Roman" w:hAnsi="Times New Roman" w:eastAsia="宋体" w:cs="Times New Roman"/>
                      <w:b/>
                      <w:bCs/>
                      <w:color w:val="auto"/>
                      <w:szCs w:val="21"/>
                    </w:rPr>
                  </w:pPr>
                  <w:r>
                    <w:rPr>
                      <w:rFonts w:ascii="Times New Roman" w:hAnsi="Times New Roman" w:eastAsia="宋体C...." w:cs="Times New Roman"/>
                      <w:b/>
                      <w:bCs/>
                      <w:color w:val="auto"/>
                      <w:szCs w:val="21"/>
                    </w:rPr>
                    <w:t>（</w:t>
                  </w:r>
                  <w:r>
                    <w:rPr>
                      <w:rFonts w:hint="eastAsia" w:ascii="Times New Roman" w:hAnsi="Times New Roman" w:eastAsia="宋体C...." w:cs="Times New Roman"/>
                      <w:b/>
                      <w:bCs/>
                      <w:color w:val="auto"/>
                      <w:szCs w:val="21"/>
                    </w:rPr>
                    <w:t>t</w:t>
                  </w:r>
                  <w:r>
                    <w:rPr>
                      <w:rFonts w:ascii="Times New Roman" w:hAnsi="Times New Roman" w:eastAsia="宋体C...." w:cs="Times New Roman"/>
                      <w:b/>
                      <w:bCs/>
                      <w:color w:val="auto"/>
                      <w:szCs w:val="21"/>
                    </w:rPr>
                    <w:t>/</w:t>
                  </w:r>
                  <w:r>
                    <w:rPr>
                      <w:rFonts w:hint="eastAsia" w:ascii="Times New Roman" w:hAnsi="Times New Roman" w:eastAsia="宋体C...." w:cs="Times New Roman"/>
                      <w:b/>
                      <w:bCs/>
                      <w:color w:val="auto"/>
                      <w:szCs w:val="21"/>
                    </w:rPr>
                    <w:t>a</w:t>
                  </w:r>
                  <w:r>
                    <w:rPr>
                      <w:rFonts w:ascii="Times New Roman" w:hAnsi="Times New Roman" w:eastAsia="宋体C...." w:cs="Times New Roman"/>
                      <w:b/>
                      <w:bCs/>
                      <w:color w:val="auto"/>
                      <w:szCs w:val="21"/>
                    </w:rPr>
                    <w:t>）</w:t>
                  </w:r>
                </w:p>
              </w:tc>
              <w:tc>
                <w:tcPr>
                  <w:tcW w:w="2064" w:type="dxa"/>
                  <w:gridSpan w:val="3"/>
                  <w:tcBorders>
                    <w:tl2br w:val="nil"/>
                    <w:tr2bl w:val="nil"/>
                  </w:tcBorders>
                  <w:noWrap/>
                  <w:vAlign w:val="center"/>
                </w:tcPr>
                <w:p w14:paraId="0D78BD4C">
                  <w:pPr>
                    <w:jc w:val="center"/>
                    <w:rPr>
                      <w:rFonts w:ascii="Times New Roman" w:hAnsi="Times New Roman" w:eastAsia="宋体C...." w:cs="Times New Roman"/>
                      <w:b/>
                      <w:bCs/>
                      <w:color w:val="auto"/>
                      <w:szCs w:val="21"/>
                    </w:rPr>
                  </w:pPr>
                  <w:r>
                    <w:rPr>
                      <w:rFonts w:hint="eastAsia" w:ascii="Times New Roman" w:hAnsi="Times New Roman" w:eastAsia="宋体C...." w:cs="Times New Roman"/>
                      <w:b/>
                      <w:bCs/>
                      <w:color w:val="auto"/>
                      <w:szCs w:val="21"/>
                    </w:rPr>
                    <w:t>标准限值</w:t>
                  </w:r>
                </w:p>
              </w:tc>
            </w:tr>
            <w:tr w14:paraId="4A99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continue"/>
                  <w:tcBorders>
                    <w:tl2br w:val="nil"/>
                    <w:tr2bl w:val="nil"/>
                  </w:tcBorders>
                  <w:noWrap/>
                  <w:vAlign w:val="center"/>
                </w:tcPr>
                <w:p w14:paraId="2EAE9116">
                  <w:pPr>
                    <w:jc w:val="center"/>
                    <w:rPr>
                      <w:rFonts w:ascii="Times New Roman" w:hAnsi="Times New Roman" w:eastAsia="宋体" w:cs="Times New Roman"/>
                      <w:b/>
                      <w:bCs/>
                      <w:color w:val="auto"/>
                      <w:szCs w:val="21"/>
                    </w:rPr>
                  </w:pPr>
                </w:p>
              </w:tc>
              <w:tc>
                <w:tcPr>
                  <w:tcW w:w="1548" w:type="dxa"/>
                  <w:gridSpan w:val="2"/>
                  <w:tcBorders>
                    <w:tl2br w:val="nil"/>
                    <w:tr2bl w:val="nil"/>
                  </w:tcBorders>
                  <w:noWrap/>
                  <w:vAlign w:val="center"/>
                </w:tcPr>
                <w:p w14:paraId="24E16A67">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排气筒底部中心坐标</w:t>
                  </w:r>
                </w:p>
              </w:tc>
              <w:tc>
                <w:tcPr>
                  <w:tcW w:w="951" w:type="dxa"/>
                  <w:tcBorders>
                    <w:tl2br w:val="nil"/>
                    <w:tr2bl w:val="nil"/>
                  </w:tcBorders>
                  <w:noWrap/>
                  <w:vAlign w:val="center"/>
                </w:tcPr>
                <w:p w14:paraId="6E5D4C67">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排气筒高度</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m</w:t>
                  </w:r>
                  <w:r>
                    <w:rPr>
                      <w:rFonts w:hint="eastAsia" w:ascii="Times New Roman" w:hAnsi="Times New Roman" w:eastAsia="宋体" w:cs="Times New Roman"/>
                      <w:b/>
                      <w:bCs/>
                      <w:color w:val="auto"/>
                      <w:szCs w:val="21"/>
                    </w:rPr>
                    <w:t>）</w:t>
                  </w:r>
                </w:p>
              </w:tc>
              <w:tc>
                <w:tcPr>
                  <w:tcW w:w="1075" w:type="dxa"/>
                  <w:gridSpan w:val="2"/>
                  <w:tcBorders>
                    <w:tl2br w:val="nil"/>
                    <w:tr2bl w:val="nil"/>
                  </w:tcBorders>
                  <w:noWrap/>
                  <w:vAlign w:val="center"/>
                </w:tcPr>
                <w:p w14:paraId="00894408">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排气筒出口内径</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m</w:t>
                  </w:r>
                  <w:r>
                    <w:rPr>
                      <w:rFonts w:hint="eastAsia" w:ascii="Times New Roman" w:hAnsi="Times New Roman" w:eastAsia="宋体" w:cs="Times New Roman"/>
                      <w:b/>
                      <w:bCs/>
                      <w:color w:val="auto"/>
                      <w:szCs w:val="21"/>
                    </w:rPr>
                    <w:t>）</w:t>
                  </w:r>
                </w:p>
              </w:tc>
              <w:tc>
                <w:tcPr>
                  <w:tcW w:w="1137" w:type="dxa"/>
                  <w:tcBorders>
                    <w:tl2br w:val="nil"/>
                    <w:tr2bl w:val="nil"/>
                  </w:tcBorders>
                  <w:noWrap/>
                  <w:vAlign w:val="center"/>
                </w:tcPr>
                <w:p w14:paraId="55189DAA">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烟气速率（m/s）</w:t>
                  </w:r>
                </w:p>
              </w:tc>
              <w:tc>
                <w:tcPr>
                  <w:tcW w:w="1038" w:type="dxa"/>
                  <w:gridSpan w:val="2"/>
                  <w:tcBorders>
                    <w:tl2br w:val="nil"/>
                    <w:tr2bl w:val="nil"/>
                  </w:tcBorders>
                  <w:noWrap/>
                  <w:vAlign w:val="center"/>
                </w:tcPr>
                <w:p w14:paraId="1FADDC3F">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烟气温度</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w:t>
                  </w:r>
                </w:p>
              </w:tc>
              <w:tc>
                <w:tcPr>
                  <w:tcW w:w="870" w:type="dxa"/>
                  <w:vMerge w:val="continue"/>
                  <w:tcBorders>
                    <w:tl2br w:val="nil"/>
                    <w:tr2bl w:val="nil"/>
                  </w:tcBorders>
                  <w:noWrap/>
                  <w:vAlign w:val="center"/>
                </w:tcPr>
                <w:p w14:paraId="078F1518">
                  <w:pPr>
                    <w:jc w:val="center"/>
                    <w:rPr>
                      <w:rFonts w:ascii="Times New Roman" w:hAnsi="Times New Roman" w:eastAsia="宋体" w:cs="Times New Roman"/>
                      <w:b/>
                      <w:bCs/>
                      <w:color w:val="auto"/>
                      <w:szCs w:val="21"/>
                    </w:rPr>
                  </w:pPr>
                </w:p>
              </w:tc>
              <w:tc>
                <w:tcPr>
                  <w:tcW w:w="900" w:type="dxa"/>
                  <w:vMerge w:val="continue"/>
                  <w:tcBorders>
                    <w:tl2br w:val="nil"/>
                    <w:tr2bl w:val="nil"/>
                  </w:tcBorders>
                  <w:noWrap/>
                  <w:vAlign w:val="center"/>
                </w:tcPr>
                <w:p w14:paraId="1832BE6C">
                  <w:pPr>
                    <w:autoSpaceDE w:val="0"/>
                    <w:autoSpaceDN w:val="0"/>
                    <w:jc w:val="center"/>
                    <w:rPr>
                      <w:rFonts w:ascii="Times New Roman" w:hAnsi="Times New Roman" w:cs="Times New Roman"/>
                      <w:b/>
                      <w:bCs/>
                      <w:color w:val="auto"/>
                      <w:szCs w:val="21"/>
                    </w:rPr>
                  </w:pPr>
                </w:p>
              </w:tc>
              <w:tc>
                <w:tcPr>
                  <w:tcW w:w="1125" w:type="dxa"/>
                  <w:gridSpan w:val="2"/>
                  <w:vMerge w:val="continue"/>
                  <w:tcBorders>
                    <w:tl2br w:val="nil"/>
                    <w:tr2bl w:val="nil"/>
                  </w:tcBorders>
                  <w:noWrap/>
                  <w:vAlign w:val="center"/>
                </w:tcPr>
                <w:p w14:paraId="0C23B2E2">
                  <w:pPr>
                    <w:autoSpaceDE w:val="0"/>
                    <w:autoSpaceDN w:val="0"/>
                    <w:jc w:val="center"/>
                    <w:rPr>
                      <w:rFonts w:ascii="Times New Roman" w:hAnsi="Times New Roman" w:eastAsia="宋体C...." w:cs="Times New Roman"/>
                      <w:b/>
                      <w:bCs/>
                      <w:color w:val="auto"/>
                      <w:szCs w:val="21"/>
                    </w:rPr>
                  </w:pPr>
                </w:p>
              </w:tc>
              <w:tc>
                <w:tcPr>
                  <w:tcW w:w="1140" w:type="dxa"/>
                  <w:gridSpan w:val="2"/>
                  <w:vMerge w:val="continue"/>
                  <w:tcBorders>
                    <w:tl2br w:val="nil"/>
                    <w:tr2bl w:val="nil"/>
                  </w:tcBorders>
                  <w:noWrap/>
                  <w:vAlign w:val="center"/>
                </w:tcPr>
                <w:p w14:paraId="3FB3F475">
                  <w:pPr>
                    <w:jc w:val="center"/>
                    <w:rPr>
                      <w:rFonts w:ascii="Times New Roman" w:hAnsi="Times New Roman" w:cs="Times New Roman"/>
                      <w:b/>
                      <w:bCs/>
                      <w:color w:val="auto"/>
                      <w:szCs w:val="21"/>
                    </w:rPr>
                  </w:pPr>
                </w:p>
              </w:tc>
              <w:tc>
                <w:tcPr>
                  <w:tcW w:w="855" w:type="dxa"/>
                  <w:vMerge w:val="continue"/>
                  <w:tcBorders>
                    <w:tl2br w:val="nil"/>
                    <w:tr2bl w:val="nil"/>
                  </w:tcBorders>
                  <w:noWrap/>
                  <w:vAlign w:val="center"/>
                </w:tcPr>
                <w:p w14:paraId="7D4B7041">
                  <w:pPr>
                    <w:jc w:val="center"/>
                    <w:rPr>
                      <w:rFonts w:ascii="Times New Roman" w:hAnsi="Times New Roman" w:eastAsia="宋体C...." w:cs="Times New Roman"/>
                      <w:b/>
                      <w:bCs/>
                      <w:color w:val="auto"/>
                      <w:szCs w:val="21"/>
                    </w:rPr>
                  </w:pPr>
                </w:p>
              </w:tc>
              <w:tc>
                <w:tcPr>
                  <w:tcW w:w="945" w:type="dxa"/>
                  <w:gridSpan w:val="2"/>
                  <w:tcBorders>
                    <w:tl2br w:val="nil"/>
                    <w:tr2bl w:val="nil"/>
                  </w:tcBorders>
                  <w:noWrap/>
                  <w:vAlign w:val="center"/>
                </w:tcPr>
                <w:p w14:paraId="4698DB45">
                  <w:pPr>
                    <w:jc w:val="center"/>
                    <w:rPr>
                      <w:rFonts w:ascii="Times New Roman" w:hAnsi="Times New Roman" w:eastAsia="宋体C...." w:cs="Times New Roman"/>
                      <w:b/>
                      <w:bCs/>
                      <w:color w:val="auto"/>
                      <w:szCs w:val="21"/>
                    </w:rPr>
                  </w:pPr>
                  <w:r>
                    <w:rPr>
                      <w:rFonts w:hint="eastAsia" w:ascii="Times New Roman" w:hAnsi="Times New Roman" w:eastAsia="宋体C...." w:cs="Times New Roman"/>
                      <w:b/>
                      <w:bCs/>
                      <w:color w:val="auto"/>
                      <w:szCs w:val="21"/>
                    </w:rPr>
                    <w:t>速率（kg/h）</w:t>
                  </w:r>
                </w:p>
              </w:tc>
              <w:tc>
                <w:tcPr>
                  <w:tcW w:w="1119" w:type="dxa"/>
                  <w:tcBorders>
                    <w:tl2br w:val="nil"/>
                    <w:tr2bl w:val="nil"/>
                  </w:tcBorders>
                  <w:noWrap/>
                  <w:vAlign w:val="center"/>
                </w:tcPr>
                <w:p w14:paraId="25F29E50">
                  <w:pPr>
                    <w:jc w:val="center"/>
                    <w:rPr>
                      <w:rFonts w:ascii="Times New Roman" w:hAnsi="Times New Roman" w:eastAsia="宋体C...." w:cs="Times New Roman"/>
                      <w:b/>
                      <w:bCs/>
                      <w:color w:val="auto"/>
                      <w:szCs w:val="21"/>
                    </w:rPr>
                  </w:pPr>
                  <w:r>
                    <w:rPr>
                      <w:rFonts w:hint="eastAsia" w:ascii="Times New Roman" w:hAnsi="Times New Roman" w:eastAsia="宋体C...." w:cs="Times New Roman"/>
                      <w:b/>
                      <w:bCs/>
                      <w:color w:val="auto"/>
                      <w:szCs w:val="21"/>
                    </w:rPr>
                    <w:t>浓度（mg/m</w:t>
                  </w:r>
                  <w:r>
                    <w:rPr>
                      <w:rFonts w:hint="eastAsia" w:ascii="Times New Roman" w:hAnsi="Times New Roman" w:eastAsia="宋体C...." w:cs="Times New Roman"/>
                      <w:b/>
                      <w:bCs/>
                      <w:color w:val="auto"/>
                      <w:szCs w:val="21"/>
                      <w:vertAlign w:val="superscript"/>
                    </w:rPr>
                    <w:t>3</w:t>
                  </w:r>
                  <w:r>
                    <w:rPr>
                      <w:rFonts w:hint="eastAsia" w:ascii="Times New Roman" w:hAnsi="Times New Roman" w:eastAsia="宋体C...." w:cs="Times New Roman"/>
                      <w:b/>
                      <w:bCs/>
                      <w:color w:val="auto"/>
                      <w:szCs w:val="21"/>
                    </w:rPr>
                    <w:t>）</w:t>
                  </w:r>
                </w:p>
              </w:tc>
            </w:tr>
            <w:tr w14:paraId="789B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restart"/>
                  <w:tcBorders>
                    <w:tl2br w:val="nil"/>
                    <w:tr2bl w:val="nil"/>
                  </w:tcBorders>
                  <w:noWrap/>
                  <w:vAlign w:val="center"/>
                </w:tcPr>
                <w:p w14:paraId="142ED903">
                  <w:pPr>
                    <w:jc w:val="center"/>
                    <w:rPr>
                      <w:rFonts w:hint="default" w:ascii="Times New Roman" w:hAnsi="Times New Roman" w:eastAsia="宋体" w:cs="Times New Roman"/>
                      <w:bCs/>
                      <w:color w:val="auto"/>
                      <w:szCs w:val="21"/>
                      <w:lang w:val="en-US"/>
                    </w:rPr>
                  </w:pPr>
                  <w:r>
                    <w:rPr>
                      <w:rFonts w:hint="eastAsia" w:ascii="Times New Roman" w:hAnsi="Times New Roman" w:eastAsia="宋体" w:cs="Times New Roman"/>
                      <w:bCs/>
                      <w:color w:val="auto"/>
                      <w:szCs w:val="21"/>
                      <w:lang w:val="en-US" w:eastAsia="zh-CN"/>
                    </w:rPr>
                    <w:t>焊锡、清洗废气DA001</w:t>
                  </w:r>
                </w:p>
              </w:tc>
              <w:tc>
                <w:tcPr>
                  <w:tcW w:w="1548" w:type="dxa"/>
                  <w:gridSpan w:val="2"/>
                  <w:vMerge w:val="restart"/>
                  <w:tcBorders>
                    <w:tl2br w:val="nil"/>
                    <w:tr2bl w:val="nil"/>
                  </w:tcBorders>
                  <w:noWrap/>
                  <w:vAlign w:val="center"/>
                </w:tcPr>
                <w:p w14:paraId="29701995">
                  <w:pPr>
                    <w:jc w:val="center"/>
                    <w:rPr>
                      <w:rFonts w:ascii="Times New Roman" w:hAnsi="Times New Roman" w:cs="Times New Roman"/>
                      <w:color w:val="auto"/>
                      <w:szCs w:val="21"/>
                    </w:rPr>
                  </w:pPr>
                  <w:r>
                    <w:rPr>
                      <w:rFonts w:hint="eastAsia" w:ascii="Times New Roman" w:hAnsi="Times New Roman" w:cs="Times New Roman"/>
                      <w:color w:val="auto"/>
                      <w:szCs w:val="21"/>
                    </w:rPr>
                    <w:t>E</w:t>
                  </w:r>
                  <w:r>
                    <w:rPr>
                      <w:rFonts w:hint="eastAsia" w:ascii="Times New Roman" w:hAnsi="Times New Roman" w:cs="Times New Roman"/>
                      <w:color w:val="auto"/>
                      <w:szCs w:val="21"/>
                      <w:lang w:val="en-US" w:eastAsia="zh-CN"/>
                    </w:rPr>
                    <w:t>119</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59</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57.019</w:t>
                  </w:r>
                  <w:r>
                    <w:rPr>
                      <w:rFonts w:hint="eastAsia" w:ascii="Times New Roman" w:hAnsi="Times New Roman" w:cs="Times New Roman"/>
                      <w:color w:val="auto"/>
                      <w:szCs w:val="21"/>
                    </w:rPr>
                    <w:t>"</w:t>
                  </w:r>
                </w:p>
                <w:p w14:paraId="3FB7B1AB">
                  <w:pPr>
                    <w:jc w:val="center"/>
                    <w:rPr>
                      <w:rFonts w:ascii="Times New Roman" w:hAnsi="Times New Roman" w:eastAsia="宋体" w:cs="Times New Roman"/>
                      <w:bCs/>
                      <w:color w:val="FF0000"/>
                      <w:szCs w:val="21"/>
                    </w:rPr>
                  </w:pPr>
                  <w:r>
                    <w:rPr>
                      <w:rFonts w:hint="eastAsia" w:ascii="Times New Roman" w:hAnsi="Times New Roman" w:cs="Times New Roman"/>
                      <w:color w:val="auto"/>
                      <w:szCs w:val="21"/>
                    </w:rPr>
                    <w:t>N30</w:t>
                  </w:r>
                  <w:r>
                    <w:rPr>
                      <w:rFonts w:ascii="Times New Roman" w:hAnsi="Times New Roman" w:eastAsia="宋体" w:cs="Times New Roman"/>
                      <w:color w:val="auto"/>
                      <w:szCs w:val="21"/>
                    </w:rPr>
                    <w:t>°</w:t>
                  </w:r>
                  <w:r>
                    <w:rPr>
                      <w:rFonts w:hint="eastAsia" w:ascii="Times New Roman" w:hAnsi="Times New Roman" w:cs="Times New Roman"/>
                      <w:color w:val="auto"/>
                      <w:szCs w:val="21"/>
                    </w:rPr>
                    <w:t>3</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58</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174</w:t>
                  </w:r>
                  <w:r>
                    <w:rPr>
                      <w:rFonts w:hint="eastAsia" w:ascii="Times New Roman" w:hAnsi="Times New Roman" w:cs="Times New Roman"/>
                      <w:color w:val="auto"/>
                      <w:szCs w:val="21"/>
                    </w:rPr>
                    <w:t>"</w:t>
                  </w:r>
                </w:p>
              </w:tc>
              <w:tc>
                <w:tcPr>
                  <w:tcW w:w="951" w:type="dxa"/>
                  <w:vMerge w:val="restart"/>
                  <w:tcBorders>
                    <w:tl2br w:val="nil"/>
                    <w:tr2bl w:val="nil"/>
                  </w:tcBorders>
                  <w:noWrap/>
                  <w:vAlign w:val="center"/>
                </w:tcPr>
                <w:p w14:paraId="6E9E1941">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snapToGrid w:val="0"/>
                      <w:color w:val="auto"/>
                      <w:szCs w:val="21"/>
                      <w:lang w:val="en-US" w:eastAsia="zh-CN"/>
                    </w:rPr>
                    <w:t>不低于15m</w:t>
                  </w:r>
                </w:p>
              </w:tc>
              <w:tc>
                <w:tcPr>
                  <w:tcW w:w="1075" w:type="dxa"/>
                  <w:gridSpan w:val="2"/>
                  <w:vMerge w:val="restart"/>
                  <w:tcBorders>
                    <w:tl2br w:val="nil"/>
                    <w:tr2bl w:val="nil"/>
                  </w:tcBorders>
                  <w:shd w:val="clear" w:color="auto" w:fill="auto"/>
                  <w:noWrap/>
                  <w:vAlign w:val="center"/>
                </w:tcPr>
                <w:p w14:paraId="1AC027F2">
                  <w:pPr>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snapToGrid w:val="0"/>
                      <w:color w:val="auto"/>
                      <w:szCs w:val="21"/>
                      <w:lang w:val="en-US" w:eastAsia="zh-CN"/>
                    </w:rPr>
                    <w:t>0.3</w:t>
                  </w:r>
                </w:p>
              </w:tc>
              <w:tc>
                <w:tcPr>
                  <w:tcW w:w="1137" w:type="dxa"/>
                  <w:vMerge w:val="restart"/>
                  <w:tcBorders>
                    <w:tl2br w:val="nil"/>
                    <w:tr2bl w:val="nil"/>
                  </w:tcBorders>
                  <w:shd w:val="clear" w:color="auto" w:fill="auto"/>
                  <w:noWrap/>
                  <w:vAlign w:val="center"/>
                </w:tcPr>
                <w:p w14:paraId="774C2D64">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7.86</w:t>
                  </w:r>
                </w:p>
              </w:tc>
              <w:tc>
                <w:tcPr>
                  <w:tcW w:w="1038" w:type="dxa"/>
                  <w:gridSpan w:val="2"/>
                  <w:vMerge w:val="restart"/>
                  <w:tcBorders>
                    <w:tl2br w:val="nil"/>
                    <w:tr2bl w:val="nil"/>
                  </w:tcBorders>
                  <w:shd w:val="clear" w:color="auto" w:fill="auto"/>
                  <w:noWrap/>
                  <w:vAlign w:val="center"/>
                </w:tcPr>
                <w:p w14:paraId="3AC42FA6">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常温</w:t>
                  </w:r>
                </w:p>
              </w:tc>
              <w:tc>
                <w:tcPr>
                  <w:tcW w:w="870" w:type="dxa"/>
                  <w:vMerge w:val="restart"/>
                  <w:tcBorders>
                    <w:tl2br w:val="nil"/>
                    <w:tr2bl w:val="nil"/>
                  </w:tcBorders>
                  <w:noWrap/>
                  <w:vAlign w:val="center"/>
                </w:tcPr>
                <w:p w14:paraId="4697F6B5">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2400</w:t>
                  </w:r>
                </w:p>
              </w:tc>
              <w:tc>
                <w:tcPr>
                  <w:tcW w:w="900" w:type="dxa"/>
                  <w:tcBorders>
                    <w:tl2br w:val="nil"/>
                    <w:tr2bl w:val="nil"/>
                  </w:tcBorders>
                  <w:noWrap/>
                  <w:vAlign w:val="center"/>
                </w:tcPr>
                <w:p w14:paraId="2C315773">
                  <w:pPr>
                    <w:autoSpaceDE w:val="0"/>
                    <w:autoSpaceDN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C...." w:cs="Times New Roman"/>
                      <w:bCs/>
                      <w:color w:val="auto"/>
                      <w:szCs w:val="21"/>
                      <w:lang w:val="en-US" w:eastAsia="zh-CN"/>
                    </w:rPr>
                    <w:t>非甲烷总烃</w:t>
                  </w:r>
                </w:p>
              </w:tc>
              <w:tc>
                <w:tcPr>
                  <w:tcW w:w="1125" w:type="dxa"/>
                  <w:gridSpan w:val="2"/>
                  <w:noWrap/>
                  <w:vAlign w:val="center"/>
                </w:tcPr>
                <w:p w14:paraId="36ABED09">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2.5</w:t>
                  </w:r>
                </w:p>
              </w:tc>
              <w:tc>
                <w:tcPr>
                  <w:tcW w:w="1140" w:type="dxa"/>
                  <w:gridSpan w:val="2"/>
                  <w:noWrap/>
                  <w:vAlign w:val="center"/>
                </w:tcPr>
                <w:p w14:paraId="7D546A97">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0.005</w:t>
                  </w:r>
                </w:p>
              </w:tc>
              <w:tc>
                <w:tcPr>
                  <w:tcW w:w="855" w:type="dxa"/>
                  <w:noWrap/>
                  <w:vAlign w:val="center"/>
                </w:tcPr>
                <w:p w14:paraId="7B48DCBD">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0.012</w:t>
                  </w:r>
                </w:p>
              </w:tc>
              <w:tc>
                <w:tcPr>
                  <w:tcW w:w="945" w:type="dxa"/>
                  <w:gridSpan w:val="2"/>
                  <w:noWrap/>
                  <w:vAlign w:val="center"/>
                </w:tcPr>
                <w:p w14:paraId="7ACB7271">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10</w:t>
                  </w:r>
                </w:p>
              </w:tc>
              <w:tc>
                <w:tcPr>
                  <w:tcW w:w="1119" w:type="dxa"/>
                  <w:noWrap/>
                  <w:vAlign w:val="center"/>
                </w:tcPr>
                <w:p w14:paraId="23399AFF">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120</w:t>
                  </w:r>
                </w:p>
              </w:tc>
            </w:tr>
            <w:tr w14:paraId="2F18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continue"/>
                  <w:tcBorders>
                    <w:tl2br w:val="nil"/>
                    <w:tr2bl w:val="nil"/>
                  </w:tcBorders>
                  <w:noWrap/>
                  <w:vAlign w:val="center"/>
                </w:tcPr>
                <w:p w14:paraId="4A76027A">
                  <w:pPr>
                    <w:jc w:val="center"/>
                    <w:rPr>
                      <w:rFonts w:hint="eastAsia" w:ascii="Times New Roman" w:hAnsi="Times New Roman" w:eastAsia="宋体" w:cs="Times New Roman"/>
                      <w:bCs/>
                      <w:color w:val="auto"/>
                      <w:szCs w:val="21"/>
                      <w:lang w:val="en-US" w:eastAsia="zh-CN"/>
                    </w:rPr>
                  </w:pPr>
                </w:p>
              </w:tc>
              <w:tc>
                <w:tcPr>
                  <w:tcW w:w="1548" w:type="dxa"/>
                  <w:gridSpan w:val="2"/>
                  <w:vMerge w:val="continue"/>
                  <w:tcBorders>
                    <w:tl2br w:val="nil"/>
                    <w:tr2bl w:val="nil"/>
                  </w:tcBorders>
                  <w:noWrap/>
                  <w:vAlign w:val="center"/>
                </w:tcPr>
                <w:p w14:paraId="4EDABDC2">
                  <w:pPr>
                    <w:jc w:val="center"/>
                    <w:rPr>
                      <w:rFonts w:hint="eastAsia" w:ascii="Times New Roman" w:hAnsi="Times New Roman" w:cs="Times New Roman"/>
                      <w:color w:val="FF0000"/>
                      <w:szCs w:val="21"/>
                    </w:rPr>
                  </w:pPr>
                </w:p>
              </w:tc>
              <w:tc>
                <w:tcPr>
                  <w:tcW w:w="951" w:type="dxa"/>
                  <w:vMerge w:val="continue"/>
                  <w:tcBorders>
                    <w:tl2br w:val="nil"/>
                    <w:tr2bl w:val="nil"/>
                  </w:tcBorders>
                  <w:noWrap/>
                  <w:vAlign w:val="center"/>
                </w:tcPr>
                <w:p w14:paraId="1E4A1E64">
                  <w:pPr>
                    <w:jc w:val="center"/>
                    <w:rPr>
                      <w:rFonts w:hint="eastAsia" w:ascii="Times New Roman" w:hAnsi="Times New Roman" w:eastAsia="宋体" w:cs="Times New Roman"/>
                      <w:bCs/>
                      <w:snapToGrid w:val="0"/>
                      <w:color w:val="auto"/>
                      <w:szCs w:val="21"/>
                      <w:lang w:val="en-US" w:eastAsia="zh-CN"/>
                    </w:rPr>
                  </w:pPr>
                </w:p>
              </w:tc>
              <w:tc>
                <w:tcPr>
                  <w:tcW w:w="1075" w:type="dxa"/>
                  <w:gridSpan w:val="2"/>
                  <w:vMerge w:val="continue"/>
                  <w:tcBorders>
                    <w:tl2br w:val="nil"/>
                    <w:tr2bl w:val="nil"/>
                  </w:tcBorders>
                  <w:shd w:val="clear" w:color="auto" w:fill="auto"/>
                  <w:noWrap/>
                  <w:vAlign w:val="center"/>
                </w:tcPr>
                <w:p w14:paraId="018294B7">
                  <w:pPr>
                    <w:jc w:val="center"/>
                    <w:rPr>
                      <w:rFonts w:hint="eastAsia" w:ascii="Times New Roman" w:hAnsi="Times New Roman" w:eastAsia="宋体" w:cs="Times New Roman"/>
                      <w:bCs/>
                      <w:snapToGrid w:val="0"/>
                      <w:color w:val="FF0000"/>
                      <w:szCs w:val="21"/>
                      <w:lang w:val="en-US" w:eastAsia="zh-CN"/>
                    </w:rPr>
                  </w:pPr>
                </w:p>
              </w:tc>
              <w:tc>
                <w:tcPr>
                  <w:tcW w:w="1137" w:type="dxa"/>
                  <w:vMerge w:val="continue"/>
                  <w:tcBorders>
                    <w:tl2br w:val="nil"/>
                    <w:tr2bl w:val="nil"/>
                  </w:tcBorders>
                  <w:shd w:val="clear" w:color="auto" w:fill="auto"/>
                  <w:noWrap/>
                  <w:vAlign w:val="center"/>
                </w:tcPr>
                <w:p w14:paraId="64093269">
                  <w:pPr>
                    <w:jc w:val="center"/>
                    <w:rPr>
                      <w:rFonts w:hint="eastAsia" w:ascii="Times New Roman" w:hAnsi="Times New Roman" w:eastAsia="宋体" w:cs="Times New Roman"/>
                      <w:bCs/>
                      <w:color w:val="FF0000"/>
                      <w:szCs w:val="21"/>
                      <w:lang w:val="en-US" w:eastAsia="zh-CN"/>
                    </w:rPr>
                  </w:pPr>
                </w:p>
              </w:tc>
              <w:tc>
                <w:tcPr>
                  <w:tcW w:w="1038" w:type="dxa"/>
                  <w:gridSpan w:val="2"/>
                  <w:vMerge w:val="continue"/>
                  <w:tcBorders>
                    <w:tl2br w:val="nil"/>
                    <w:tr2bl w:val="nil"/>
                  </w:tcBorders>
                  <w:shd w:val="clear" w:color="auto" w:fill="auto"/>
                  <w:noWrap/>
                  <w:vAlign w:val="center"/>
                </w:tcPr>
                <w:p w14:paraId="7637FA49">
                  <w:pPr>
                    <w:jc w:val="center"/>
                    <w:rPr>
                      <w:rFonts w:hint="eastAsia" w:ascii="Times New Roman" w:hAnsi="Times New Roman" w:eastAsia="宋体" w:cs="Times New Roman"/>
                      <w:bCs/>
                      <w:color w:val="auto"/>
                      <w:szCs w:val="21"/>
                      <w:lang w:val="en-US" w:eastAsia="zh-CN"/>
                    </w:rPr>
                  </w:pPr>
                </w:p>
              </w:tc>
              <w:tc>
                <w:tcPr>
                  <w:tcW w:w="870" w:type="dxa"/>
                  <w:vMerge w:val="continue"/>
                  <w:tcBorders>
                    <w:tl2br w:val="nil"/>
                    <w:tr2bl w:val="nil"/>
                  </w:tcBorders>
                  <w:noWrap/>
                  <w:vAlign w:val="center"/>
                </w:tcPr>
                <w:p w14:paraId="1775DC01">
                  <w:pPr>
                    <w:jc w:val="center"/>
                    <w:rPr>
                      <w:rFonts w:hint="eastAsia" w:ascii="Times New Roman" w:hAnsi="Times New Roman" w:eastAsia="宋体" w:cs="Times New Roman"/>
                      <w:bCs/>
                      <w:color w:val="auto"/>
                      <w:szCs w:val="21"/>
                      <w:lang w:val="en-US" w:eastAsia="zh-CN"/>
                    </w:rPr>
                  </w:pPr>
                </w:p>
              </w:tc>
              <w:tc>
                <w:tcPr>
                  <w:tcW w:w="900" w:type="dxa"/>
                  <w:tcBorders>
                    <w:tl2br w:val="nil"/>
                    <w:tr2bl w:val="nil"/>
                  </w:tcBorders>
                  <w:noWrap/>
                  <w:vAlign w:val="center"/>
                </w:tcPr>
                <w:p w14:paraId="586C5407">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臭气浓度</w:t>
                  </w:r>
                </w:p>
              </w:tc>
              <w:tc>
                <w:tcPr>
                  <w:tcW w:w="1125" w:type="dxa"/>
                  <w:gridSpan w:val="2"/>
                  <w:noWrap/>
                  <w:vAlign w:val="center"/>
                </w:tcPr>
                <w:p w14:paraId="46E54E7E">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200（无量纲）</w:t>
                  </w:r>
                </w:p>
              </w:tc>
              <w:tc>
                <w:tcPr>
                  <w:tcW w:w="1140" w:type="dxa"/>
                  <w:gridSpan w:val="2"/>
                  <w:noWrap/>
                  <w:vAlign w:val="center"/>
                </w:tcPr>
                <w:p w14:paraId="35511623">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855" w:type="dxa"/>
                  <w:noWrap/>
                  <w:vAlign w:val="center"/>
                </w:tcPr>
                <w:p w14:paraId="5D2B0540">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少量</w:t>
                  </w:r>
                </w:p>
              </w:tc>
              <w:tc>
                <w:tcPr>
                  <w:tcW w:w="945" w:type="dxa"/>
                  <w:gridSpan w:val="2"/>
                  <w:noWrap/>
                  <w:vAlign w:val="center"/>
                </w:tcPr>
                <w:p w14:paraId="17F27F05">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19" w:type="dxa"/>
                  <w:noWrap/>
                  <w:vAlign w:val="center"/>
                </w:tcPr>
                <w:p w14:paraId="095D0797">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2000（无量纲）</w:t>
                  </w:r>
                </w:p>
              </w:tc>
            </w:tr>
            <w:tr w14:paraId="6A9B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restart"/>
                  <w:tcBorders>
                    <w:tl2br w:val="nil"/>
                    <w:tr2bl w:val="nil"/>
                  </w:tcBorders>
                  <w:noWrap/>
                  <w:vAlign w:val="center"/>
                </w:tcPr>
                <w:p w14:paraId="14048D92">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塑封废气DA002</w:t>
                  </w:r>
                </w:p>
              </w:tc>
              <w:tc>
                <w:tcPr>
                  <w:tcW w:w="1548" w:type="dxa"/>
                  <w:gridSpan w:val="2"/>
                  <w:vMerge w:val="restart"/>
                  <w:tcBorders>
                    <w:tl2br w:val="nil"/>
                    <w:tr2bl w:val="nil"/>
                  </w:tcBorders>
                  <w:noWrap/>
                  <w:vAlign w:val="center"/>
                </w:tcPr>
                <w:p w14:paraId="4A5CBF19">
                  <w:pPr>
                    <w:jc w:val="center"/>
                    <w:rPr>
                      <w:rFonts w:ascii="Times New Roman" w:hAnsi="Times New Roman" w:cs="Times New Roman"/>
                      <w:color w:val="auto"/>
                      <w:szCs w:val="21"/>
                    </w:rPr>
                  </w:pPr>
                  <w:r>
                    <w:rPr>
                      <w:rFonts w:hint="eastAsia" w:ascii="Times New Roman" w:hAnsi="Times New Roman" w:cs="Times New Roman"/>
                      <w:color w:val="auto"/>
                      <w:szCs w:val="21"/>
                    </w:rPr>
                    <w:t>E</w:t>
                  </w:r>
                  <w:r>
                    <w:rPr>
                      <w:rFonts w:hint="eastAsia" w:ascii="Times New Roman" w:hAnsi="Times New Roman" w:cs="Times New Roman"/>
                      <w:color w:val="auto"/>
                      <w:szCs w:val="21"/>
                      <w:lang w:val="en-US" w:eastAsia="zh-CN"/>
                    </w:rPr>
                    <w:t>119</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59</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58.390</w:t>
                  </w:r>
                  <w:r>
                    <w:rPr>
                      <w:rFonts w:hint="eastAsia" w:ascii="Times New Roman" w:hAnsi="Times New Roman" w:cs="Times New Roman"/>
                      <w:color w:val="auto"/>
                      <w:szCs w:val="21"/>
                    </w:rPr>
                    <w:t>"</w:t>
                  </w:r>
                </w:p>
                <w:p w14:paraId="57C3A46F">
                  <w:pPr>
                    <w:jc w:val="center"/>
                    <w:rPr>
                      <w:rFonts w:hint="eastAsia" w:ascii="Times New Roman" w:hAnsi="Times New Roman" w:cs="Times New Roman"/>
                      <w:color w:val="FF0000"/>
                      <w:szCs w:val="21"/>
                    </w:rPr>
                  </w:pPr>
                  <w:r>
                    <w:rPr>
                      <w:rFonts w:hint="eastAsia" w:ascii="Times New Roman" w:hAnsi="Times New Roman" w:cs="Times New Roman"/>
                      <w:color w:val="auto"/>
                      <w:szCs w:val="21"/>
                    </w:rPr>
                    <w:t>N30</w:t>
                  </w:r>
                  <w:r>
                    <w:rPr>
                      <w:rFonts w:ascii="Times New Roman" w:hAnsi="Times New Roman" w:eastAsia="宋体" w:cs="Times New Roman"/>
                      <w:color w:val="auto"/>
                      <w:szCs w:val="21"/>
                    </w:rPr>
                    <w:t>°</w:t>
                  </w:r>
                  <w:r>
                    <w:rPr>
                      <w:rFonts w:hint="eastAsia" w:ascii="Times New Roman" w:hAnsi="Times New Roman" w:cs="Times New Roman"/>
                      <w:color w:val="auto"/>
                      <w:szCs w:val="21"/>
                    </w:rPr>
                    <w:t>3</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58</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606</w:t>
                  </w:r>
                  <w:r>
                    <w:rPr>
                      <w:rFonts w:hint="eastAsia" w:ascii="Times New Roman" w:hAnsi="Times New Roman" w:cs="Times New Roman"/>
                      <w:color w:val="auto"/>
                      <w:szCs w:val="21"/>
                    </w:rPr>
                    <w:t>"</w:t>
                  </w:r>
                </w:p>
              </w:tc>
              <w:tc>
                <w:tcPr>
                  <w:tcW w:w="951" w:type="dxa"/>
                  <w:vMerge w:val="restart"/>
                  <w:tcBorders>
                    <w:tl2br w:val="nil"/>
                    <w:tr2bl w:val="nil"/>
                  </w:tcBorders>
                  <w:noWrap/>
                  <w:vAlign w:val="center"/>
                </w:tcPr>
                <w:p w14:paraId="312091CE">
                  <w:pPr>
                    <w:jc w:val="center"/>
                    <w:rPr>
                      <w:rFonts w:hint="default" w:ascii="Times New Roman" w:hAnsi="Times New Roman" w:eastAsia="宋体" w:cs="Times New Roman"/>
                      <w:bCs/>
                      <w:snapToGrid w:val="0"/>
                      <w:color w:val="auto"/>
                      <w:szCs w:val="21"/>
                      <w:lang w:val="en-US" w:eastAsia="zh-CN"/>
                    </w:rPr>
                  </w:pPr>
                  <w:r>
                    <w:rPr>
                      <w:rFonts w:hint="eastAsia" w:ascii="Times New Roman" w:hAnsi="Times New Roman" w:eastAsia="宋体" w:cs="Times New Roman"/>
                      <w:bCs/>
                      <w:snapToGrid w:val="0"/>
                      <w:color w:val="auto"/>
                      <w:szCs w:val="21"/>
                      <w:lang w:val="en-US" w:eastAsia="zh-CN"/>
                    </w:rPr>
                    <w:t>不低于15m</w:t>
                  </w:r>
                </w:p>
              </w:tc>
              <w:tc>
                <w:tcPr>
                  <w:tcW w:w="1075" w:type="dxa"/>
                  <w:gridSpan w:val="2"/>
                  <w:vMerge w:val="restart"/>
                  <w:tcBorders>
                    <w:tl2br w:val="nil"/>
                    <w:tr2bl w:val="nil"/>
                  </w:tcBorders>
                  <w:shd w:val="clear" w:color="auto" w:fill="auto"/>
                  <w:noWrap/>
                  <w:vAlign w:val="center"/>
                </w:tcPr>
                <w:p w14:paraId="507D0CBB">
                  <w:pPr>
                    <w:jc w:val="center"/>
                    <w:rPr>
                      <w:rFonts w:hint="default" w:ascii="Times New Roman" w:hAnsi="Times New Roman" w:eastAsia="宋体" w:cs="Times New Roman"/>
                      <w:bCs/>
                      <w:snapToGrid w:val="0"/>
                      <w:color w:val="FF0000"/>
                      <w:szCs w:val="21"/>
                      <w:lang w:val="en-US" w:eastAsia="zh-CN"/>
                    </w:rPr>
                  </w:pPr>
                  <w:r>
                    <w:rPr>
                      <w:rFonts w:hint="eastAsia" w:ascii="Times New Roman" w:hAnsi="Times New Roman" w:eastAsia="宋体" w:cs="Times New Roman"/>
                      <w:bCs/>
                      <w:snapToGrid w:val="0"/>
                      <w:color w:val="auto"/>
                      <w:szCs w:val="21"/>
                      <w:lang w:val="en-US" w:eastAsia="zh-CN"/>
                    </w:rPr>
                    <w:t>0.4</w:t>
                  </w:r>
                </w:p>
              </w:tc>
              <w:tc>
                <w:tcPr>
                  <w:tcW w:w="1137" w:type="dxa"/>
                  <w:vMerge w:val="restart"/>
                  <w:tcBorders>
                    <w:tl2br w:val="nil"/>
                    <w:tr2bl w:val="nil"/>
                  </w:tcBorders>
                  <w:shd w:val="clear" w:color="auto" w:fill="auto"/>
                  <w:noWrap/>
                  <w:vAlign w:val="center"/>
                </w:tcPr>
                <w:p w14:paraId="4267A80F">
                  <w:pPr>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auto"/>
                      <w:szCs w:val="21"/>
                      <w:lang w:val="en-US" w:eastAsia="zh-CN"/>
                    </w:rPr>
                    <w:t>7.74</w:t>
                  </w:r>
                </w:p>
              </w:tc>
              <w:tc>
                <w:tcPr>
                  <w:tcW w:w="1038" w:type="dxa"/>
                  <w:gridSpan w:val="2"/>
                  <w:vMerge w:val="restart"/>
                  <w:tcBorders>
                    <w:tl2br w:val="nil"/>
                    <w:tr2bl w:val="nil"/>
                  </w:tcBorders>
                  <w:shd w:val="clear" w:color="auto" w:fill="auto"/>
                  <w:noWrap/>
                  <w:vAlign w:val="center"/>
                </w:tcPr>
                <w:p w14:paraId="00DA1F16">
                  <w:pPr>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常温</w:t>
                  </w:r>
                </w:p>
              </w:tc>
              <w:tc>
                <w:tcPr>
                  <w:tcW w:w="870" w:type="dxa"/>
                  <w:vMerge w:val="restart"/>
                  <w:tcBorders>
                    <w:tl2br w:val="nil"/>
                    <w:tr2bl w:val="nil"/>
                  </w:tcBorders>
                  <w:noWrap/>
                  <w:vAlign w:val="center"/>
                </w:tcPr>
                <w:p w14:paraId="7E85361D">
                  <w:pPr>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2400</w:t>
                  </w:r>
                </w:p>
              </w:tc>
              <w:tc>
                <w:tcPr>
                  <w:tcW w:w="900" w:type="dxa"/>
                  <w:tcBorders>
                    <w:tl2br w:val="nil"/>
                    <w:tr2bl w:val="nil"/>
                  </w:tcBorders>
                  <w:noWrap/>
                  <w:vAlign w:val="center"/>
                </w:tcPr>
                <w:p w14:paraId="5B1975BB">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非甲烷总烃</w:t>
                  </w:r>
                </w:p>
              </w:tc>
              <w:tc>
                <w:tcPr>
                  <w:tcW w:w="1125" w:type="dxa"/>
                  <w:gridSpan w:val="2"/>
                  <w:noWrap/>
                  <w:vAlign w:val="center"/>
                </w:tcPr>
                <w:p w14:paraId="3613D867">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2.3</w:t>
                  </w:r>
                </w:p>
              </w:tc>
              <w:tc>
                <w:tcPr>
                  <w:tcW w:w="1140" w:type="dxa"/>
                  <w:gridSpan w:val="2"/>
                  <w:noWrap/>
                  <w:vAlign w:val="center"/>
                </w:tcPr>
                <w:p w14:paraId="4E1F4090">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0.008</w:t>
                  </w:r>
                </w:p>
              </w:tc>
              <w:tc>
                <w:tcPr>
                  <w:tcW w:w="855" w:type="dxa"/>
                  <w:noWrap/>
                  <w:vAlign w:val="center"/>
                </w:tcPr>
                <w:p w14:paraId="5072AEFB">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rPr>
                    <w:t>0.</w:t>
                  </w:r>
                  <w:r>
                    <w:rPr>
                      <w:rFonts w:hint="eastAsia" w:ascii="Times New Roman" w:hAnsi="Times New Roman" w:eastAsia="宋体" w:cs="Times New Roman"/>
                      <w:color w:val="auto"/>
                      <w:kern w:val="0"/>
                      <w:szCs w:val="21"/>
                      <w:lang w:val="en-US" w:eastAsia="zh-CN"/>
                    </w:rPr>
                    <w:t>019</w:t>
                  </w:r>
                </w:p>
              </w:tc>
              <w:tc>
                <w:tcPr>
                  <w:tcW w:w="945" w:type="dxa"/>
                  <w:gridSpan w:val="2"/>
                  <w:noWrap/>
                  <w:vAlign w:val="center"/>
                </w:tcPr>
                <w:p w14:paraId="02C1086E">
                  <w:pPr>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19" w:type="dxa"/>
                  <w:noWrap/>
                  <w:vAlign w:val="center"/>
                </w:tcPr>
                <w:p w14:paraId="030DF76A">
                  <w:pPr>
                    <w:adjustRightInd w:val="0"/>
                    <w:snapToGrid w:val="0"/>
                    <w:jc w:val="center"/>
                    <w:rPr>
                      <w:rFonts w:hint="eastAsia" w:ascii="Times New Roman" w:hAnsi="Times New Roman" w:eastAsia="宋体" w:cs="Times New Roman"/>
                      <w:bCs/>
                      <w:color w:val="FF0000"/>
                      <w:szCs w:val="21"/>
                      <w:lang w:val="en-US" w:eastAsia="zh-CN"/>
                    </w:rPr>
                  </w:pPr>
                  <w:r>
                    <w:rPr>
                      <w:rFonts w:hint="eastAsia" w:ascii="Times New Roman" w:hAnsi="Times New Roman" w:cs="Times New Roman"/>
                      <w:color w:val="auto"/>
                      <w:szCs w:val="21"/>
                      <w:lang w:val="en-US" w:eastAsia="zh-CN"/>
                    </w:rPr>
                    <w:t>60</w:t>
                  </w:r>
                </w:p>
              </w:tc>
            </w:tr>
            <w:tr w14:paraId="3AB6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continue"/>
                  <w:tcBorders>
                    <w:tl2br w:val="nil"/>
                    <w:tr2bl w:val="nil"/>
                  </w:tcBorders>
                  <w:noWrap/>
                  <w:vAlign w:val="center"/>
                </w:tcPr>
                <w:p w14:paraId="73730872">
                  <w:pPr>
                    <w:jc w:val="center"/>
                    <w:rPr>
                      <w:rFonts w:hint="eastAsia" w:ascii="Times New Roman" w:hAnsi="Times New Roman" w:eastAsia="宋体" w:cs="Times New Roman"/>
                      <w:bCs/>
                      <w:color w:val="FF0000"/>
                      <w:szCs w:val="21"/>
                      <w:lang w:val="en-US" w:eastAsia="zh-CN"/>
                    </w:rPr>
                  </w:pPr>
                </w:p>
              </w:tc>
              <w:tc>
                <w:tcPr>
                  <w:tcW w:w="1548" w:type="dxa"/>
                  <w:gridSpan w:val="2"/>
                  <w:vMerge w:val="continue"/>
                  <w:tcBorders>
                    <w:tl2br w:val="nil"/>
                    <w:tr2bl w:val="nil"/>
                  </w:tcBorders>
                  <w:noWrap/>
                  <w:vAlign w:val="center"/>
                </w:tcPr>
                <w:p w14:paraId="203B438C">
                  <w:pPr>
                    <w:jc w:val="center"/>
                    <w:rPr>
                      <w:rFonts w:hint="eastAsia" w:ascii="Times New Roman" w:hAnsi="Times New Roman" w:cs="Times New Roman"/>
                      <w:color w:val="FF0000"/>
                      <w:szCs w:val="21"/>
                    </w:rPr>
                  </w:pPr>
                </w:p>
              </w:tc>
              <w:tc>
                <w:tcPr>
                  <w:tcW w:w="951" w:type="dxa"/>
                  <w:vMerge w:val="continue"/>
                  <w:tcBorders>
                    <w:tl2br w:val="nil"/>
                    <w:tr2bl w:val="nil"/>
                  </w:tcBorders>
                  <w:noWrap/>
                  <w:vAlign w:val="center"/>
                </w:tcPr>
                <w:p w14:paraId="54C31979">
                  <w:pPr>
                    <w:jc w:val="center"/>
                    <w:rPr>
                      <w:rFonts w:hint="eastAsia" w:ascii="Times New Roman" w:hAnsi="Times New Roman" w:eastAsia="宋体" w:cs="Times New Roman"/>
                      <w:bCs/>
                      <w:snapToGrid w:val="0"/>
                      <w:color w:val="FF0000"/>
                      <w:szCs w:val="21"/>
                      <w:lang w:val="en-US" w:eastAsia="zh-CN"/>
                    </w:rPr>
                  </w:pPr>
                </w:p>
              </w:tc>
              <w:tc>
                <w:tcPr>
                  <w:tcW w:w="1075" w:type="dxa"/>
                  <w:gridSpan w:val="2"/>
                  <w:vMerge w:val="continue"/>
                  <w:tcBorders>
                    <w:tl2br w:val="nil"/>
                    <w:tr2bl w:val="nil"/>
                  </w:tcBorders>
                  <w:shd w:val="clear" w:color="auto" w:fill="auto"/>
                  <w:noWrap/>
                  <w:vAlign w:val="center"/>
                </w:tcPr>
                <w:p w14:paraId="43EF15B2">
                  <w:pPr>
                    <w:jc w:val="center"/>
                    <w:rPr>
                      <w:rFonts w:hint="eastAsia" w:ascii="Times New Roman" w:hAnsi="Times New Roman" w:eastAsia="宋体" w:cs="Times New Roman"/>
                      <w:bCs/>
                      <w:snapToGrid w:val="0"/>
                      <w:color w:val="FF0000"/>
                      <w:szCs w:val="21"/>
                      <w:lang w:val="en-US" w:eastAsia="zh-CN"/>
                    </w:rPr>
                  </w:pPr>
                </w:p>
              </w:tc>
              <w:tc>
                <w:tcPr>
                  <w:tcW w:w="1137" w:type="dxa"/>
                  <w:vMerge w:val="continue"/>
                  <w:tcBorders>
                    <w:tl2br w:val="nil"/>
                    <w:tr2bl w:val="nil"/>
                  </w:tcBorders>
                  <w:shd w:val="clear" w:color="auto" w:fill="auto"/>
                  <w:noWrap/>
                  <w:vAlign w:val="center"/>
                </w:tcPr>
                <w:p w14:paraId="41A64E8C">
                  <w:pPr>
                    <w:jc w:val="center"/>
                    <w:rPr>
                      <w:rFonts w:hint="eastAsia" w:ascii="Times New Roman" w:hAnsi="Times New Roman" w:eastAsia="宋体" w:cs="Times New Roman"/>
                      <w:bCs/>
                      <w:color w:val="FF0000"/>
                      <w:szCs w:val="21"/>
                      <w:lang w:val="en-US" w:eastAsia="zh-CN"/>
                    </w:rPr>
                  </w:pPr>
                </w:p>
              </w:tc>
              <w:tc>
                <w:tcPr>
                  <w:tcW w:w="1038" w:type="dxa"/>
                  <w:gridSpan w:val="2"/>
                  <w:vMerge w:val="continue"/>
                  <w:tcBorders>
                    <w:tl2br w:val="nil"/>
                    <w:tr2bl w:val="nil"/>
                  </w:tcBorders>
                  <w:shd w:val="clear" w:color="auto" w:fill="auto"/>
                  <w:noWrap/>
                  <w:vAlign w:val="center"/>
                </w:tcPr>
                <w:p w14:paraId="327C5804">
                  <w:pPr>
                    <w:jc w:val="center"/>
                    <w:rPr>
                      <w:rFonts w:hint="eastAsia" w:ascii="Times New Roman" w:hAnsi="Times New Roman" w:eastAsia="宋体" w:cs="Times New Roman"/>
                      <w:bCs/>
                      <w:color w:val="FF0000"/>
                      <w:szCs w:val="21"/>
                      <w:lang w:val="en-US" w:eastAsia="zh-CN"/>
                    </w:rPr>
                  </w:pPr>
                </w:p>
              </w:tc>
              <w:tc>
                <w:tcPr>
                  <w:tcW w:w="870" w:type="dxa"/>
                  <w:vMerge w:val="continue"/>
                  <w:tcBorders>
                    <w:tl2br w:val="nil"/>
                    <w:tr2bl w:val="nil"/>
                  </w:tcBorders>
                  <w:noWrap/>
                  <w:vAlign w:val="center"/>
                </w:tcPr>
                <w:p w14:paraId="7C8DBA7A">
                  <w:pPr>
                    <w:jc w:val="center"/>
                    <w:rPr>
                      <w:rFonts w:hint="eastAsia" w:ascii="Times New Roman" w:hAnsi="Times New Roman" w:eastAsia="宋体" w:cs="Times New Roman"/>
                      <w:bCs/>
                      <w:color w:val="FF0000"/>
                      <w:szCs w:val="21"/>
                      <w:lang w:val="en-US" w:eastAsia="zh-CN"/>
                    </w:rPr>
                  </w:pPr>
                </w:p>
              </w:tc>
              <w:tc>
                <w:tcPr>
                  <w:tcW w:w="900" w:type="dxa"/>
                  <w:tcBorders>
                    <w:tl2br w:val="nil"/>
                    <w:tr2bl w:val="nil"/>
                  </w:tcBorders>
                  <w:noWrap/>
                  <w:vAlign w:val="center"/>
                </w:tcPr>
                <w:p w14:paraId="455AEA31">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苯乙烯</w:t>
                  </w:r>
                </w:p>
              </w:tc>
              <w:tc>
                <w:tcPr>
                  <w:tcW w:w="1125" w:type="dxa"/>
                  <w:gridSpan w:val="2"/>
                  <w:noWrap/>
                  <w:vAlign w:val="center"/>
                </w:tcPr>
                <w:p w14:paraId="61EF84DE">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2.3</w:t>
                  </w:r>
                </w:p>
              </w:tc>
              <w:tc>
                <w:tcPr>
                  <w:tcW w:w="1140" w:type="dxa"/>
                  <w:gridSpan w:val="2"/>
                  <w:noWrap/>
                  <w:vAlign w:val="center"/>
                </w:tcPr>
                <w:p w14:paraId="57147CEF">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0.008</w:t>
                  </w:r>
                </w:p>
              </w:tc>
              <w:tc>
                <w:tcPr>
                  <w:tcW w:w="855" w:type="dxa"/>
                  <w:noWrap/>
                  <w:vAlign w:val="center"/>
                </w:tcPr>
                <w:p w14:paraId="416DF573">
                  <w:pPr>
                    <w:widowControl/>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0.019</w:t>
                  </w:r>
                </w:p>
              </w:tc>
              <w:tc>
                <w:tcPr>
                  <w:tcW w:w="945" w:type="dxa"/>
                  <w:gridSpan w:val="2"/>
                  <w:noWrap/>
                  <w:vAlign w:val="center"/>
                </w:tcPr>
                <w:p w14:paraId="5D2ACC94">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19" w:type="dxa"/>
                  <w:noWrap/>
                  <w:vAlign w:val="center"/>
                </w:tcPr>
                <w:p w14:paraId="7390C119">
                  <w:pPr>
                    <w:adjustRightInd w:val="0"/>
                    <w:snapToGrid w:val="0"/>
                    <w:jc w:val="center"/>
                    <w:rPr>
                      <w:rFonts w:hint="default" w:ascii="Times New Roman" w:hAnsi="Times New Roman" w:eastAsia="宋体" w:cs="Times New Roman"/>
                      <w:bCs/>
                      <w:color w:val="FF0000"/>
                      <w:szCs w:val="21"/>
                      <w:lang w:val="en-US" w:eastAsia="zh-CN"/>
                    </w:rPr>
                  </w:pPr>
                  <w:r>
                    <w:rPr>
                      <w:rFonts w:hint="eastAsia" w:ascii="Times New Roman" w:hAnsi="Times New Roman" w:cs="Times New Roman"/>
                      <w:color w:val="auto"/>
                      <w:szCs w:val="21"/>
                      <w:lang w:val="en-US" w:eastAsia="zh-CN"/>
                    </w:rPr>
                    <w:t>20</w:t>
                  </w:r>
                </w:p>
              </w:tc>
            </w:tr>
            <w:tr w14:paraId="42B0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Merge w:val="continue"/>
                  <w:tcBorders>
                    <w:tl2br w:val="nil"/>
                    <w:tr2bl w:val="nil"/>
                  </w:tcBorders>
                  <w:noWrap/>
                  <w:vAlign w:val="center"/>
                </w:tcPr>
                <w:p w14:paraId="4222A7C1">
                  <w:pPr>
                    <w:jc w:val="center"/>
                    <w:rPr>
                      <w:rFonts w:hint="eastAsia" w:ascii="Times New Roman" w:hAnsi="Times New Roman" w:eastAsia="宋体" w:cs="Times New Roman"/>
                      <w:bCs/>
                      <w:color w:val="FF0000"/>
                      <w:szCs w:val="21"/>
                      <w:lang w:val="en-US" w:eastAsia="zh-CN"/>
                    </w:rPr>
                  </w:pPr>
                </w:p>
              </w:tc>
              <w:tc>
                <w:tcPr>
                  <w:tcW w:w="1548" w:type="dxa"/>
                  <w:gridSpan w:val="2"/>
                  <w:vMerge w:val="continue"/>
                  <w:tcBorders>
                    <w:tl2br w:val="nil"/>
                    <w:tr2bl w:val="nil"/>
                  </w:tcBorders>
                  <w:noWrap/>
                  <w:vAlign w:val="center"/>
                </w:tcPr>
                <w:p w14:paraId="353A5352">
                  <w:pPr>
                    <w:jc w:val="center"/>
                    <w:rPr>
                      <w:rFonts w:hint="eastAsia" w:ascii="Times New Roman" w:hAnsi="Times New Roman" w:cs="Times New Roman"/>
                      <w:color w:val="FF0000"/>
                      <w:szCs w:val="21"/>
                    </w:rPr>
                  </w:pPr>
                </w:p>
              </w:tc>
              <w:tc>
                <w:tcPr>
                  <w:tcW w:w="951" w:type="dxa"/>
                  <w:vMerge w:val="continue"/>
                  <w:tcBorders>
                    <w:tl2br w:val="nil"/>
                    <w:tr2bl w:val="nil"/>
                  </w:tcBorders>
                  <w:noWrap/>
                  <w:vAlign w:val="center"/>
                </w:tcPr>
                <w:p w14:paraId="0C70710B">
                  <w:pPr>
                    <w:jc w:val="center"/>
                    <w:rPr>
                      <w:rFonts w:hint="eastAsia" w:ascii="Times New Roman" w:hAnsi="Times New Roman" w:eastAsia="宋体" w:cs="Times New Roman"/>
                      <w:bCs/>
                      <w:snapToGrid w:val="0"/>
                      <w:color w:val="FF0000"/>
                      <w:szCs w:val="21"/>
                      <w:lang w:val="en-US" w:eastAsia="zh-CN"/>
                    </w:rPr>
                  </w:pPr>
                </w:p>
              </w:tc>
              <w:tc>
                <w:tcPr>
                  <w:tcW w:w="1075" w:type="dxa"/>
                  <w:gridSpan w:val="2"/>
                  <w:vMerge w:val="continue"/>
                  <w:tcBorders>
                    <w:tl2br w:val="nil"/>
                    <w:tr2bl w:val="nil"/>
                  </w:tcBorders>
                  <w:shd w:val="clear" w:color="auto" w:fill="auto"/>
                  <w:noWrap/>
                  <w:vAlign w:val="center"/>
                </w:tcPr>
                <w:p w14:paraId="1B7F48F8">
                  <w:pPr>
                    <w:jc w:val="center"/>
                    <w:rPr>
                      <w:rFonts w:hint="eastAsia" w:ascii="Times New Roman" w:hAnsi="Times New Roman" w:eastAsia="宋体" w:cs="Times New Roman"/>
                      <w:bCs/>
                      <w:snapToGrid w:val="0"/>
                      <w:color w:val="FF0000"/>
                      <w:szCs w:val="21"/>
                      <w:lang w:val="en-US" w:eastAsia="zh-CN"/>
                    </w:rPr>
                  </w:pPr>
                </w:p>
              </w:tc>
              <w:tc>
                <w:tcPr>
                  <w:tcW w:w="1137" w:type="dxa"/>
                  <w:vMerge w:val="continue"/>
                  <w:tcBorders>
                    <w:tl2br w:val="nil"/>
                    <w:tr2bl w:val="nil"/>
                  </w:tcBorders>
                  <w:shd w:val="clear" w:color="auto" w:fill="auto"/>
                  <w:noWrap/>
                  <w:vAlign w:val="center"/>
                </w:tcPr>
                <w:p w14:paraId="25389BED">
                  <w:pPr>
                    <w:jc w:val="center"/>
                    <w:rPr>
                      <w:rFonts w:hint="eastAsia" w:ascii="Times New Roman" w:hAnsi="Times New Roman" w:eastAsia="宋体" w:cs="Times New Roman"/>
                      <w:bCs/>
                      <w:color w:val="FF0000"/>
                      <w:szCs w:val="21"/>
                      <w:lang w:val="en-US" w:eastAsia="zh-CN"/>
                    </w:rPr>
                  </w:pPr>
                </w:p>
              </w:tc>
              <w:tc>
                <w:tcPr>
                  <w:tcW w:w="1038" w:type="dxa"/>
                  <w:gridSpan w:val="2"/>
                  <w:vMerge w:val="continue"/>
                  <w:tcBorders>
                    <w:tl2br w:val="nil"/>
                    <w:tr2bl w:val="nil"/>
                  </w:tcBorders>
                  <w:shd w:val="clear" w:color="auto" w:fill="auto"/>
                  <w:noWrap/>
                  <w:vAlign w:val="center"/>
                </w:tcPr>
                <w:p w14:paraId="55F9FD77">
                  <w:pPr>
                    <w:jc w:val="center"/>
                    <w:rPr>
                      <w:rFonts w:hint="eastAsia" w:ascii="Times New Roman" w:hAnsi="Times New Roman" w:eastAsia="宋体" w:cs="Times New Roman"/>
                      <w:bCs/>
                      <w:color w:val="FF0000"/>
                      <w:szCs w:val="21"/>
                      <w:lang w:val="en-US" w:eastAsia="zh-CN"/>
                    </w:rPr>
                  </w:pPr>
                </w:p>
              </w:tc>
              <w:tc>
                <w:tcPr>
                  <w:tcW w:w="870" w:type="dxa"/>
                  <w:vMerge w:val="continue"/>
                  <w:tcBorders>
                    <w:tl2br w:val="nil"/>
                    <w:tr2bl w:val="nil"/>
                  </w:tcBorders>
                  <w:noWrap/>
                  <w:vAlign w:val="center"/>
                </w:tcPr>
                <w:p w14:paraId="1AC5F09F">
                  <w:pPr>
                    <w:jc w:val="center"/>
                    <w:rPr>
                      <w:rFonts w:hint="eastAsia" w:ascii="Times New Roman" w:hAnsi="Times New Roman" w:eastAsia="宋体" w:cs="Times New Roman"/>
                      <w:bCs/>
                      <w:color w:val="FF0000"/>
                      <w:szCs w:val="21"/>
                      <w:lang w:val="en-US" w:eastAsia="zh-CN"/>
                    </w:rPr>
                  </w:pPr>
                </w:p>
              </w:tc>
              <w:tc>
                <w:tcPr>
                  <w:tcW w:w="900" w:type="dxa"/>
                  <w:tcBorders>
                    <w:tl2br w:val="nil"/>
                    <w:tr2bl w:val="nil"/>
                  </w:tcBorders>
                  <w:noWrap/>
                  <w:vAlign w:val="center"/>
                </w:tcPr>
                <w:p w14:paraId="725369C7">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臭气浓度</w:t>
                  </w:r>
                </w:p>
              </w:tc>
              <w:tc>
                <w:tcPr>
                  <w:tcW w:w="1125" w:type="dxa"/>
                  <w:gridSpan w:val="2"/>
                  <w:noWrap/>
                  <w:vAlign w:val="center"/>
                </w:tcPr>
                <w:p w14:paraId="739B961B">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200（无量纲）</w:t>
                  </w:r>
                </w:p>
              </w:tc>
              <w:tc>
                <w:tcPr>
                  <w:tcW w:w="1140" w:type="dxa"/>
                  <w:gridSpan w:val="2"/>
                  <w:noWrap/>
                  <w:vAlign w:val="center"/>
                </w:tcPr>
                <w:p w14:paraId="7FFDB263">
                  <w:pPr>
                    <w:widowControl/>
                    <w:jc w:val="center"/>
                    <w:textAlignment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855" w:type="dxa"/>
                  <w:noWrap/>
                  <w:vAlign w:val="center"/>
                </w:tcPr>
                <w:p w14:paraId="387CB620">
                  <w:pPr>
                    <w:widowControl/>
                    <w:jc w:val="center"/>
                    <w:textAlignment w:val="center"/>
                    <w:rPr>
                      <w:rFonts w:hint="eastAsia"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少量</w:t>
                  </w:r>
                </w:p>
              </w:tc>
              <w:tc>
                <w:tcPr>
                  <w:tcW w:w="945" w:type="dxa"/>
                  <w:gridSpan w:val="2"/>
                  <w:noWrap/>
                  <w:vAlign w:val="center"/>
                </w:tcPr>
                <w:p w14:paraId="33AA51CC">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w:t>
                  </w:r>
                </w:p>
              </w:tc>
              <w:tc>
                <w:tcPr>
                  <w:tcW w:w="1119" w:type="dxa"/>
                  <w:noWrap/>
                  <w:vAlign w:val="center"/>
                </w:tcPr>
                <w:p w14:paraId="790D1F85">
                  <w:pPr>
                    <w:adjustRightInd w:val="0"/>
                    <w:snapToGrid w:val="0"/>
                    <w:jc w:val="center"/>
                    <w:rPr>
                      <w:rFonts w:hint="eastAsia" w:ascii="Times New Roman" w:hAnsi="Times New Roman" w:eastAsia="宋体" w:cs="Times New Roman"/>
                      <w:bCs/>
                      <w:color w:val="FF0000"/>
                      <w:szCs w:val="21"/>
                      <w:lang w:val="en-US" w:eastAsia="zh-CN"/>
                    </w:rPr>
                  </w:pPr>
                  <w:r>
                    <w:rPr>
                      <w:rFonts w:hint="eastAsia" w:ascii="Times New Roman" w:hAnsi="Times New Roman"/>
                      <w:color w:val="auto"/>
                      <w:sz w:val="21"/>
                      <w:szCs w:val="21"/>
                      <w:lang w:val="en-US" w:eastAsia="zh-CN"/>
                    </w:rPr>
                    <w:t>1000（无量纲）</w:t>
                  </w:r>
                </w:p>
              </w:tc>
            </w:tr>
            <w:tr w14:paraId="3FA9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06" w:type="dxa"/>
                  <w:gridSpan w:val="19"/>
                  <w:tcBorders>
                    <w:tl2br w:val="nil"/>
                    <w:tr2bl w:val="nil"/>
                  </w:tcBorders>
                  <w:noWrap/>
                  <w:vAlign w:val="center"/>
                </w:tcPr>
                <w:p w14:paraId="6A34D8D6">
                  <w:pPr>
                    <w:jc w:val="center"/>
                    <w:rPr>
                      <w:rFonts w:hint="eastAsia" w:ascii="Times New Roman" w:hAnsi="Times New Roman" w:cs="Times New Roman"/>
                      <w:b/>
                      <w:bCs/>
                      <w:color w:val="auto"/>
                      <w:szCs w:val="21"/>
                    </w:rPr>
                  </w:pPr>
                </w:p>
                <w:p w14:paraId="63641ECA">
                  <w:pPr>
                    <w:jc w:val="center"/>
                    <w:rPr>
                      <w:rFonts w:ascii="Times New Roman" w:hAnsi="Times New Roman" w:eastAsia="宋体" w:cs="Times New Roman"/>
                      <w:color w:val="FF0000"/>
                      <w:szCs w:val="21"/>
                    </w:rPr>
                  </w:pPr>
                  <w:r>
                    <w:rPr>
                      <w:rFonts w:hint="eastAsia" w:ascii="Times New Roman" w:hAnsi="Times New Roman" w:cs="Times New Roman"/>
                      <w:b/>
                      <w:bCs/>
                      <w:color w:val="auto"/>
                      <w:szCs w:val="21"/>
                    </w:rPr>
                    <w:t>无组织</w:t>
                  </w:r>
                </w:p>
              </w:tc>
            </w:tr>
            <w:tr w14:paraId="5482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restart"/>
                  <w:tcBorders>
                    <w:tl2br w:val="nil"/>
                    <w:tr2bl w:val="nil"/>
                  </w:tcBorders>
                  <w:noWrap/>
                  <w:vAlign w:val="center"/>
                </w:tcPr>
                <w:p w14:paraId="3CF1CEE8">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名称</w:t>
                  </w:r>
                </w:p>
              </w:tc>
              <w:tc>
                <w:tcPr>
                  <w:tcW w:w="2467" w:type="dxa"/>
                  <w:gridSpan w:val="3"/>
                  <w:vMerge w:val="restart"/>
                  <w:tcBorders>
                    <w:tl2br w:val="nil"/>
                    <w:tr2bl w:val="nil"/>
                  </w:tcBorders>
                  <w:noWrap/>
                  <w:vAlign w:val="center"/>
                </w:tcPr>
                <w:p w14:paraId="37ABF176">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年排放小时数（h）</w:t>
                  </w:r>
                </w:p>
              </w:tc>
              <w:tc>
                <w:tcPr>
                  <w:tcW w:w="2778" w:type="dxa"/>
                  <w:gridSpan w:val="3"/>
                  <w:vMerge w:val="restart"/>
                  <w:tcBorders>
                    <w:tl2br w:val="nil"/>
                    <w:tr2bl w:val="nil"/>
                  </w:tcBorders>
                  <w:noWrap/>
                  <w:vAlign w:val="center"/>
                </w:tcPr>
                <w:p w14:paraId="7782BBF2">
                  <w:pPr>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污染物种类</w:t>
                  </w:r>
                </w:p>
              </w:tc>
              <w:tc>
                <w:tcPr>
                  <w:tcW w:w="2644" w:type="dxa"/>
                  <w:gridSpan w:val="4"/>
                  <w:vMerge w:val="restart"/>
                  <w:tcBorders>
                    <w:tl2br w:val="nil"/>
                    <w:tr2bl w:val="nil"/>
                  </w:tcBorders>
                  <w:noWrap/>
                  <w:vAlign w:val="center"/>
                </w:tcPr>
                <w:p w14:paraId="5CC3F34C">
                  <w:pPr>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排放速率（kg/h）</w:t>
                  </w:r>
                </w:p>
              </w:tc>
              <w:tc>
                <w:tcPr>
                  <w:tcW w:w="1678" w:type="dxa"/>
                  <w:gridSpan w:val="2"/>
                  <w:vMerge w:val="restart"/>
                  <w:tcBorders>
                    <w:tl2br w:val="nil"/>
                    <w:tr2bl w:val="nil"/>
                  </w:tcBorders>
                  <w:noWrap/>
                  <w:vAlign w:val="center"/>
                </w:tcPr>
                <w:p w14:paraId="14973A0C">
                  <w:pPr>
                    <w:jc w:val="center"/>
                    <w:rPr>
                      <w:rFonts w:ascii="Times New Roman" w:hAnsi="Times New Roman" w:eastAsia="宋体" w:cs="Times New Roman"/>
                      <w:b/>
                      <w:bCs/>
                      <w:color w:val="auto"/>
                      <w:szCs w:val="21"/>
                    </w:rPr>
                  </w:pPr>
                  <w:r>
                    <w:rPr>
                      <w:rFonts w:hint="eastAsia" w:ascii="Times New Roman" w:hAnsi="Times New Roman" w:cs="Times New Roman"/>
                      <w:b/>
                      <w:bCs/>
                      <w:color w:val="auto"/>
                      <w:szCs w:val="21"/>
                    </w:rPr>
                    <w:t>排放量（t/a）</w:t>
                  </w:r>
                </w:p>
              </w:tc>
              <w:tc>
                <w:tcPr>
                  <w:tcW w:w="2972" w:type="dxa"/>
                  <w:gridSpan w:val="5"/>
                  <w:tcBorders>
                    <w:tl2br w:val="nil"/>
                    <w:tr2bl w:val="nil"/>
                  </w:tcBorders>
                  <w:noWrap/>
                  <w:vAlign w:val="center"/>
                </w:tcPr>
                <w:p w14:paraId="274395AD">
                  <w:pPr>
                    <w:jc w:val="center"/>
                    <w:rPr>
                      <w:rFonts w:ascii="Times New Roman" w:hAnsi="Times New Roman" w:eastAsia="宋体" w:cs="Times New Roman"/>
                      <w:b/>
                      <w:bCs/>
                      <w:color w:val="auto"/>
                      <w:szCs w:val="21"/>
                    </w:rPr>
                  </w:pPr>
                  <w:r>
                    <w:rPr>
                      <w:rFonts w:hint="eastAsia" w:ascii="Times New Roman" w:hAnsi="Times New Roman" w:eastAsia="宋体C...." w:cs="Times New Roman"/>
                      <w:b/>
                      <w:bCs/>
                      <w:color w:val="auto"/>
                      <w:szCs w:val="21"/>
                    </w:rPr>
                    <w:t>标准限值</w:t>
                  </w:r>
                </w:p>
              </w:tc>
            </w:tr>
            <w:tr w14:paraId="4D46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continue"/>
                  <w:tcBorders>
                    <w:tl2br w:val="nil"/>
                    <w:tr2bl w:val="nil"/>
                  </w:tcBorders>
                  <w:noWrap/>
                  <w:vAlign w:val="center"/>
                </w:tcPr>
                <w:p w14:paraId="52FB22AC">
                  <w:pPr>
                    <w:jc w:val="center"/>
                    <w:rPr>
                      <w:rFonts w:ascii="Times New Roman" w:hAnsi="Times New Roman" w:eastAsia="宋体" w:cs="Times New Roman"/>
                      <w:b/>
                      <w:bCs/>
                      <w:color w:val="auto"/>
                      <w:szCs w:val="21"/>
                    </w:rPr>
                  </w:pPr>
                </w:p>
              </w:tc>
              <w:tc>
                <w:tcPr>
                  <w:tcW w:w="2467" w:type="dxa"/>
                  <w:gridSpan w:val="3"/>
                  <w:vMerge w:val="continue"/>
                  <w:tcBorders>
                    <w:tl2br w:val="nil"/>
                    <w:tr2bl w:val="nil"/>
                  </w:tcBorders>
                  <w:noWrap/>
                  <w:vAlign w:val="center"/>
                </w:tcPr>
                <w:p w14:paraId="393CC829">
                  <w:pPr>
                    <w:jc w:val="center"/>
                    <w:rPr>
                      <w:rFonts w:ascii="Times New Roman" w:hAnsi="Times New Roman" w:eastAsia="宋体" w:cs="Times New Roman"/>
                      <w:b/>
                      <w:bCs/>
                      <w:color w:val="auto"/>
                      <w:szCs w:val="21"/>
                    </w:rPr>
                  </w:pPr>
                </w:p>
              </w:tc>
              <w:tc>
                <w:tcPr>
                  <w:tcW w:w="2778" w:type="dxa"/>
                  <w:gridSpan w:val="3"/>
                  <w:vMerge w:val="continue"/>
                  <w:tcBorders>
                    <w:tl2br w:val="nil"/>
                    <w:tr2bl w:val="nil"/>
                  </w:tcBorders>
                  <w:noWrap/>
                  <w:vAlign w:val="center"/>
                </w:tcPr>
                <w:p w14:paraId="682B4AED">
                  <w:pPr>
                    <w:jc w:val="center"/>
                    <w:rPr>
                      <w:rFonts w:ascii="Times New Roman" w:hAnsi="Times New Roman" w:eastAsia="宋体" w:cs="Times New Roman"/>
                      <w:b/>
                      <w:bCs/>
                      <w:color w:val="auto"/>
                      <w:szCs w:val="21"/>
                    </w:rPr>
                  </w:pPr>
                </w:p>
              </w:tc>
              <w:tc>
                <w:tcPr>
                  <w:tcW w:w="2644" w:type="dxa"/>
                  <w:gridSpan w:val="4"/>
                  <w:vMerge w:val="continue"/>
                  <w:tcBorders>
                    <w:tl2br w:val="nil"/>
                    <w:tr2bl w:val="nil"/>
                  </w:tcBorders>
                  <w:noWrap/>
                  <w:vAlign w:val="center"/>
                </w:tcPr>
                <w:p w14:paraId="6689D256">
                  <w:pPr>
                    <w:jc w:val="center"/>
                    <w:rPr>
                      <w:rFonts w:ascii="Times New Roman" w:hAnsi="Times New Roman" w:eastAsia="宋体" w:cs="Times New Roman"/>
                      <w:b/>
                      <w:bCs/>
                      <w:color w:val="auto"/>
                      <w:szCs w:val="21"/>
                    </w:rPr>
                  </w:pPr>
                </w:p>
              </w:tc>
              <w:tc>
                <w:tcPr>
                  <w:tcW w:w="1678" w:type="dxa"/>
                  <w:gridSpan w:val="2"/>
                  <w:vMerge w:val="continue"/>
                  <w:tcBorders>
                    <w:tl2br w:val="nil"/>
                    <w:tr2bl w:val="nil"/>
                  </w:tcBorders>
                  <w:noWrap/>
                  <w:vAlign w:val="center"/>
                </w:tcPr>
                <w:p w14:paraId="414C48A8">
                  <w:pPr>
                    <w:jc w:val="center"/>
                    <w:rPr>
                      <w:rFonts w:ascii="Times New Roman" w:hAnsi="Times New Roman" w:eastAsia="宋体" w:cs="Times New Roman"/>
                      <w:b/>
                      <w:bCs/>
                      <w:color w:val="auto"/>
                      <w:szCs w:val="21"/>
                    </w:rPr>
                  </w:pPr>
                </w:p>
              </w:tc>
              <w:tc>
                <w:tcPr>
                  <w:tcW w:w="1489" w:type="dxa"/>
                  <w:gridSpan w:val="3"/>
                  <w:tcBorders>
                    <w:tl2br w:val="nil"/>
                    <w:tr2bl w:val="nil"/>
                  </w:tcBorders>
                  <w:noWrap/>
                  <w:vAlign w:val="center"/>
                </w:tcPr>
                <w:p w14:paraId="170B9EDE">
                  <w:pPr>
                    <w:jc w:val="center"/>
                    <w:rPr>
                      <w:rFonts w:ascii="Times New Roman" w:hAnsi="Times New Roman" w:eastAsia="宋体C...." w:cs="Times New Roman"/>
                      <w:b/>
                      <w:bCs/>
                      <w:color w:val="auto"/>
                      <w:szCs w:val="21"/>
                    </w:rPr>
                  </w:pPr>
                  <w:r>
                    <w:rPr>
                      <w:rFonts w:hint="eastAsia" w:ascii="Times New Roman" w:hAnsi="Times New Roman" w:eastAsia="宋体C...." w:cs="Times New Roman"/>
                      <w:b/>
                      <w:bCs/>
                      <w:color w:val="auto"/>
                      <w:szCs w:val="21"/>
                    </w:rPr>
                    <w:t>速率（kg/h）</w:t>
                  </w:r>
                </w:p>
              </w:tc>
              <w:tc>
                <w:tcPr>
                  <w:tcW w:w="1483" w:type="dxa"/>
                  <w:gridSpan w:val="2"/>
                  <w:tcBorders>
                    <w:tl2br w:val="nil"/>
                    <w:tr2bl w:val="nil"/>
                  </w:tcBorders>
                  <w:noWrap/>
                  <w:vAlign w:val="center"/>
                </w:tcPr>
                <w:p w14:paraId="2932840B">
                  <w:pPr>
                    <w:jc w:val="center"/>
                    <w:rPr>
                      <w:rFonts w:ascii="Times New Roman" w:hAnsi="Times New Roman" w:eastAsia="宋体" w:cs="Times New Roman"/>
                      <w:b/>
                      <w:bCs/>
                      <w:color w:val="auto"/>
                      <w:szCs w:val="21"/>
                    </w:rPr>
                  </w:pPr>
                  <w:r>
                    <w:rPr>
                      <w:rFonts w:hint="eastAsia" w:ascii="Times New Roman" w:hAnsi="Times New Roman" w:eastAsia="宋体C...." w:cs="Times New Roman"/>
                      <w:b/>
                      <w:bCs/>
                      <w:color w:val="auto"/>
                      <w:szCs w:val="21"/>
                    </w:rPr>
                    <w:t>浓度（mg/m</w:t>
                  </w:r>
                  <w:r>
                    <w:rPr>
                      <w:rFonts w:hint="eastAsia" w:ascii="Times New Roman" w:hAnsi="Times New Roman" w:eastAsia="宋体C...." w:cs="Times New Roman"/>
                      <w:b/>
                      <w:bCs/>
                      <w:color w:val="auto"/>
                      <w:szCs w:val="21"/>
                      <w:vertAlign w:val="superscript"/>
                    </w:rPr>
                    <w:t>3</w:t>
                  </w:r>
                  <w:r>
                    <w:rPr>
                      <w:rFonts w:hint="eastAsia" w:ascii="Times New Roman" w:hAnsi="Times New Roman" w:eastAsia="宋体C...." w:cs="Times New Roman"/>
                      <w:b/>
                      <w:bCs/>
                      <w:color w:val="auto"/>
                      <w:szCs w:val="21"/>
                    </w:rPr>
                    <w:t>）</w:t>
                  </w:r>
                </w:p>
              </w:tc>
            </w:tr>
            <w:tr w14:paraId="56D5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restart"/>
                  <w:tcBorders>
                    <w:tl2br w:val="nil"/>
                    <w:tr2bl w:val="nil"/>
                  </w:tcBorders>
                  <w:noWrap/>
                  <w:vAlign w:val="center"/>
                </w:tcPr>
                <w:p w14:paraId="6E73F886">
                  <w:pPr>
                    <w:jc w:val="center"/>
                    <w:rPr>
                      <w:rFonts w:ascii="Times New Roman" w:hAnsi="Times New Roman" w:eastAsia="宋体" w:cs="Times New Roman"/>
                      <w:bCs/>
                      <w:color w:val="auto"/>
                      <w:szCs w:val="21"/>
                    </w:rPr>
                  </w:pPr>
                  <w:r>
                    <w:rPr>
                      <w:rFonts w:hint="eastAsia" w:ascii="Times New Roman" w:hAnsi="Times New Roman" w:cs="Times New Roman"/>
                      <w:bCs/>
                      <w:color w:val="auto"/>
                      <w:szCs w:val="21"/>
                    </w:rPr>
                    <w:t>车间</w:t>
                  </w:r>
                </w:p>
              </w:tc>
              <w:tc>
                <w:tcPr>
                  <w:tcW w:w="2467" w:type="dxa"/>
                  <w:gridSpan w:val="3"/>
                  <w:vMerge w:val="restart"/>
                  <w:tcBorders>
                    <w:tl2br w:val="nil"/>
                    <w:tr2bl w:val="nil"/>
                  </w:tcBorders>
                  <w:noWrap/>
                  <w:vAlign w:val="center"/>
                </w:tcPr>
                <w:p w14:paraId="75EA0834">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2400</w:t>
                  </w:r>
                </w:p>
              </w:tc>
              <w:tc>
                <w:tcPr>
                  <w:tcW w:w="2778" w:type="dxa"/>
                  <w:gridSpan w:val="3"/>
                  <w:tcBorders>
                    <w:tl2br w:val="nil"/>
                    <w:tr2bl w:val="nil"/>
                  </w:tcBorders>
                  <w:noWrap/>
                  <w:vAlign w:val="center"/>
                </w:tcPr>
                <w:p w14:paraId="1C262ADE">
                  <w:pPr>
                    <w:autoSpaceDE w:val="0"/>
                    <w:autoSpaceDN w:val="0"/>
                    <w:jc w:val="center"/>
                    <w:rPr>
                      <w:rFonts w:hint="eastAsia" w:eastAsia="宋体C...." w:cs="Times New Roman"/>
                      <w:bCs/>
                      <w:color w:val="FF0000"/>
                      <w:szCs w:val="21"/>
                      <w:lang w:val="en-US" w:eastAsia="zh-CN"/>
                    </w:rPr>
                  </w:pPr>
                  <w:r>
                    <w:rPr>
                      <w:rFonts w:hint="eastAsia" w:ascii="Times New Roman" w:hAnsi="Times New Roman" w:eastAsia="宋体" w:cs="Times New Roman"/>
                      <w:bCs/>
                      <w:color w:val="auto"/>
                      <w:szCs w:val="21"/>
                      <w:lang w:val="en-US" w:eastAsia="zh-CN"/>
                    </w:rPr>
                    <w:t>非甲烷总烃</w:t>
                  </w:r>
                </w:p>
              </w:tc>
              <w:tc>
                <w:tcPr>
                  <w:tcW w:w="2644" w:type="dxa"/>
                  <w:gridSpan w:val="4"/>
                  <w:tcBorders>
                    <w:tl2br w:val="nil"/>
                    <w:tr2bl w:val="nil"/>
                  </w:tcBorders>
                  <w:noWrap/>
                  <w:vAlign w:val="center"/>
                </w:tcPr>
                <w:p w14:paraId="20B5344B">
                  <w:pPr>
                    <w:autoSpaceDE w:val="0"/>
                    <w:autoSpaceDN w:val="0"/>
                    <w:jc w:val="center"/>
                    <w:rPr>
                      <w:rFonts w:hint="default" w:ascii="Times New Roman" w:hAnsi="Times New Roman" w:cs="Times New Roman" w:eastAsiaTheme="minorEastAsia"/>
                      <w:bCs/>
                      <w:color w:val="FF0000"/>
                      <w:szCs w:val="21"/>
                      <w:lang w:val="en-US" w:eastAsia="zh-CN"/>
                    </w:rPr>
                  </w:pPr>
                  <w:r>
                    <w:rPr>
                      <w:rFonts w:hint="eastAsia" w:ascii="Times New Roman" w:hAnsi="Times New Roman" w:cs="Times New Roman"/>
                      <w:bCs/>
                      <w:color w:val="auto"/>
                      <w:szCs w:val="21"/>
                      <w:lang w:val="en-US" w:eastAsia="zh-CN"/>
                    </w:rPr>
                    <w:t>0.01</w:t>
                  </w:r>
                </w:p>
              </w:tc>
              <w:tc>
                <w:tcPr>
                  <w:tcW w:w="1678" w:type="dxa"/>
                  <w:gridSpan w:val="2"/>
                  <w:tcBorders>
                    <w:tl2br w:val="nil"/>
                    <w:tr2bl w:val="nil"/>
                  </w:tcBorders>
                  <w:noWrap/>
                  <w:vAlign w:val="center"/>
                </w:tcPr>
                <w:p w14:paraId="6DA51918">
                  <w:pPr>
                    <w:jc w:val="center"/>
                    <w:rPr>
                      <w:rFonts w:hint="default" w:ascii="Times New Roman" w:hAnsi="Times New Roman" w:cs="Times New Roman" w:eastAsiaTheme="minorEastAsia"/>
                      <w:bCs/>
                      <w:color w:val="FF0000"/>
                      <w:szCs w:val="21"/>
                      <w:lang w:val="en-US" w:eastAsia="zh-CN"/>
                    </w:rPr>
                  </w:pPr>
                  <w:r>
                    <w:rPr>
                      <w:rFonts w:hint="eastAsia" w:ascii="Times New Roman" w:hAnsi="Times New Roman" w:cs="Times New Roman"/>
                      <w:bCs/>
                      <w:color w:val="auto"/>
                      <w:szCs w:val="21"/>
                      <w:lang w:val="en-US" w:eastAsia="zh-CN"/>
                    </w:rPr>
                    <w:t>0.024</w:t>
                  </w:r>
                </w:p>
              </w:tc>
              <w:tc>
                <w:tcPr>
                  <w:tcW w:w="1489" w:type="dxa"/>
                  <w:gridSpan w:val="3"/>
                  <w:tcBorders>
                    <w:tl2br w:val="nil"/>
                    <w:tr2bl w:val="nil"/>
                  </w:tcBorders>
                  <w:noWrap/>
                  <w:vAlign w:val="center"/>
                </w:tcPr>
                <w:p w14:paraId="6B690A1B">
                  <w:pPr>
                    <w:jc w:val="center"/>
                    <w:rPr>
                      <w:rFonts w:ascii="Times New Roman" w:hAnsi="Times New Roman" w:eastAsia="宋体" w:cs="Times New Roman"/>
                      <w:bCs/>
                      <w:color w:val="auto"/>
                      <w:szCs w:val="21"/>
                    </w:rPr>
                  </w:pPr>
                  <w:r>
                    <w:rPr>
                      <w:rFonts w:ascii="Times New Roman" w:hAnsi="Times New Roman" w:cs="Times New Roman"/>
                      <w:bCs/>
                      <w:color w:val="auto"/>
                      <w:szCs w:val="21"/>
                    </w:rPr>
                    <w:t>/</w:t>
                  </w:r>
                </w:p>
              </w:tc>
              <w:tc>
                <w:tcPr>
                  <w:tcW w:w="1483" w:type="dxa"/>
                  <w:gridSpan w:val="2"/>
                  <w:tcBorders>
                    <w:tl2br w:val="nil"/>
                    <w:tr2bl w:val="nil"/>
                  </w:tcBorders>
                  <w:noWrap/>
                  <w:vAlign w:val="center"/>
                </w:tcPr>
                <w:p w14:paraId="7FC3A2D6">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4.0</w:t>
                  </w:r>
                </w:p>
              </w:tc>
            </w:tr>
            <w:tr w14:paraId="17A3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continue"/>
                  <w:tcBorders>
                    <w:tl2br w:val="nil"/>
                    <w:tr2bl w:val="nil"/>
                  </w:tcBorders>
                  <w:noWrap/>
                  <w:vAlign w:val="center"/>
                </w:tcPr>
                <w:p w14:paraId="7A504A96">
                  <w:pPr>
                    <w:jc w:val="center"/>
                    <w:rPr>
                      <w:rFonts w:hint="eastAsia" w:ascii="Times New Roman" w:hAnsi="Times New Roman" w:cs="Times New Roman"/>
                      <w:bCs/>
                      <w:color w:val="FF0000"/>
                      <w:szCs w:val="21"/>
                    </w:rPr>
                  </w:pPr>
                </w:p>
              </w:tc>
              <w:tc>
                <w:tcPr>
                  <w:tcW w:w="2467" w:type="dxa"/>
                  <w:gridSpan w:val="3"/>
                  <w:vMerge w:val="continue"/>
                  <w:tcBorders>
                    <w:tl2br w:val="nil"/>
                    <w:tr2bl w:val="nil"/>
                  </w:tcBorders>
                  <w:noWrap/>
                  <w:vAlign w:val="center"/>
                </w:tcPr>
                <w:p w14:paraId="2ABC4B00">
                  <w:pPr>
                    <w:jc w:val="center"/>
                    <w:rPr>
                      <w:rFonts w:hint="eastAsia" w:ascii="Times New Roman" w:hAnsi="Times New Roman" w:eastAsia="宋体" w:cs="Times New Roman"/>
                      <w:bCs/>
                      <w:color w:val="FF0000"/>
                      <w:szCs w:val="21"/>
                      <w:lang w:val="en-US" w:eastAsia="zh-CN"/>
                    </w:rPr>
                  </w:pPr>
                </w:p>
              </w:tc>
              <w:tc>
                <w:tcPr>
                  <w:tcW w:w="2778" w:type="dxa"/>
                  <w:gridSpan w:val="3"/>
                  <w:tcBorders>
                    <w:tl2br w:val="nil"/>
                    <w:tr2bl w:val="nil"/>
                  </w:tcBorders>
                  <w:noWrap/>
                  <w:vAlign w:val="center"/>
                </w:tcPr>
                <w:p w14:paraId="0DC86710">
                  <w:pPr>
                    <w:autoSpaceDE w:val="0"/>
                    <w:autoSpaceDN w:val="0"/>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auto"/>
                      <w:szCs w:val="21"/>
                      <w:lang w:val="en-US" w:eastAsia="zh-CN"/>
                    </w:rPr>
                    <w:t>苯乙烯</w:t>
                  </w:r>
                </w:p>
              </w:tc>
              <w:tc>
                <w:tcPr>
                  <w:tcW w:w="2644" w:type="dxa"/>
                  <w:gridSpan w:val="4"/>
                  <w:tcBorders>
                    <w:tl2br w:val="nil"/>
                    <w:tr2bl w:val="nil"/>
                  </w:tcBorders>
                  <w:noWrap/>
                  <w:vAlign w:val="center"/>
                </w:tcPr>
                <w:p w14:paraId="50267479">
                  <w:pPr>
                    <w:autoSpaceDE w:val="0"/>
                    <w:autoSpaceDN w:val="0"/>
                    <w:jc w:val="center"/>
                    <w:rPr>
                      <w:rFonts w:hint="default" w:ascii="Times New Roman" w:hAnsi="Times New Roman" w:cs="Times New Roman"/>
                      <w:bCs/>
                      <w:color w:val="FF0000"/>
                      <w:szCs w:val="21"/>
                      <w:lang w:val="en-US" w:eastAsia="zh-CN"/>
                    </w:rPr>
                  </w:pPr>
                  <w:r>
                    <w:rPr>
                      <w:rFonts w:hint="eastAsia" w:ascii="Times New Roman" w:hAnsi="Times New Roman" w:cs="Times New Roman"/>
                      <w:bCs/>
                      <w:color w:val="auto"/>
                      <w:szCs w:val="21"/>
                      <w:lang w:val="en-US" w:eastAsia="zh-CN"/>
                    </w:rPr>
                    <w:t>0.002</w:t>
                  </w:r>
                </w:p>
              </w:tc>
              <w:tc>
                <w:tcPr>
                  <w:tcW w:w="1678" w:type="dxa"/>
                  <w:gridSpan w:val="2"/>
                  <w:tcBorders>
                    <w:tl2br w:val="nil"/>
                    <w:tr2bl w:val="nil"/>
                  </w:tcBorders>
                  <w:noWrap/>
                  <w:vAlign w:val="center"/>
                </w:tcPr>
                <w:p w14:paraId="68E670AD">
                  <w:pPr>
                    <w:jc w:val="center"/>
                    <w:rPr>
                      <w:rFonts w:hint="default" w:ascii="Times New Roman" w:hAnsi="Times New Roman" w:cs="Times New Roman"/>
                      <w:bCs/>
                      <w:color w:val="FF0000"/>
                      <w:szCs w:val="21"/>
                      <w:lang w:val="en-US" w:eastAsia="zh-CN"/>
                    </w:rPr>
                  </w:pPr>
                  <w:r>
                    <w:rPr>
                      <w:rFonts w:hint="eastAsia" w:ascii="Times New Roman" w:hAnsi="Times New Roman" w:cs="Times New Roman"/>
                      <w:bCs/>
                      <w:color w:val="auto"/>
                      <w:szCs w:val="21"/>
                      <w:lang w:val="en-US" w:eastAsia="zh-CN"/>
                    </w:rPr>
                    <w:t>0.005</w:t>
                  </w:r>
                </w:p>
              </w:tc>
              <w:tc>
                <w:tcPr>
                  <w:tcW w:w="1489" w:type="dxa"/>
                  <w:gridSpan w:val="3"/>
                  <w:tcBorders>
                    <w:tl2br w:val="nil"/>
                    <w:tr2bl w:val="nil"/>
                  </w:tcBorders>
                  <w:noWrap/>
                  <w:vAlign w:val="center"/>
                </w:tcPr>
                <w:p w14:paraId="39E9362E">
                  <w:pPr>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w:t>
                  </w:r>
                </w:p>
              </w:tc>
              <w:tc>
                <w:tcPr>
                  <w:tcW w:w="1483" w:type="dxa"/>
                  <w:gridSpan w:val="2"/>
                  <w:tcBorders>
                    <w:tl2br w:val="nil"/>
                    <w:tr2bl w:val="nil"/>
                  </w:tcBorders>
                  <w:noWrap/>
                  <w:vAlign w:val="center"/>
                </w:tcPr>
                <w:p w14:paraId="4631860E">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w:t>
                  </w:r>
                </w:p>
              </w:tc>
            </w:tr>
            <w:tr w14:paraId="40E4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gridSpan w:val="2"/>
                  <w:vMerge w:val="continue"/>
                  <w:tcBorders>
                    <w:tl2br w:val="nil"/>
                    <w:tr2bl w:val="nil"/>
                  </w:tcBorders>
                  <w:noWrap/>
                  <w:vAlign w:val="center"/>
                </w:tcPr>
                <w:p w14:paraId="1C7AE950">
                  <w:pPr>
                    <w:jc w:val="center"/>
                    <w:rPr>
                      <w:rFonts w:hint="eastAsia" w:ascii="Times New Roman" w:hAnsi="Times New Roman" w:cs="Times New Roman"/>
                      <w:bCs/>
                      <w:color w:val="FF0000"/>
                      <w:szCs w:val="21"/>
                    </w:rPr>
                  </w:pPr>
                </w:p>
              </w:tc>
              <w:tc>
                <w:tcPr>
                  <w:tcW w:w="2467" w:type="dxa"/>
                  <w:gridSpan w:val="3"/>
                  <w:vMerge w:val="continue"/>
                  <w:tcBorders>
                    <w:tl2br w:val="nil"/>
                    <w:tr2bl w:val="nil"/>
                  </w:tcBorders>
                  <w:noWrap/>
                  <w:vAlign w:val="center"/>
                </w:tcPr>
                <w:p w14:paraId="21DC6BCD">
                  <w:pPr>
                    <w:jc w:val="center"/>
                    <w:rPr>
                      <w:rFonts w:hint="eastAsia" w:ascii="Times New Roman" w:hAnsi="Times New Roman" w:eastAsia="宋体" w:cs="Times New Roman"/>
                      <w:bCs/>
                      <w:color w:val="FF0000"/>
                      <w:szCs w:val="21"/>
                      <w:lang w:val="en-US" w:eastAsia="zh-CN"/>
                    </w:rPr>
                  </w:pPr>
                </w:p>
              </w:tc>
              <w:tc>
                <w:tcPr>
                  <w:tcW w:w="2778" w:type="dxa"/>
                  <w:gridSpan w:val="3"/>
                  <w:tcBorders>
                    <w:tl2br w:val="nil"/>
                    <w:tr2bl w:val="nil"/>
                  </w:tcBorders>
                  <w:noWrap/>
                  <w:vAlign w:val="center"/>
                </w:tcPr>
                <w:p w14:paraId="41E69200">
                  <w:pPr>
                    <w:autoSpaceDE w:val="0"/>
                    <w:autoSpaceDN w:val="0"/>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auto"/>
                      <w:szCs w:val="21"/>
                      <w:lang w:val="en-US" w:eastAsia="zh-CN"/>
                    </w:rPr>
                    <w:t>臭气浓度</w:t>
                  </w:r>
                </w:p>
              </w:tc>
              <w:tc>
                <w:tcPr>
                  <w:tcW w:w="2644" w:type="dxa"/>
                  <w:gridSpan w:val="4"/>
                  <w:tcBorders>
                    <w:tl2br w:val="nil"/>
                    <w:tr2bl w:val="nil"/>
                  </w:tcBorders>
                  <w:noWrap/>
                  <w:vAlign w:val="center"/>
                </w:tcPr>
                <w:p w14:paraId="1371221F">
                  <w:pPr>
                    <w:autoSpaceDE w:val="0"/>
                    <w:autoSpaceDN w:val="0"/>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678" w:type="dxa"/>
                  <w:gridSpan w:val="2"/>
                  <w:tcBorders>
                    <w:tl2br w:val="nil"/>
                    <w:tr2bl w:val="nil"/>
                  </w:tcBorders>
                  <w:noWrap/>
                  <w:vAlign w:val="center"/>
                </w:tcPr>
                <w:p w14:paraId="754C610C">
                  <w:pPr>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少量</w:t>
                  </w:r>
                </w:p>
              </w:tc>
              <w:tc>
                <w:tcPr>
                  <w:tcW w:w="1489" w:type="dxa"/>
                  <w:gridSpan w:val="3"/>
                  <w:tcBorders>
                    <w:tl2br w:val="nil"/>
                    <w:tr2bl w:val="nil"/>
                  </w:tcBorders>
                  <w:noWrap/>
                  <w:vAlign w:val="center"/>
                </w:tcPr>
                <w:p w14:paraId="7745145F">
                  <w:pPr>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w:t>
                  </w:r>
                </w:p>
              </w:tc>
              <w:tc>
                <w:tcPr>
                  <w:tcW w:w="1483" w:type="dxa"/>
                  <w:gridSpan w:val="2"/>
                  <w:tcBorders>
                    <w:tl2br w:val="nil"/>
                    <w:tr2bl w:val="nil"/>
                  </w:tcBorders>
                  <w:noWrap/>
                  <w:vAlign w:val="center"/>
                </w:tcPr>
                <w:p w14:paraId="3BA25786">
                  <w:pPr>
                    <w:jc w:val="center"/>
                    <w:rPr>
                      <w:rFonts w:hint="default" w:ascii="Times New Roman" w:hAnsi="Times New Roman" w:cs="Times New Roman"/>
                      <w:bCs/>
                      <w:color w:val="FF0000"/>
                      <w:szCs w:val="21"/>
                      <w:lang w:val="en-US" w:eastAsia="zh-CN"/>
                    </w:rPr>
                  </w:pPr>
                  <w:r>
                    <w:rPr>
                      <w:rFonts w:hint="eastAsia" w:ascii="Times New Roman" w:hAnsi="Times New Roman" w:cs="Times New Roman" w:eastAsiaTheme="minorEastAsia"/>
                      <w:b w:val="0"/>
                      <w:color w:val="auto"/>
                      <w:sz w:val="21"/>
                      <w:szCs w:val="21"/>
                      <w:lang w:val="en-US" w:eastAsia="zh-CN"/>
                    </w:rPr>
                    <w:t>20（无量纲）</w:t>
                  </w:r>
                </w:p>
              </w:tc>
            </w:tr>
          </w:tbl>
          <w:p w14:paraId="67A334B4">
            <w:pPr>
              <w:keepNext w:val="0"/>
              <w:keepLines w:val="0"/>
              <w:pageBreakBefore w:val="0"/>
              <w:widowControl w:val="0"/>
              <w:kinsoku/>
              <w:wordWrap/>
              <w:overflowPunct/>
              <w:topLinePunct w:val="0"/>
              <w:autoSpaceDE/>
              <w:autoSpaceDN/>
              <w:bidi w:val="0"/>
              <w:adjustRightInd/>
              <w:snapToGrid w:val="0"/>
              <w:spacing w:line="500" w:lineRule="exact"/>
              <w:textAlignment w:val="center"/>
              <w:outlineLvl w:val="9"/>
              <w:rPr>
                <w:rFonts w:ascii="Times New Roman" w:hAnsi="Times New Roman" w:eastAsia="宋体" w:cs="Times New Roman"/>
                <w:color w:val="FF0000"/>
                <w:kern w:val="0"/>
                <w:szCs w:val="21"/>
              </w:rPr>
            </w:pPr>
          </w:p>
        </w:tc>
      </w:tr>
    </w:tbl>
    <w:p w14:paraId="31FFEC99">
      <w:pPr>
        <w:widowControl/>
        <w:shd w:val="clear" w:color="auto" w:fill="FFFFFF"/>
        <w:jc w:val="center"/>
        <w:rPr>
          <w:rFonts w:hint="eastAsia" w:ascii="黑体" w:hAnsi="黑体" w:eastAsia="黑体" w:cs="宋体"/>
          <w:color w:val="FF0000"/>
          <w:spacing w:val="9"/>
          <w:kern w:val="0"/>
          <w:sz w:val="30"/>
          <w:szCs w:val="3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1"/>
      </w:tblGrid>
      <w:tr w14:paraId="2E87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7" w:hRule="atLeast"/>
          <w:jc w:val="center"/>
        </w:trPr>
        <w:tc>
          <w:tcPr>
            <w:tcW w:w="8911" w:type="dxa"/>
            <w:tcBorders>
              <w:tl2br w:val="nil"/>
              <w:tr2bl w:val="nil"/>
            </w:tcBorders>
            <w:tcMar>
              <w:top w:w="0" w:type="dxa"/>
              <w:left w:w="28" w:type="dxa"/>
              <w:bottom w:w="0" w:type="dxa"/>
              <w:right w:w="28" w:type="dxa"/>
            </w:tcMar>
            <w:vAlign w:val="center"/>
          </w:tcPr>
          <w:p w14:paraId="7928B1A5">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cs="Times New Roman"/>
                <w:b w:val="0"/>
                <w:bCs w:val="0"/>
                <w:color w:val="000000" w:themeColor="text1"/>
                <w:sz w:val="24"/>
                <w:szCs w:val="24"/>
                <w:lang w:eastAsia="zh-CN"/>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4.2.</w:t>
            </w:r>
            <w:r>
              <w:rPr>
                <w:rFonts w:hint="eastAsia" w:ascii="Times New Roman" w:hAnsi="Times New Roman" w:eastAsia="宋体" w:cs="Times New Roman"/>
                <w:b/>
                <w:color w:val="000000" w:themeColor="text1"/>
                <w:sz w:val="24"/>
                <w:lang w:val="en-US" w:eastAsia="zh-CN"/>
                <w14:textFill>
                  <w14:solidFill>
                    <w14:schemeClr w14:val="tx1"/>
                  </w14:solidFill>
                </w14:textFill>
              </w:rPr>
              <w:t>1.1</w:t>
            </w:r>
            <w:r>
              <w:rPr>
                <w:rFonts w:hint="eastAsia" w:ascii="Times New Roman" w:hAnsi="Times New Roman" w:eastAsia="宋体" w:cs="Times New Roman"/>
                <w:b/>
                <w:color w:val="000000" w:themeColor="text1"/>
                <w:sz w:val="24"/>
                <w14:textFill>
                  <w14:solidFill>
                    <w14:schemeClr w14:val="tx1"/>
                  </w14:solidFill>
                </w14:textFill>
              </w:rPr>
              <w:t>废气</w:t>
            </w:r>
            <w:r>
              <w:rPr>
                <w:rFonts w:ascii="Times New Roman" w:hAnsi="Times New Roman" w:eastAsia="宋体" w:cs="Times New Roman"/>
                <w:b/>
                <w:color w:val="000000" w:themeColor="text1"/>
                <w:sz w:val="24"/>
                <w14:textFill>
                  <w14:solidFill>
                    <w14:schemeClr w14:val="tx1"/>
                  </w14:solidFill>
                </w14:textFill>
              </w:rPr>
              <w:t>源强分析</w:t>
            </w:r>
          </w:p>
          <w:p w14:paraId="4A339303">
            <w:pPr>
              <w:spacing w:line="360" w:lineRule="auto"/>
              <w:ind w:firstLine="480" w:firstLineChars="20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eastAsia="zh-CN"/>
                <w14:textFill>
                  <w14:solidFill>
                    <w14:schemeClr w14:val="tx1"/>
                  </w14:solidFill>
                </w14:textFill>
              </w:rPr>
              <w:t>①</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焊锡废气、清洗废气</w:t>
            </w:r>
          </w:p>
          <w:p w14:paraId="08CBDF5E">
            <w:pPr>
              <w:spacing w:line="500" w:lineRule="exact"/>
              <w:ind w:firstLine="480" w:firstLineChars="200"/>
              <w:rPr>
                <w:rFonts w:hint="eastAsia"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eastAsia="zh-CN"/>
                <w14:textFill>
                  <w14:solidFill>
                    <w14:schemeClr w14:val="tx1"/>
                  </w14:solidFill>
                </w14:textFill>
              </w:rPr>
              <w:t>本项目营运期</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在焊锡过程中会产生焊锡废气，主要污染因子为颗粒物、锡及其化合物，其中锡及其化合物产生量极少，本环评仅定型分析。根据《排放源统计调查产排污核算方法和系数手册》中“39计算机、通信和其他电子设备制造业”焊接工段的产污系数，具体见表4-4。</w:t>
            </w:r>
          </w:p>
          <w:p w14:paraId="010509D1">
            <w:pPr>
              <w:adjustRightInd w:val="0"/>
              <w:snapToGrid w:val="0"/>
              <w:spacing w:line="460" w:lineRule="exact"/>
              <w:jc w:val="center"/>
              <w:rPr>
                <w:rFonts w:hint="default" w:ascii="Times New Roman" w:hAnsi="Times New Roman" w:cs="Times New Roman" w:eastAsiaTheme="minorEastAsia"/>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表</w:t>
            </w:r>
            <w:r>
              <w:rPr>
                <w:rFonts w:hint="default" w:ascii="Times New Roman" w:hAnsi="Times New Roman" w:cs="Times New Roman"/>
                <w:b/>
                <w:color w:val="000000" w:themeColor="text1"/>
                <w:szCs w:val="21"/>
                <w:lang w:val="en-US" w:eastAsia="zh-CN"/>
                <w14:textFill>
                  <w14:solidFill>
                    <w14:schemeClr w14:val="tx1"/>
                  </w14:solidFill>
                </w14:textFill>
              </w:rPr>
              <w:t>4-</w:t>
            </w:r>
            <w:r>
              <w:rPr>
                <w:rFonts w:hint="eastAsia" w:ascii="Times New Roman" w:hAnsi="Times New Roman" w:cs="Times New Roman"/>
                <w:b/>
                <w:color w:val="000000" w:themeColor="text1"/>
                <w:szCs w:val="21"/>
                <w:lang w:val="en-US" w:eastAsia="zh-CN"/>
                <w14:textFill>
                  <w14:solidFill>
                    <w14:schemeClr w14:val="tx1"/>
                  </w14:solidFill>
                </w14:textFill>
              </w:rPr>
              <w:t>4</w:t>
            </w:r>
            <w:r>
              <w:rPr>
                <w:rFonts w:hint="default" w:ascii="Times New Roman" w:hAnsi="Times New Roman" w:cs="Times New Roman"/>
                <w:b/>
                <w:color w:val="000000" w:themeColor="text1"/>
                <w:szCs w:val="21"/>
                <w14:textFill>
                  <w14:solidFill>
                    <w14:schemeClr w14:val="tx1"/>
                  </w14:solidFill>
                </w14:textFill>
              </w:rPr>
              <w:t xml:space="preserve">  </w:t>
            </w:r>
            <w:r>
              <w:rPr>
                <w:rFonts w:hint="eastAsia" w:ascii="Times New Roman" w:hAnsi="Times New Roman" w:cs="Times New Roman"/>
                <w:b/>
                <w:color w:val="000000" w:themeColor="text1"/>
                <w:szCs w:val="21"/>
                <w:lang w:val="en-US" w:eastAsia="zh-CN"/>
                <w14:textFill>
                  <w14:solidFill>
                    <w14:schemeClr w14:val="tx1"/>
                  </w14:solidFill>
                </w14:textFill>
              </w:rPr>
              <w:t>焊接工段产污系数表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90"/>
              <w:gridCol w:w="1090"/>
              <w:gridCol w:w="770"/>
              <w:gridCol w:w="980"/>
              <w:gridCol w:w="930"/>
              <w:gridCol w:w="950"/>
              <w:gridCol w:w="980"/>
              <w:gridCol w:w="1006"/>
            </w:tblGrid>
            <w:tr w14:paraId="29C5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26CC29E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工段名称</w:t>
                  </w:r>
                </w:p>
              </w:tc>
              <w:tc>
                <w:tcPr>
                  <w:tcW w:w="1090" w:type="dxa"/>
                  <w:vAlign w:val="center"/>
                </w:tcPr>
                <w:p w14:paraId="7A8A7F58">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原料名称</w:t>
                  </w:r>
                </w:p>
              </w:tc>
              <w:tc>
                <w:tcPr>
                  <w:tcW w:w="1090" w:type="dxa"/>
                  <w:vAlign w:val="center"/>
                </w:tcPr>
                <w:p w14:paraId="07738A1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工艺名称</w:t>
                  </w:r>
                </w:p>
              </w:tc>
              <w:tc>
                <w:tcPr>
                  <w:tcW w:w="770" w:type="dxa"/>
                  <w:vAlign w:val="center"/>
                </w:tcPr>
                <w:p w14:paraId="290AE2E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规模等级</w:t>
                  </w:r>
                </w:p>
              </w:tc>
              <w:tc>
                <w:tcPr>
                  <w:tcW w:w="980" w:type="dxa"/>
                  <w:vAlign w:val="center"/>
                </w:tcPr>
                <w:p w14:paraId="195D810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污染物指标</w:t>
                  </w:r>
                </w:p>
              </w:tc>
              <w:tc>
                <w:tcPr>
                  <w:tcW w:w="930" w:type="dxa"/>
                  <w:vAlign w:val="center"/>
                </w:tcPr>
                <w:p w14:paraId="15C5F34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单位</w:t>
                  </w:r>
                </w:p>
              </w:tc>
              <w:tc>
                <w:tcPr>
                  <w:tcW w:w="950" w:type="dxa"/>
                  <w:vAlign w:val="center"/>
                </w:tcPr>
                <w:p w14:paraId="3F08D23F">
                  <w:pPr>
                    <w:keepNext w:val="0"/>
                    <w:keepLines w:val="0"/>
                    <w:suppressLineNumbers w:val="0"/>
                    <w:spacing w:before="0" w:beforeAutospacing="0" w:after="0" w:afterAutospacing="0"/>
                    <w:ind w:left="0" w:right="0"/>
                    <w:jc w:val="both"/>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产污系数</w:t>
                  </w:r>
                </w:p>
              </w:tc>
              <w:tc>
                <w:tcPr>
                  <w:tcW w:w="980" w:type="dxa"/>
                  <w:vAlign w:val="center"/>
                </w:tcPr>
                <w:p w14:paraId="212AC59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本项目年用量</w:t>
                  </w:r>
                </w:p>
              </w:tc>
              <w:tc>
                <w:tcPr>
                  <w:tcW w:w="1006" w:type="dxa"/>
                  <w:vAlign w:val="center"/>
                </w:tcPr>
                <w:p w14:paraId="6364641E">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产生量</w:t>
                  </w:r>
                </w:p>
              </w:tc>
            </w:tr>
            <w:tr w14:paraId="4B00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5E2759F3">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焊接</w:t>
                  </w:r>
                </w:p>
              </w:tc>
              <w:tc>
                <w:tcPr>
                  <w:tcW w:w="1090" w:type="dxa"/>
                  <w:vAlign w:val="center"/>
                </w:tcPr>
                <w:p w14:paraId="2C2BF585">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无铅锡膏（含助焊剂）</w:t>
                  </w:r>
                </w:p>
              </w:tc>
              <w:tc>
                <w:tcPr>
                  <w:tcW w:w="1090" w:type="dxa"/>
                  <w:vAlign w:val="center"/>
                </w:tcPr>
                <w:p w14:paraId="691E2C6D">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回流焊</w:t>
                  </w:r>
                </w:p>
              </w:tc>
              <w:tc>
                <w:tcPr>
                  <w:tcW w:w="770" w:type="dxa"/>
                  <w:vAlign w:val="center"/>
                </w:tcPr>
                <w:p w14:paraId="34BF494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所有</w:t>
                  </w:r>
                </w:p>
              </w:tc>
              <w:tc>
                <w:tcPr>
                  <w:tcW w:w="980" w:type="dxa"/>
                  <w:vAlign w:val="center"/>
                </w:tcPr>
                <w:p w14:paraId="13B1B331">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颗粒物</w:t>
                  </w:r>
                </w:p>
              </w:tc>
              <w:tc>
                <w:tcPr>
                  <w:tcW w:w="930" w:type="dxa"/>
                  <w:vAlign w:val="center"/>
                </w:tcPr>
                <w:p w14:paraId="1A401330">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g/kg焊材</w:t>
                  </w:r>
                </w:p>
              </w:tc>
              <w:tc>
                <w:tcPr>
                  <w:tcW w:w="950" w:type="dxa"/>
                  <w:vAlign w:val="center"/>
                </w:tcPr>
                <w:p w14:paraId="239B9F48">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0.3638</w:t>
                  </w:r>
                </w:p>
              </w:tc>
              <w:tc>
                <w:tcPr>
                  <w:tcW w:w="980" w:type="dxa"/>
                  <w:vAlign w:val="center"/>
                </w:tcPr>
                <w:p w14:paraId="01C83E9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0.06t</w:t>
                  </w:r>
                </w:p>
              </w:tc>
              <w:tc>
                <w:tcPr>
                  <w:tcW w:w="1006" w:type="dxa"/>
                  <w:vAlign w:val="center"/>
                </w:tcPr>
                <w:p w14:paraId="213CF7F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0.022kg</w:t>
                  </w:r>
                </w:p>
              </w:tc>
            </w:tr>
            <w:tr w14:paraId="2D9C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57B90384">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焊接</w:t>
                  </w:r>
                </w:p>
              </w:tc>
              <w:tc>
                <w:tcPr>
                  <w:tcW w:w="1090" w:type="dxa"/>
                  <w:vAlign w:val="center"/>
                </w:tcPr>
                <w:p w14:paraId="606124CE">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无铅锡丝（含助焊剂）</w:t>
                  </w:r>
                </w:p>
              </w:tc>
              <w:tc>
                <w:tcPr>
                  <w:tcW w:w="1090" w:type="dxa"/>
                  <w:vAlign w:val="center"/>
                </w:tcPr>
                <w:p w14:paraId="354DB3C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手工焊</w:t>
                  </w:r>
                </w:p>
              </w:tc>
              <w:tc>
                <w:tcPr>
                  <w:tcW w:w="770" w:type="dxa"/>
                  <w:vAlign w:val="center"/>
                </w:tcPr>
                <w:p w14:paraId="55F8C52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所有</w:t>
                  </w:r>
                </w:p>
              </w:tc>
              <w:tc>
                <w:tcPr>
                  <w:tcW w:w="980" w:type="dxa"/>
                  <w:vAlign w:val="center"/>
                </w:tcPr>
                <w:p w14:paraId="78293CC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颗粒物</w:t>
                  </w:r>
                </w:p>
              </w:tc>
              <w:tc>
                <w:tcPr>
                  <w:tcW w:w="930" w:type="dxa"/>
                  <w:vAlign w:val="center"/>
                </w:tcPr>
                <w:p w14:paraId="21BE0AF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g/kg焊材</w:t>
                  </w:r>
                </w:p>
              </w:tc>
              <w:tc>
                <w:tcPr>
                  <w:tcW w:w="950" w:type="dxa"/>
                  <w:vAlign w:val="center"/>
                </w:tcPr>
                <w:p w14:paraId="43BEF25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0.4023</w:t>
                  </w:r>
                </w:p>
              </w:tc>
              <w:tc>
                <w:tcPr>
                  <w:tcW w:w="980" w:type="dxa"/>
                  <w:vAlign w:val="center"/>
                </w:tcPr>
                <w:p w14:paraId="0735222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0.015t</w:t>
                  </w:r>
                </w:p>
              </w:tc>
              <w:tc>
                <w:tcPr>
                  <w:tcW w:w="1006" w:type="dxa"/>
                  <w:vAlign w:val="center"/>
                </w:tcPr>
                <w:p w14:paraId="5A68DFD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0.006kg</w:t>
                  </w:r>
                </w:p>
              </w:tc>
            </w:tr>
            <w:tr w14:paraId="69D2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98" w:type="dxa"/>
                  <w:gridSpan w:val="8"/>
                  <w:vAlign w:val="center"/>
                </w:tcPr>
                <w:p w14:paraId="300A911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总计</w:t>
                  </w:r>
                </w:p>
              </w:tc>
              <w:tc>
                <w:tcPr>
                  <w:tcW w:w="1006" w:type="dxa"/>
                  <w:vAlign w:val="center"/>
                </w:tcPr>
                <w:p w14:paraId="035B154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0.028kg</w:t>
                  </w:r>
                </w:p>
              </w:tc>
            </w:tr>
          </w:tbl>
          <w:p w14:paraId="13CCDDE7">
            <w:pPr>
              <w:spacing w:line="500" w:lineRule="exact"/>
              <w:ind w:firstLine="480" w:firstLineChars="20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由上述内容可知，焊锡废气产生量较少，后续不再定量计算。</w:t>
            </w:r>
          </w:p>
          <w:p w14:paraId="56526BE1">
            <w:pPr>
              <w:spacing w:line="500" w:lineRule="exact"/>
              <w:ind w:firstLine="480" w:firstLineChars="200"/>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另本项目焊锡时需要使用助焊剂，由前文成分分析可知，易挥发的成分为</w:t>
            </w:r>
            <w:r>
              <w:rPr>
                <w:rFonts w:hint="eastAsia" w:ascii="Times New Roman" w:hAnsi="Times New Roman" w:cs="Times New Roman"/>
                <w:b w:val="0"/>
                <w:bCs/>
                <w:color w:val="auto"/>
                <w:kern w:val="0"/>
                <w:sz w:val="24"/>
                <w:szCs w:val="24"/>
                <w:u w:val="none"/>
                <w:lang w:val="en-US" w:eastAsia="zh-CN"/>
              </w:rPr>
              <w:t>聚乙烯聚丙烯醚45%和聚氧乙烯醚15%，本环评以全部挥发计，即</w:t>
            </w:r>
            <w:r>
              <w:rPr>
                <w:rFonts w:hint="eastAsia" w:ascii="Times New Roman" w:hAnsi="Times New Roman" w:cs="Times New Roman"/>
                <w:b w:val="0"/>
                <w:bCs w:val="0"/>
                <w:color w:val="auto"/>
                <w:sz w:val="24"/>
                <w:szCs w:val="24"/>
                <w:lang w:val="en-US" w:eastAsia="zh-CN"/>
              </w:rPr>
              <w:t>助焊剂中的挥发性有机物占比为60%，以非甲烷总烃表征，本项目助焊剂用量为0.06t/a，则非甲烷总烃产生量为0.036t/a。</w:t>
            </w:r>
          </w:p>
          <w:p w14:paraId="7554E75D">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eastAsia="zh-CN"/>
              </w:rPr>
              <w:t>本项目营运期</w:t>
            </w:r>
            <w:r>
              <w:rPr>
                <w:rFonts w:hint="eastAsia" w:ascii="Times New Roman" w:hAnsi="Times New Roman" w:cs="Times New Roman"/>
                <w:b w:val="0"/>
                <w:bCs w:val="0"/>
                <w:color w:val="auto"/>
                <w:sz w:val="24"/>
                <w:szCs w:val="24"/>
                <w:lang w:val="en-US" w:eastAsia="zh-CN"/>
              </w:rPr>
              <w:t>超声波清洗需添加清洗剂，根据前文成分分析，清洗剂中挥发量为23.5%，以非甲烷总烃表征，本项目清洗剂年用量为0.05t/a。则非甲烷总烃产生量为0.012t/a。</w:t>
            </w:r>
          </w:p>
          <w:p w14:paraId="7C244CA0">
            <w:pPr>
              <w:spacing w:line="500" w:lineRule="exact"/>
              <w:ind w:firstLine="480" w:firstLineChars="200"/>
              <w:rPr>
                <w:rFonts w:hint="eastAsia" w:ascii="Times New Roman" w:hAnsi="Times New Roman" w:cs="Times New Roman"/>
                <w:b w:val="0"/>
                <w:bCs w:val="0"/>
                <w:color w:val="FF0000"/>
                <w:sz w:val="24"/>
                <w:szCs w:val="24"/>
                <w:highlight w:val="none"/>
                <w:lang w:val="en-US" w:eastAsia="zh-CN"/>
              </w:rPr>
            </w:pPr>
            <w:r>
              <w:rPr>
                <w:rFonts w:hint="eastAsia" w:ascii="Times New Roman" w:hAnsi="Times New Roman" w:cs="Times New Roman"/>
                <w:b w:val="0"/>
                <w:bCs w:val="0"/>
                <w:color w:val="auto"/>
                <w:sz w:val="24"/>
                <w:szCs w:val="24"/>
                <w:lang w:val="en-US" w:eastAsia="zh-CN"/>
              </w:rPr>
              <w:t>本项目共设有7个焊锡工位以及1台超声波清洗机，为减少废气排放，每个焊锡工位及超声波清洗机上方均设置一个吸风罩（其中焊锡工位吸风罩尺寸为0.3m</w:t>
            </w:r>
            <w:r>
              <w:rPr>
                <w:rFonts w:hint="default" w:ascii="Arial" w:hAnsi="Arial" w:cs="Arial"/>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0.2m，共计7个；超声波清洗机吸风罩尺寸为1m</w:t>
            </w:r>
            <w:r>
              <w:rPr>
                <w:rFonts w:hint="default" w:ascii="Arial" w:hAnsi="Arial" w:cs="Arial"/>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0.5m，共计1个，风速均为0.5m/s，考虑到漏风及管道风阻，设计总风量为2000m</w:t>
            </w:r>
            <w:r>
              <w:rPr>
                <w:rFonts w:hint="eastAsia" w:ascii="Times New Roman" w:hAnsi="Times New Roman"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h）废气经收集后通过过滤棉+活性炭吸附装置处理，尾气通过不低于15m排气筒（DA001）排放。收集效率为60%，有机废气处理效率为60%，年工作时间为2400h，则非甲烷总烃有组织排放量为0.012t/a，有组织排放速率为0.005kg/h，有组织排放浓度为2.5mg/m</w:t>
            </w:r>
            <w:r>
              <w:rPr>
                <w:rFonts w:hint="eastAsia" w:ascii="Times New Roman" w:hAnsi="Times New Roman"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，无组织排放量为0.019t/a。</w:t>
            </w:r>
          </w:p>
          <w:p w14:paraId="5487EABC">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eastAsia="zh-CN"/>
              </w:rPr>
              <w:t>②</w:t>
            </w:r>
            <w:r>
              <w:rPr>
                <w:rFonts w:hint="eastAsia" w:ascii="Times New Roman" w:hAnsi="Times New Roman" w:cs="Times New Roman"/>
                <w:b w:val="0"/>
                <w:bCs w:val="0"/>
                <w:color w:val="auto"/>
                <w:sz w:val="24"/>
                <w:szCs w:val="24"/>
                <w:lang w:val="en-US" w:eastAsia="zh-CN"/>
              </w:rPr>
              <w:t>塑封废气</w:t>
            </w:r>
          </w:p>
          <w:p w14:paraId="0FE60118">
            <w:pPr>
              <w:spacing w:line="500" w:lineRule="exact"/>
              <w:ind w:firstLine="480" w:firstLineChars="200"/>
              <w:rPr>
                <w:rFonts w:hint="default" w:ascii="Times New Roman" w:hAnsi="Times New Roman"/>
                <w:color w:val="000000" w:themeColor="text1"/>
                <w:sz w:val="24"/>
                <w:shd w:val="clear"/>
                <w:lang w:val="en-US" w:eastAsia="zh-CN"/>
                <w14:textFill>
                  <w14:solidFill>
                    <w14:schemeClr w14:val="tx1"/>
                  </w14:solidFill>
                </w14:textFill>
              </w:rPr>
            </w:pPr>
            <w:r>
              <w:rPr>
                <w:rFonts w:hint="eastAsia" w:ascii="Times New Roman" w:hAnsi="Times New Roman" w:cs="Times New Roman"/>
                <w:b w:val="0"/>
                <w:bCs w:val="0"/>
                <w:color w:val="auto"/>
                <w:sz w:val="24"/>
                <w:szCs w:val="24"/>
                <w:lang w:eastAsia="zh-CN"/>
              </w:rPr>
              <w:t>本项目营运期</w:t>
            </w:r>
            <w:r>
              <w:rPr>
                <w:rFonts w:hint="eastAsia" w:ascii="Times New Roman" w:hAnsi="Times New Roman" w:cs="Times New Roman"/>
                <w:b w:val="0"/>
                <w:bCs w:val="0"/>
                <w:color w:val="auto"/>
                <w:sz w:val="24"/>
                <w:szCs w:val="24"/>
                <w:lang w:val="en-US" w:eastAsia="zh-CN"/>
              </w:rPr>
              <w:t>塑封工序即注塑成型罩壳，使用的塑料原料为BMC材料，其主要的树脂为</w:t>
            </w:r>
            <w:r>
              <w:rPr>
                <w:rFonts w:hint="eastAsia" w:ascii="Times New Roman" w:hAnsi="Times New Roman" w:cs="Times New Roman"/>
                <w:b w:val="0"/>
                <w:bCs/>
                <w:color w:val="auto"/>
                <w:kern w:val="0"/>
                <w:sz w:val="24"/>
                <w:szCs w:val="24"/>
                <w:u w:val="none"/>
                <w:lang w:val="en-US" w:eastAsia="zh-CN"/>
              </w:rPr>
              <w:fldChar w:fldCharType="begin"/>
            </w:r>
            <w:r>
              <w:rPr>
                <w:rFonts w:hint="eastAsia" w:ascii="Times New Roman" w:hAnsi="Times New Roman" w:cs="Times New Roman"/>
                <w:b w:val="0"/>
                <w:bCs/>
                <w:color w:val="auto"/>
                <w:kern w:val="0"/>
                <w:sz w:val="24"/>
                <w:szCs w:val="24"/>
                <w:u w:val="none"/>
                <w:lang w:val="en-US" w:eastAsia="zh-CN"/>
              </w:rPr>
              <w:instrText xml:space="preserve"> HYPERLINK "https://www.baidu.com/s?rsv_idx=1&amp;tn=62095104_7_oem_dg&amp;wd=%E4%B8%8D%E9%A5%B1%E5%92%8C%E8%81%9A%E9%85%AF%E6%A0%91%E8%84%82&amp;fenlei=256&amp;usm=6&amp;ie=utf-8&amp;rsv_pq=f4835cd0000757ef&amp;oq=BMC%E6%9D%90%E6%96%99&amp;rsv_t=5de9o+aGfHRp8d0iye8xh2x+5H0WCPm/R82lB6Z9lJsWVb9BwqvhxnytQhQ2Cz7BnPec29V41OM&amp;sa=re_dqa_zy&amp;icon=1" \t "https://www.baidu.com/_self" </w:instrText>
            </w:r>
            <w:r>
              <w:rPr>
                <w:rFonts w:hint="eastAsia" w:ascii="Times New Roman" w:hAnsi="Times New Roman" w:cs="Times New Roman"/>
                <w:b w:val="0"/>
                <w:bCs/>
                <w:color w:val="auto"/>
                <w:kern w:val="0"/>
                <w:sz w:val="24"/>
                <w:szCs w:val="24"/>
                <w:u w:val="none"/>
                <w:lang w:val="en-US" w:eastAsia="zh-CN"/>
              </w:rPr>
              <w:fldChar w:fldCharType="separate"/>
            </w:r>
            <w:r>
              <w:rPr>
                <w:rFonts w:hint="eastAsia" w:ascii="Times New Roman" w:hAnsi="Times New Roman" w:cs="Times New Roman"/>
                <w:b w:val="0"/>
                <w:bCs/>
                <w:color w:val="auto"/>
                <w:kern w:val="0"/>
                <w:sz w:val="24"/>
                <w:szCs w:val="24"/>
                <w:u w:val="none"/>
                <w:lang w:val="en-US" w:eastAsia="zh-CN"/>
              </w:rPr>
              <w:t>不饱和聚酯树脂</w:t>
            </w:r>
            <w:r>
              <w:rPr>
                <w:rFonts w:hint="eastAsia" w:ascii="Times New Roman" w:hAnsi="Times New Roman" w:cs="Times New Roman"/>
                <w:b w:val="0"/>
                <w:bCs/>
                <w:color w:val="auto"/>
                <w:kern w:val="0"/>
                <w:sz w:val="24"/>
                <w:szCs w:val="24"/>
                <w:u w:val="none"/>
                <w:lang w:val="en-US" w:eastAsia="zh-CN"/>
              </w:rPr>
              <w:fldChar w:fldCharType="end"/>
            </w:r>
            <w:r>
              <w:rPr>
                <w:rFonts w:hint="eastAsia" w:ascii="Times New Roman" w:hAnsi="Times New Roman" w:cs="Times New Roman"/>
                <w:b w:val="0"/>
                <w:bCs/>
                <w:color w:val="auto"/>
                <w:kern w:val="0"/>
                <w:sz w:val="24"/>
                <w:szCs w:val="24"/>
                <w:u w:val="none"/>
                <w:lang w:val="en-US" w:eastAsia="zh-CN"/>
              </w:rPr>
              <w:t>，</w:t>
            </w:r>
            <w:r>
              <w:rPr>
                <w:rFonts w:hint="eastAsia" w:ascii="Times New Roman" w:hAnsi="Times New Roman" w:cs="Times New Roman"/>
                <w:b w:val="0"/>
                <w:bCs/>
                <w:color w:val="auto"/>
                <w:kern w:val="0"/>
                <w:sz w:val="24"/>
                <w:szCs w:val="24"/>
                <w:u w:val="none"/>
                <w:lang w:val="en-US" w:eastAsia="zh-CN"/>
              </w:rPr>
              <w:fldChar w:fldCharType="begin"/>
            </w:r>
            <w:r>
              <w:rPr>
                <w:rFonts w:hint="eastAsia" w:ascii="Times New Roman" w:hAnsi="Times New Roman" w:cs="Times New Roman"/>
                <w:b w:val="0"/>
                <w:bCs/>
                <w:color w:val="auto"/>
                <w:kern w:val="0"/>
                <w:sz w:val="24"/>
                <w:szCs w:val="24"/>
                <w:u w:val="none"/>
                <w:lang w:val="en-US" w:eastAsia="zh-CN"/>
              </w:rPr>
              <w:instrText xml:space="preserve"> HYPERLINK "https://www.baidu.com/s?rsv_idx=1&amp;tn=62095104_7_oem_dg&amp;wd=%E4%B8%8D%E9%A5%B1%E5%92%8C%E8%81%9A%E9%85%AF%E6%A0%91%E8%84%82&amp;fenlei=256&amp;usm=6&amp;ie=utf-8&amp;rsv_pq=f4835cd0000757ef&amp;oq=BMC%E6%9D%90%E6%96%99&amp;rsv_t=5de9o+aGfHRp8d0iye8xh2x+5H0WCPm/R82lB6Z9lJsWVb9BwqvhxnytQhQ2Cz7BnPec29V41OM&amp;sa=re_dqa_zy&amp;icon=1" \t "https://www.baidu.com/_self" </w:instrText>
            </w:r>
            <w:r>
              <w:rPr>
                <w:rFonts w:hint="eastAsia" w:ascii="Times New Roman" w:hAnsi="Times New Roman" w:cs="Times New Roman"/>
                <w:b w:val="0"/>
                <w:bCs/>
                <w:color w:val="auto"/>
                <w:kern w:val="0"/>
                <w:sz w:val="24"/>
                <w:szCs w:val="24"/>
                <w:u w:val="none"/>
                <w:lang w:val="en-US" w:eastAsia="zh-CN"/>
              </w:rPr>
              <w:fldChar w:fldCharType="separate"/>
            </w:r>
            <w:r>
              <w:rPr>
                <w:rFonts w:hint="eastAsia" w:ascii="Times New Roman" w:hAnsi="Times New Roman" w:cs="Times New Roman"/>
                <w:b w:val="0"/>
                <w:bCs/>
                <w:color w:val="auto"/>
                <w:kern w:val="0"/>
                <w:sz w:val="24"/>
                <w:szCs w:val="24"/>
                <w:u w:val="none"/>
                <w:lang w:val="en-US" w:eastAsia="zh-CN"/>
              </w:rPr>
              <w:t>不饱和聚酯树脂</w:t>
            </w:r>
            <w:r>
              <w:rPr>
                <w:rFonts w:hint="eastAsia" w:ascii="Times New Roman" w:hAnsi="Times New Roman" w:cs="Times New Roman"/>
                <w:b w:val="0"/>
                <w:bCs/>
                <w:color w:val="auto"/>
                <w:kern w:val="0"/>
                <w:sz w:val="24"/>
                <w:szCs w:val="24"/>
                <w:u w:val="none"/>
                <w:lang w:val="en-US" w:eastAsia="zh-CN"/>
              </w:rPr>
              <w:fldChar w:fldCharType="end"/>
            </w:r>
            <w:r>
              <w:rPr>
                <w:rFonts w:hint="eastAsia" w:ascii="Times New Roman" w:hAnsi="Times New Roman" w:cs="Times New Roman"/>
                <w:b w:val="0"/>
                <w:bCs/>
                <w:color w:val="auto"/>
                <w:kern w:val="0"/>
                <w:sz w:val="24"/>
                <w:szCs w:val="24"/>
                <w:u w:val="none"/>
                <w:lang w:val="en-US" w:eastAsia="zh-CN"/>
              </w:rPr>
              <w:t>是由不饱和</w:t>
            </w:r>
            <w:r>
              <w:rPr>
                <w:rFonts w:hint="eastAsia" w:ascii="Times New Roman" w:hAnsi="Times New Roman" w:cs="Times New Roman"/>
                <w:b w:val="0"/>
                <w:bCs/>
                <w:color w:val="auto"/>
                <w:kern w:val="0"/>
                <w:sz w:val="24"/>
                <w:szCs w:val="24"/>
                <w:u w:val="none"/>
                <w:lang w:val="en-US" w:eastAsia="zh-CN"/>
              </w:rPr>
              <w:fldChar w:fldCharType="begin"/>
            </w:r>
            <w:r>
              <w:rPr>
                <w:rFonts w:hint="eastAsia" w:ascii="Times New Roman" w:hAnsi="Times New Roman" w:cs="Times New Roman"/>
                <w:b w:val="0"/>
                <w:bCs/>
                <w:color w:val="auto"/>
                <w:kern w:val="0"/>
                <w:sz w:val="24"/>
                <w:szCs w:val="24"/>
                <w:u w:val="none"/>
                <w:lang w:val="en-US" w:eastAsia="zh-CN"/>
              </w:rPr>
              <w:instrText xml:space="preserve"> HYPERLINK "https://baike.baidu.com/item/%E4%BA%8C%E5%85%83%E9%85%B8/299165?fromModule=lemma_inlink" \t "https://baike.baidu.com/item/%E4%B8%8D%E9%A5%B1%E5%92%8C%E8%81%9A%E9%85%AF%E6%A0%91%E8%84%82/_blank" </w:instrText>
            </w:r>
            <w:r>
              <w:rPr>
                <w:rFonts w:hint="eastAsia" w:ascii="Times New Roman" w:hAnsi="Times New Roman" w:cs="Times New Roman"/>
                <w:b w:val="0"/>
                <w:bCs/>
                <w:color w:val="auto"/>
                <w:kern w:val="0"/>
                <w:sz w:val="24"/>
                <w:szCs w:val="24"/>
                <w:u w:val="none"/>
                <w:lang w:val="en-US" w:eastAsia="zh-CN"/>
              </w:rPr>
              <w:fldChar w:fldCharType="separate"/>
            </w:r>
            <w:r>
              <w:rPr>
                <w:rFonts w:hint="eastAsia" w:ascii="Times New Roman" w:hAnsi="Times New Roman" w:cs="Times New Roman"/>
                <w:b w:val="0"/>
                <w:bCs/>
                <w:color w:val="auto"/>
                <w:kern w:val="0"/>
                <w:sz w:val="24"/>
                <w:szCs w:val="24"/>
                <w:u w:val="none"/>
                <w:lang w:val="en-US" w:eastAsia="zh-CN"/>
              </w:rPr>
              <w:t>二元酸</w:t>
            </w:r>
            <w:r>
              <w:rPr>
                <w:rFonts w:hint="eastAsia" w:ascii="Times New Roman" w:hAnsi="Times New Roman" w:cs="Times New Roman"/>
                <w:b w:val="0"/>
                <w:bCs/>
                <w:color w:val="auto"/>
                <w:kern w:val="0"/>
                <w:sz w:val="24"/>
                <w:szCs w:val="24"/>
                <w:u w:val="none"/>
                <w:lang w:val="en-US" w:eastAsia="zh-CN"/>
              </w:rPr>
              <w:fldChar w:fldCharType="end"/>
            </w:r>
            <w:r>
              <w:rPr>
                <w:rFonts w:hint="eastAsia" w:ascii="Times New Roman" w:hAnsi="Times New Roman" w:cs="Times New Roman"/>
                <w:b w:val="0"/>
                <w:bCs/>
                <w:color w:val="auto"/>
                <w:kern w:val="0"/>
                <w:sz w:val="24"/>
                <w:szCs w:val="24"/>
                <w:u w:val="none"/>
                <w:lang w:val="en-US" w:eastAsia="zh-CN"/>
              </w:rPr>
              <w:t>与</w:t>
            </w:r>
            <w:r>
              <w:rPr>
                <w:rFonts w:hint="eastAsia" w:ascii="Times New Roman" w:hAnsi="Times New Roman" w:cs="Times New Roman"/>
                <w:b w:val="0"/>
                <w:bCs/>
                <w:color w:val="auto"/>
                <w:kern w:val="0"/>
                <w:sz w:val="24"/>
                <w:szCs w:val="24"/>
                <w:u w:val="none"/>
                <w:lang w:val="en-US" w:eastAsia="zh-CN"/>
              </w:rPr>
              <w:fldChar w:fldCharType="begin"/>
            </w:r>
            <w:r>
              <w:rPr>
                <w:rFonts w:hint="eastAsia" w:ascii="Times New Roman" w:hAnsi="Times New Roman" w:cs="Times New Roman"/>
                <w:b w:val="0"/>
                <w:bCs/>
                <w:color w:val="auto"/>
                <w:kern w:val="0"/>
                <w:sz w:val="24"/>
                <w:szCs w:val="24"/>
                <w:u w:val="none"/>
                <w:lang w:val="en-US" w:eastAsia="zh-CN"/>
              </w:rPr>
              <w:instrText xml:space="preserve"> HYPERLINK "https://baike.baidu.com/item/%E4%BA%8C%E5%85%83%E9%86%87/8716869?fromModule=lemma_inlink" \t "https://baike.baidu.com/item/%E4%B8%8D%E9%A5%B1%E5%92%8C%E8%81%9A%E9%85%AF%E6%A0%91%E8%84%82/_blank" </w:instrText>
            </w:r>
            <w:r>
              <w:rPr>
                <w:rFonts w:hint="eastAsia" w:ascii="Times New Roman" w:hAnsi="Times New Roman" w:cs="Times New Roman"/>
                <w:b w:val="0"/>
                <w:bCs/>
                <w:color w:val="auto"/>
                <w:kern w:val="0"/>
                <w:sz w:val="24"/>
                <w:szCs w:val="24"/>
                <w:u w:val="none"/>
                <w:lang w:val="en-US" w:eastAsia="zh-CN"/>
              </w:rPr>
              <w:fldChar w:fldCharType="separate"/>
            </w:r>
            <w:r>
              <w:rPr>
                <w:rFonts w:hint="eastAsia" w:ascii="Times New Roman" w:hAnsi="Times New Roman" w:cs="Times New Roman"/>
                <w:b w:val="0"/>
                <w:bCs/>
                <w:color w:val="auto"/>
                <w:kern w:val="0"/>
                <w:sz w:val="24"/>
                <w:szCs w:val="24"/>
                <w:u w:val="none"/>
                <w:lang w:val="en-US" w:eastAsia="zh-CN"/>
              </w:rPr>
              <w:t>二元醇</w:t>
            </w:r>
            <w:r>
              <w:rPr>
                <w:rFonts w:hint="eastAsia" w:ascii="Times New Roman" w:hAnsi="Times New Roman" w:cs="Times New Roman"/>
                <w:b w:val="0"/>
                <w:bCs/>
                <w:color w:val="auto"/>
                <w:kern w:val="0"/>
                <w:sz w:val="24"/>
                <w:szCs w:val="24"/>
                <w:u w:val="none"/>
                <w:lang w:val="en-US" w:eastAsia="zh-CN"/>
              </w:rPr>
              <w:fldChar w:fldCharType="end"/>
            </w:r>
            <w:r>
              <w:rPr>
                <w:rFonts w:hint="eastAsia" w:ascii="Times New Roman" w:hAnsi="Times New Roman" w:cs="Times New Roman"/>
                <w:b w:val="0"/>
                <w:bCs/>
                <w:color w:val="auto"/>
                <w:kern w:val="0"/>
                <w:sz w:val="24"/>
                <w:szCs w:val="24"/>
                <w:u w:val="none"/>
                <w:lang w:val="en-US" w:eastAsia="zh-CN"/>
              </w:rPr>
              <w:t>或者饱和二元酸与不饱二元醇缩聚而成的，然后在190~220</w:t>
            </w:r>
            <w:r>
              <w:rPr>
                <w:rFonts w:hint="eastAsia" w:ascii="宋体" w:hAnsi="宋体" w:eastAsia="宋体" w:cs="宋体"/>
                <w:b w:val="0"/>
                <w:bCs/>
                <w:color w:val="auto"/>
                <w:kern w:val="0"/>
                <w:sz w:val="24"/>
                <w:szCs w:val="24"/>
                <w:u w:val="none"/>
                <w:lang w:val="en-US" w:eastAsia="zh-CN"/>
              </w:rPr>
              <w:t>℃</w:t>
            </w:r>
            <w:r>
              <w:rPr>
                <w:rFonts w:hint="eastAsia" w:ascii="Times New Roman" w:hAnsi="Times New Roman" w:cs="Times New Roman"/>
                <w:b w:val="0"/>
                <w:bCs/>
                <w:color w:val="auto"/>
                <w:kern w:val="0"/>
                <w:sz w:val="24"/>
                <w:szCs w:val="24"/>
                <w:u w:val="none"/>
                <w:lang w:val="en-US" w:eastAsia="zh-CN"/>
              </w:rPr>
              <w:t>计入乙烯基单体制成。在注塑加热过程中会产生一定量的有机废气，主要成分为有机烃类物质。根据《合成树脂工业污染物排放标准》（GB31572-2015）（含2024年修改单），有机废气的主要污染因子为非甲烷总烃、苯乙烯。其产生量根据</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eastAsia="zh-CN"/>
                <w14:textFill>
                  <w14:solidFill>
                    <w14:schemeClr w14:val="tx1"/>
                  </w14:solidFill>
                </w14:textFill>
              </w:rPr>
              <w:t>排放源统计调查产排污核算方法和系数手册</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塑料行业系数手册中“塑料零件及其他塑料制品制造行业系数表”</w:t>
            </w:r>
            <w:r>
              <w:rPr>
                <w:rFonts w:ascii="Times New Roman" w:hAnsi="Times New Roman"/>
                <w:color w:val="000000" w:themeColor="text1"/>
                <w:sz w:val="24"/>
                <w:shd w:val="clear"/>
                <w14:textFill>
                  <w14:solidFill>
                    <w14:schemeClr w14:val="tx1"/>
                  </w14:solidFill>
                </w14:textFill>
              </w:rPr>
              <w:t>中的</w:t>
            </w:r>
            <w:r>
              <w:rPr>
                <w:rFonts w:hint="eastAsia" w:ascii="Times New Roman" w:hAnsi="Times New Roman"/>
                <w:color w:val="000000" w:themeColor="text1"/>
                <w:sz w:val="24"/>
                <w:shd w:val="clear"/>
                <w:lang w:val="en-US" w:eastAsia="zh-CN"/>
                <w14:textFill>
                  <w14:solidFill>
                    <w14:schemeClr w14:val="tx1"/>
                  </w14:solidFill>
                </w14:textFill>
              </w:rPr>
              <w:t>挥发性有机物产污系数为2.7</w:t>
            </w:r>
            <w:r>
              <w:rPr>
                <w:rFonts w:ascii="Times New Roman" w:hAnsi="Times New Roman"/>
                <w:color w:val="000000" w:themeColor="text1"/>
                <w:sz w:val="24"/>
                <w:shd w:val="clear"/>
                <w14:textFill>
                  <w14:solidFill>
                    <w14:schemeClr w14:val="tx1"/>
                  </w14:solidFill>
                </w14:textFill>
              </w:rPr>
              <w:t>kg/t</w:t>
            </w:r>
            <w:r>
              <w:rPr>
                <w:rFonts w:hint="eastAsia" w:ascii="Times New Roman" w:hAnsi="Times New Roman"/>
                <w:color w:val="000000" w:themeColor="text1"/>
                <w:sz w:val="24"/>
                <w:shd w:val="clear"/>
                <w:lang w:val="en-US" w:eastAsia="zh-CN"/>
                <w14:textFill>
                  <w14:solidFill>
                    <w14:schemeClr w14:val="tx1"/>
                  </w14:solidFill>
                </w14:textFill>
              </w:rPr>
              <w:t>产品</w:t>
            </w:r>
            <w:r>
              <w:rPr>
                <w:rFonts w:hint="eastAsia" w:ascii="Times New Roman" w:hAnsi="Times New Roman"/>
                <w:color w:val="000000" w:themeColor="text1"/>
                <w:sz w:val="24"/>
                <w:shd w:val="clear"/>
                <w:lang w:eastAsia="zh-CN"/>
                <w14:textFill>
                  <w14:solidFill>
                    <w14:schemeClr w14:val="tx1"/>
                  </w14:solidFill>
                </w14:textFill>
              </w:rPr>
              <w:t>，</w:t>
            </w:r>
            <w:r>
              <w:rPr>
                <w:rFonts w:hint="eastAsia" w:ascii="Times New Roman" w:hAnsi="Times New Roman"/>
                <w:color w:val="000000" w:themeColor="text1"/>
                <w:sz w:val="24"/>
                <w:shd w:val="clear"/>
                <w:lang w:val="en-US" w:eastAsia="zh-CN"/>
                <w14:textFill>
                  <w14:solidFill>
                    <w14:schemeClr w14:val="tx1"/>
                  </w14:solidFill>
                </w14:textFill>
              </w:rPr>
              <w:t>本项目BMC材料年用量为20t/a，则有机废气产生量为0.054t/a。</w:t>
            </w:r>
          </w:p>
          <w:p w14:paraId="3D4AF137">
            <w:pPr>
              <w:spacing w:line="500" w:lineRule="exact"/>
              <w:ind w:firstLine="480" w:firstLineChars="200"/>
              <w:rPr>
                <w:rFonts w:hint="eastAsia" w:ascii="Times New Roman" w:hAnsi="Times New Roman" w:cs="Times New Roman"/>
                <w:b w:val="0"/>
                <w:bCs w:val="0"/>
                <w:color w:val="FF0000"/>
                <w:sz w:val="24"/>
                <w:szCs w:val="24"/>
                <w:lang w:val="en-US" w:eastAsia="zh-CN"/>
              </w:rPr>
            </w:pPr>
            <w:r>
              <w:rPr>
                <w:rFonts w:hint="eastAsia" w:ascii="Times New Roman" w:hAnsi="Times New Roman" w:cs="Times New Roman"/>
                <w:b w:val="0"/>
                <w:bCs w:val="0"/>
                <w:color w:val="auto"/>
                <w:sz w:val="24"/>
                <w:szCs w:val="24"/>
                <w:lang w:val="en-US" w:eastAsia="zh-CN"/>
              </w:rPr>
              <w:t>为减少废气排放，企业设置单独密闭车间，对车间采用整体微负压换风形式，塑封车间共计面积40m</w:t>
            </w:r>
            <w:r>
              <w:rPr>
                <w:rFonts w:hint="eastAsia" w:ascii="Times New Roman" w:hAnsi="Times New Roman" w:cs="Times New Roman"/>
                <w:b w:val="0"/>
                <w:bCs w:val="0"/>
                <w:color w:val="auto"/>
                <w:sz w:val="24"/>
                <w:szCs w:val="24"/>
                <w:vertAlign w:val="superscript"/>
                <w:lang w:val="en-US" w:eastAsia="zh-CN"/>
              </w:rPr>
              <w:t>2</w:t>
            </w:r>
            <w:r>
              <w:rPr>
                <w:rFonts w:hint="eastAsia" w:ascii="Times New Roman" w:hAnsi="Times New Roman" w:cs="Times New Roman"/>
                <w:b w:val="0"/>
                <w:bCs w:val="0"/>
                <w:color w:val="auto"/>
                <w:sz w:val="24"/>
                <w:szCs w:val="24"/>
                <w:lang w:val="en-US" w:eastAsia="zh-CN"/>
              </w:rPr>
              <w:t>，车间高度约4m，换气次数为20次/h，项目设计风量为3500m</w:t>
            </w:r>
            <w:r>
              <w:rPr>
                <w:rFonts w:hint="eastAsia" w:ascii="Times New Roman" w:hAnsi="Times New Roman"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h，废气收集后通过一套活性炭吸附装置处理，尾气通过一根不低于15m排气筒（DA002）排放。废气收集效率以90%，处理效率以60%计。年工作时间为2400h。则有机废气有组织排放量为0.019t/a，有组织排放速率为0.008kg/h，有组织排放浓度为2.3mg/m</w:t>
            </w:r>
            <w:r>
              <w:rPr>
                <w:rFonts w:hint="eastAsia" w:ascii="Times New Roman" w:hAnsi="Times New Roman"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，无组织排放量为0.005t/a。</w:t>
            </w:r>
          </w:p>
          <w:p w14:paraId="5FF49741">
            <w:pPr>
              <w:spacing w:line="500" w:lineRule="exact"/>
              <w:ind w:firstLine="480" w:firstLineChars="200"/>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本环评评价有机废气中非甲烷总烃和苯乙烯单独产排情况时，其产生量均以最大值0.054t/a计。则非甲烷总烃和苯乙烯产排情况见表4-5。</w:t>
            </w:r>
          </w:p>
          <w:p w14:paraId="0D6FADF6">
            <w:pPr>
              <w:adjustRightInd w:val="0"/>
              <w:snapToGrid w:val="0"/>
              <w:spacing w:line="460" w:lineRule="exact"/>
              <w:jc w:val="center"/>
              <w:rPr>
                <w:rFonts w:hint="default" w:ascii="Times New Roman" w:hAnsi="Times New Roman" w:cs="Times New Roman" w:eastAsiaTheme="minorEastAsia"/>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表</w:t>
            </w:r>
            <w:r>
              <w:rPr>
                <w:rFonts w:hint="default" w:ascii="Times New Roman" w:hAnsi="Times New Roman" w:cs="Times New Roman"/>
                <w:b/>
                <w:color w:val="000000" w:themeColor="text1"/>
                <w:szCs w:val="21"/>
                <w:lang w:val="en-US" w:eastAsia="zh-CN"/>
                <w14:textFill>
                  <w14:solidFill>
                    <w14:schemeClr w14:val="tx1"/>
                  </w14:solidFill>
                </w14:textFill>
              </w:rPr>
              <w:t>4-</w:t>
            </w:r>
            <w:r>
              <w:rPr>
                <w:rFonts w:hint="eastAsia" w:ascii="Times New Roman" w:hAnsi="Times New Roman" w:cs="Times New Roman"/>
                <w:b/>
                <w:color w:val="000000" w:themeColor="text1"/>
                <w:szCs w:val="21"/>
                <w:lang w:val="en-US" w:eastAsia="zh-CN"/>
                <w14:textFill>
                  <w14:solidFill>
                    <w14:schemeClr w14:val="tx1"/>
                  </w14:solidFill>
                </w14:textFill>
              </w:rPr>
              <w:t>5</w:t>
            </w:r>
            <w:r>
              <w:rPr>
                <w:rFonts w:hint="default" w:ascii="Times New Roman" w:hAnsi="Times New Roman" w:cs="Times New Roman"/>
                <w:b/>
                <w:color w:val="000000" w:themeColor="text1"/>
                <w:szCs w:val="21"/>
                <w14:textFill>
                  <w14:solidFill>
                    <w14:schemeClr w14:val="tx1"/>
                  </w14:solidFill>
                </w14:textFill>
              </w:rPr>
              <w:t xml:space="preserve">  </w:t>
            </w:r>
            <w:r>
              <w:rPr>
                <w:rFonts w:hint="eastAsia" w:ascii="Times New Roman" w:hAnsi="Times New Roman" w:cs="Times New Roman"/>
                <w:b/>
                <w:color w:val="000000" w:themeColor="text1"/>
                <w:szCs w:val="21"/>
                <w:lang w:val="en-US" w:eastAsia="zh-CN"/>
                <w14:textFill>
                  <w14:solidFill>
                    <w14:schemeClr w14:val="tx1"/>
                  </w14:solidFill>
                </w14:textFill>
              </w:rPr>
              <w:t>非甲烷总烃和苯乙烯产排情况</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22"/>
              <w:gridCol w:w="1422"/>
              <w:gridCol w:w="1005"/>
              <w:gridCol w:w="1279"/>
              <w:gridCol w:w="1213"/>
              <w:gridCol w:w="1239"/>
            </w:tblGrid>
            <w:tr w14:paraId="6B99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4" w:type="dxa"/>
                  <w:vAlign w:val="center"/>
                </w:tcPr>
                <w:p w14:paraId="72B889A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废气类型</w:t>
                  </w:r>
                </w:p>
              </w:tc>
              <w:tc>
                <w:tcPr>
                  <w:tcW w:w="1422" w:type="dxa"/>
                  <w:vAlign w:val="center"/>
                </w:tcPr>
                <w:p w14:paraId="432AE250">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污染因子</w:t>
                  </w:r>
                </w:p>
              </w:tc>
              <w:tc>
                <w:tcPr>
                  <w:tcW w:w="1422" w:type="dxa"/>
                  <w:vAlign w:val="center"/>
                </w:tcPr>
                <w:p w14:paraId="56179DD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产生量（t/a）</w:t>
                  </w:r>
                </w:p>
              </w:tc>
              <w:tc>
                <w:tcPr>
                  <w:tcW w:w="1005" w:type="dxa"/>
                  <w:vAlign w:val="center"/>
                </w:tcPr>
                <w:p w14:paraId="3F85D64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有组织排放量（t/a）</w:t>
                  </w:r>
                </w:p>
              </w:tc>
              <w:tc>
                <w:tcPr>
                  <w:tcW w:w="1279" w:type="dxa"/>
                  <w:vAlign w:val="center"/>
                </w:tcPr>
                <w:p w14:paraId="19BA1C1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有组织排放速率（kg/h）</w:t>
                  </w:r>
                </w:p>
              </w:tc>
              <w:tc>
                <w:tcPr>
                  <w:tcW w:w="1213" w:type="dxa"/>
                  <w:vAlign w:val="center"/>
                </w:tcPr>
                <w:p w14:paraId="7CB38FA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有组织排放浓度（mg/m</w:t>
                  </w:r>
                  <w:r>
                    <w:rPr>
                      <w:rFonts w:hint="eastAsia" w:ascii="Times New Roman" w:hAnsi="Times New Roman" w:cs="Times New Roman"/>
                      <w:b/>
                      <w:bCs/>
                      <w:color w:val="auto"/>
                      <w:szCs w:val="21"/>
                      <w:highlight w:val="none"/>
                      <w:vertAlign w:val="superscript"/>
                      <w:lang w:val="en-US" w:eastAsia="zh-CN"/>
                    </w:rPr>
                    <w:t>3</w:t>
                  </w:r>
                  <w:r>
                    <w:rPr>
                      <w:rFonts w:hint="eastAsia" w:ascii="Times New Roman" w:hAnsi="Times New Roman" w:cs="Times New Roman"/>
                      <w:b/>
                      <w:bCs/>
                      <w:color w:val="auto"/>
                      <w:szCs w:val="21"/>
                      <w:highlight w:val="none"/>
                      <w:lang w:val="en-US" w:eastAsia="zh-CN"/>
                    </w:rPr>
                    <w:t>）</w:t>
                  </w:r>
                </w:p>
              </w:tc>
              <w:tc>
                <w:tcPr>
                  <w:tcW w:w="1239" w:type="dxa"/>
                  <w:vAlign w:val="center"/>
                </w:tcPr>
                <w:p w14:paraId="061EBAB0">
                  <w:pPr>
                    <w:keepNext w:val="0"/>
                    <w:keepLines w:val="0"/>
                    <w:suppressLineNumbers w:val="0"/>
                    <w:spacing w:before="0" w:beforeAutospacing="0" w:after="0" w:afterAutospacing="0"/>
                    <w:ind w:left="0" w:right="0"/>
                    <w:jc w:val="both"/>
                    <w:rPr>
                      <w:rFonts w:hint="default" w:ascii="Times New Roman" w:hAnsi="Times New Roman" w:cs="Times New Roman" w:eastAsiaTheme="minorEastAsia"/>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无组织排放量（t/a）</w:t>
                  </w:r>
                </w:p>
              </w:tc>
            </w:tr>
            <w:tr w14:paraId="459C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4" w:type="dxa"/>
                  <w:vMerge w:val="restart"/>
                  <w:vAlign w:val="center"/>
                </w:tcPr>
                <w:p w14:paraId="29AA0B2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塑封废气</w:t>
                  </w:r>
                </w:p>
              </w:tc>
              <w:tc>
                <w:tcPr>
                  <w:tcW w:w="1422" w:type="dxa"/>
                  <w:vAlign w:val="center"/>
                </w:tcPr>
                <w:p w14:paraId="2C602A9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非甲烷总烃</w:t>
                  </w:r>
                </w:p>
              </w:tc>
              <w:tc>
                <w:tcPr>
                  <w:tcW w:w="1422" w:type="dxa"/>
                  <w:vAlign w:val="center"/>
                </w:tcPr>
                <w:p w14:paraId="6C4F6028">
                  <w:pPr>
                    <w:keepNext w:val="0"/>
                    <w:keepLines w:val="0"/>
                    <w:suppressLineNumbers w:val="0"/>
                    <w:spacing w:before="0" w:beforeAutospacing="0" w:after="0" w:afterAutospacing="0"/>
                    <w:ind w:left="0" w:right="0"/>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0.054</w:t>
                  </w:r>
                </w:p>
              </w:tc>
              <w:tc>
                <w:tcPr>
                  <w:tcW w:w="1005" w:type="dxa"/>
                  <w:vAlign w:val="center"/>
                </w:tcPr>
                <w:p w14:paraId="7CB07D3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0.019</w:t>
                  </w:r>
                </w:p>
              </w:tc>
              <w:tc>
                <w:tcPr>
                  <w:tcW w:w="1279" w:type="dxa"/>
                  <w:vAlign w:val="center"/>
                </w:tcPr>
                <w:p w14:paraId="6B919FF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0.008</w:t>
                  </w:r>
                </w:p>
              </w:tc>
              <w:tc>
                <w:tcPr>
                  <w:tcW w:w="1213" w:type="dxa"/>
                  <w:vAlign w:val="center"/>
                </w:tcPr>
                <w:p w14:paraId="11301B1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2.3</w:t>
                  </w:r>
                </w:p>
              </w:tc>
              <w:tc>
                <w:tcPr>
                  <w:tcW w:w="1239" w:type="dxa"/>
                  <w:vAlign w:val="center"/>
                </w:tcPr>
                <w:p w14:paraId="54DC32DD">
                  <w:pPr>
                    <w:keepNext w:val="0"/>
                    <w:keepLines w:val="0"/>
                    <w:suppressLineNumbers w:val="0"/>
                    <w:spacing w:before="0" w:beforeAutospacing="0" w:after="0" w:afterAutospacing="0"/>
                    <w:ind w:left="0" w:right="0"/>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0.005</w:t>
                  </w:r>
                </w:p>
              </w:tc>
            </w:tr>
            <w:tr w14:paraId="1468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4" w:type="dxa"/>
                  <w:vMerge w:val="continue"/>
                  <w:vAlign w:val="center"/>
                </w:tcPr>
                <w:p w14:paraId="54C53E30">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FF0000"/>
                      <w:szCs w:val="21"/>
                      <w:highlight w:val="none"/>
                      <w:lang w:val="en-US" w:eastAsia="zh-CN"/>
                    </w:rPr>
                  </w:pPr>
                </w:p>
              </w:tc>
              <w:tc>
                <w:tcPr>
                  <w:tcW w:w="1422" w:type="dxa"/>
                  <w:vAlign w:val="center"/>
                </w:tcPr>
                <w:p w14:paraId="5B9C8E0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苯乙烯</w:t>
                  </w:r>
                </w:p>
              </w:tc>
              <w:tc>
                <w:tcPr>
                  <w:tcW w:w="1422" w:type="dxa"/>
                  <w:vAlign w:val="center"/>
                </w:tcPr>
                <w:p w14:paraId="53595E8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0.054</w:t>
                  </w:r>
                </w:p>
              </w:tc>
              <w:tc>
                <w:tcPr>
                  <w:tcW w:w="1005" w:type="dxa"/>
                  <w:vAlign w:val="center"/>
                </w:tcPr>
                <w:p w14:paraId="6289AF4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Cs w:val="21"/>
                      <w:highlight w:val="none"/>
                      <w:lang w:val="en-US" w:eastAsia="zh-CN"/>
                    </w:rPr>
                  </w:pPr>
                  <w:r>
                    <w:rPr>
                      <w:rFonts w:hint="eastAsia" w:ascii="Times New Roman" w:hAnsi="Times New Roman" w:eastAsia="宋体" w:cs="Times New Roman"/>
                      <w:color w:val="auto"/>
                      <w:szCs w:val="21"/>
                      <w:highlight w:val="none"/>
                      <w:lang w:val="en-US" w:eastAsia="zh-CN"/>
                    </w:rPr>
                    <w:t>0.019</w:t>
                  </w:r>
                </w:p>
              </w:tc>
              <w:tc>
                <w:tcPr>
                  <w:tcW w:w="1279" w:type="dxa"/>
                  <w:vAlign w:val="center"/>
                </w:tcPr>
                <w:p w14:paraId="273F631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0.008</w:t>
                  </w:r>
                </w:p>
              </w:tc>
              <w:tc>
                <w:tcPr>
                  <w:tcW w:w="1213" w:type="dxa"/>
                  <w:vAlign w:val="center"/>
                </w:tcPr>
                <w:p w14:paraId="3933F3E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2.3</w:t>
                  </w:r>
                </w:p>
              </w:tc>
              <w:tc>
                <w:tcPr>
                  <w:tcW w:w="1239" w:type="dxa"/>
                  <w:vAlign w:val="center"/>
                </w:tcPr>
                <w:p w14:paraId="5AF1B02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FF0000"/>
                      <w:szCs w:val="21"/>
                      <w:highlight w:val="none"/>
                      <w:lang w:val="en-US" w:eastAsia="zh-CN"/>
                    </w:rPr>
                  </w:pPr>
                  <w:r>
                    <w:rPr>
                      <w:rFonts w:hint="eastAsia" w:ascii="Times New Roman" w:hAnsi="Times New Roman" w:cs="Times New Roman"/>
                      <w:color w:val="auto"/>
                      <w:szCs w:val="21"/>
                      <w:highlight w:val="none"/>
                      <w:lang w:val="en-US" w:eastAsia="zh-CN"/>
                    </w:rPr>
                    <w:t>0.005</w:t>
                  </w:r>
                </w:p>
              </w:tc>
            </w:tr>
          </w:tbl>
          <w:p w14:paraId="7C7B5665">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eastAsia="zh-CN"/>
              </w:rPr>
              <w:t>③</w:t>
            </w:r>
            <w:r>
              <w:rPr>
                <w:rFonts w:hint="eastAsia" w:ascii="宋体" w:hAnsi="宋体" w:eastAsia="宋体" w:cs="宋体"/>
                <w:b w:val="0"/>
                <w:bCs w:val="0"/>
                <w:color w:val="auto"/>
                <w:sz w:val="24"/>
                <w:szCs w:val="24"/>
                <w:lang w:val="en-US" w:eastAsia="zh-CN"/>
              </w:rPr>
              <w:t>其他废气</w:t>
            </w:r>
          </w:p>
          <w:p w14:paraId="72E6EB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rPr>
              <w:t>本项目VOCs物料在使用过程中有一定的刺激性气味，更多地表现为恶臭。恶臭是人们对恶臭物质所感知的一种污染指标，其主要物质种类达上万种之多。由于其各种物质之间的相互作用（相加、协同、抵消及掩饰作用等），加之人类嗅觉功能和恶臭物质取样分析等因素，迄今难以对大多数恶臭物质作出浓度标准，目前我国规定了八种恶臭污染物的一次最大排放限值、复合恶臭物质的臭气浓度限值及无组织排放源的厂界浓度限值，具体见《恶臭污染物排放标准》（GB14554-1993）。</w:t>
            </w:r>
          </w:p>
          <w:p w14:paraId="15761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imes New Roman" w:hAnsi="Times New Roman" w:eastAsia="宋体" w:cs="Times New Roman"/>
                <w:b/>
                <w:color w:val="auto"/>
                <w:sz w:val="24"/>
                <w:highlight w:val="none"/>
              </w:rPr>
            </w:pPr>
            <w:r>
              <w:rPr>
                <w:rFonts w:hint="default" w:ascii="Times New Roman" w:hAnsi="Times New Roman" w:eastAsia="宋体" w:cs="Times New Roman"/>
                <w:color w:val="auto"/>
                <w:sz w:val="24"/>
                <w:szCs w:val="24"/>
              </w:rPr>
              <w:t>类比同类型企业，排气筒出口处臭气浓度约为200（无量纲），厂界处臭气浓度约为15（无量纲）。</w:t>
            </w:r>
          </w:p>
          <w:p w14:paraId="3FB128FF">
            <w:pPr>
              <w:spacing w:line="500" w:lineRule="exact"/>
              <w:ind w:firstLine="480" w:firstLineChars="200"/>
              <w:rPr>
                <w:rFonts w:hint="default" w:ascii="Times New Roman" w:hAnsi="Times New Roman" w:cs="Times New Roman"/>
                <w:b w:val="0"/>
                <w:bCs w:val="0"/>
                <w:color w:val="auto"/>
                <w:sz w:val="24"/>
                <w:szCs w:val="24"/>
                <w:lang w:val="en-US" w:eastAsia="zh-CN"/>
              </w:rPr>
            </w:pPr>
            <w:r>
              <w:rPr>
                <w:rFonts w:hint="eastAsia" w:ascii="宋体" w:hAnsi="宋体" w:eastAsia="宋体" w:cs="宋体"/>
                <w:b w:val="0"/>
                <w:bCs w:val="0"/>
                <w:color w:val="auto"/>
                <w:sz w:val="24"/>
                <w:szCs w:val="24"/>
                <w:lang w:eastAsia="zh-CN"/>
              </w:rPr>
              <w:t>④</w:t>
            </w:r>
            <w:r>
              <w:rPr>
                <w:rFonts w:hint="eastAsia" w:ascii="宋体" w:hAnsi="宋体" w:eastAsia="宋体" w:cs="宋体"/>
                <w:b w:val="0"/>
                <w:bCs w:val="0"/>
                <w:color w:val="auto"/>
                <w:sz w:val="24"/>
                <w:szCs w:val="24"/>
                <w:lang w:val="en-US" w:eastAsia="zh-CN"/>
              </w:rPr>
              <w:t>食堂油烟废气</w:t>
            </w:r>
          </w:p>
          <w:p w14:paraId="61E5AD90">
            <w:pPr>
              <w:spacing w:line="360" w:lineRule="auto"/>
              <w:ind w:firstLine="480" w:firstLineChars="200"/>
              <w:rPr>
                <w:rFonts w:ascii="Times New Roman" w:hAnsi="Times New Roman" w:cs="Times New Roman"/>
                <w:b/>
                <w:bCs/>
                <w:color w:val="FF0000"/>
                <w:szCs w:val="21"/>
              </w:rPr>
            </w:pPr>
            <w:r>
              <w:rPr>
                <w:rFonts w:hint="eastAsia" w:ascii="Times New Roman" w:hAnsi="Times New Roman" w:cs="Times New Roman"/>
                <w:color w:val="auto"/>
                <w:sz w:val="24"/>
                <w:szCs w:val="24"/>
              </w:rPr>
              <w:t>本</w:t>
            </w:r>
            <w:r>
              <w:rPr>
                <w:rFonts w:ascii="Times New Roman" w:hAnsi="Times New Roman" w:cs="Times New Roman"/>
                <w:color w:val="auto"/>
                <w:sz w:val="24"/>
                <w:szCs w:val="24"/>
              </w:rPr>
              <w:t>项目</w:t>
            </w:r>
            <w:r>
              <w:rPr>
                <w:rFonts w:hint="eastAsia" w:ascii="Times New Roman" w:hAnsi="Times New Roman" w:cs="Times New Roman"/>
                <w:color w:val="auto"/>
                <w:sz w:val="24"/>
                <w:szCs w:val="24"/>
              </w:rPr>
              <w:t>员工</w:t>
            </w:r>
            <w:r>
              <w:rPr>
                <w:rFonts w:hint="eastAsia" w:ascii="Times New Roman" w:hAnsi="Times New Roman" w:cs="Times New Roman"/>
                <w:color w:val="auto"/>
                <w:sz w:val="24"/>
                <w:szCs w:val="24"/>
                <w:lang w:val="en-US" w:eastAsia="zh-CN"/>
              </w:rPr>
              <w:t>定员32</w:t>
            </w:r>
            <w:r>
              <w:rPr>
                <w:rFonts w:hint="eastAsia" w:ascii="Times New Roman" w:hAnsi="Times New Roman" w:cs="Times New Roman"/>
                <w:color w:val="auto"/>
                <w:sz w:val="24"/>
                <w:szCs w:val="24"/>
              </w:rPr>
              <w:t>人，</w:t>
            </w:r>
            <w:r>
              <w:rPr>
                <w:rFonts w:ascii="Times New Roman" w:hAnsi="Times New Roman"/>
                <w:color w:val="auto"/>
                <w:sz w:val="24"/>
                <w:szCs w:val="24"/>
              </w:rPr>
              <w:t>均在食堂内就餐，食堂食用油耗油系数为</w:t>
            </w:r>
            <w:r>
              <w:rPr>
                <w:rFonts w:hint="eastAsia" w:ascii="Times New Roman" w:hAnsi="Times New Roman"/>
                <w:color w:val="auto"/>
                <w:sz w:val="24"/>
                <w:szCs w:val="24"/>
                <w:lang w:val="en-US" w:eastAsia="zh-CN"/>
              </w:rPr>
              <w:t>7</w:t>
            </w:r>
            <w:r>
              <w:rPr>
                <w:rFonts w:ascii="Times New Roman" w:hAnsi="Times New Roman"/>
                <w:color w:val="auto"/>
                <w:sz w:val="24"/>
                <w:szCs w:val="24"/>
              </w:rPr>
              <w:t>kg/100人·d</w:t>
            </w:r>
            <w:r>
              <w:rPr>
                <w:rFonts w:ascii="Times New Roman" w:hAnsi="Times New Roman" w:cs="Times New Roman"/>
                <w:color w:val="auto"/>
                <w:sz w:val="24"/>
                <w:szCs w:val="24"/>
              </w:rPr>
              <w:t>，</w:t>
            </w:r>
            <w:r>
              <w:rPr>
                <w:rFonts w:ascii="Times New Roman" w:hAnsi="Times New Roman"/>
                <w:color w:val="auto"/>
                <w:sz w:val="24"/>
                <w:szCs w:val="24"/>
              </w:rPr>
              <w:t>一般油烟和油的挥发量占总耗油量的</w:t>
            </w:r>
            <w:r>
              <w:rPr>
                <w:rFonts w:hint="eastAsia" w:ascii="Times New Roman" w:hAnsi="Times New Roman"/>
                <w:color w:val="auto"/>
                <w:sz w:val="24"/>
                <w:szCs w:val="24"/>
                <w:lang w:val="en-US" w:eastAsia="zh-CN"/>
              </w:rPr>
              <w:t>2</w:t>
            </w:r>
            <w:r>
              <w:rPr>
                <w:rFonts w:ascii="Times New Roman" w:hAnsi="Times New Roman"/>
                <w:color w:val="auto"/>
                <w:sz w:val="24"/>
                <w:szCs w:val="24"/>
              </w:rPr>
              <w:t>%，则油烟的产生量为</w:t>
            </w:r>
            <w:r>
              <w:rPr>
                <w:rFonts w:hint="eastAsia" w:ascii="Times New Roman" w:hAnsi="Times New Roman"/>
                <w:color w:val="auto"/>
                <w:sz w:val="24"/>
                <w:szCs w:val="24"/>
                <w:lang w:val="en-US" w:eastAsia="zh-CN"/>
              </w:rPr>
              <w:t>13.44</w:t>
            </w:r>
            <w:r>
              <w:rPr>
                <w:rFonts w:ascii="Times New Roman" w:hAnsi="Times New Roman"/>
                <w:color w:val="auto"/>
                <w:sz w:val="24"/>
                <w:szCs w:val="24"/>
              </w:rPr>
              <w:t>kg/a（年工作天数3</w:t>
            </w:r>
            <w:r>
              <w:rPr>
                <w:rFonts w:hint="eastAsia" w:ascii="Times New Roman" w:hAnsi="Times New Roman"/>
                <w:color w:val="auto"/>
                <w:sz w:val="24"/>
                <w:szCs w:val="24"/>
              </w:rPr>
              <w:t>0</w:t>
            </w:r>
            <w:r>
              <w:rPr>
                <w:rFonts w:ascii="Times New Roman" w:hAnsi="Times New Roman"/>
                <w:color w:val="auto"/>
                <w:sz w:val="24"/>
                <w:szCs w:val="24"/>
              </w:rPr>
              <w:t>0d），</w:t>
            </w:r>
            <w:r>
              <w:rPr>
                <w:rFonts w:hint="eastAsia" w:ascii="Times New Roman" w:hAnsi="Times New Roman"/>
                <w:color w:val="auto"/>
                <w:sz w:val="24"/>
                <w:szCs w:val="24"/>
              </w:rPr>
              <w:t>食堂设有</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个灶头，日工作时间为</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h</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风量以4000m</w:t>
            </w:r>
            <w:r>
              <w:rPr>
                <w:rFonts w:hint="eastAsia" w:ascii="Times New Roman" w:hAnsi="Times New Roman"/>
                <w:color w:val="auto"/>
                <w:sz w:val="24"/>
                <w:szCs w:val="24"/>
                <w:vertAlign w:val="superscript"/>
                <w:lang w:val="en-US" w:eastAsia="zh-CN"/>
              </w:rPr>
              <w:t>3</w:t>
            </w:r>
            <w:r>
              <w:rPr>
                <w:rFonts w:hint="eastAsia" w:ascii="Times New Roman" w:hAnsi="Times New Roman"/>
                <w:color w:val="auto"/>
                <w:sz w:val="24"/>
                <w:szCs w:val="24"/>
                <w:lang w:val="en-US" w:eastAsia="zh-CN"/>
              </w:rPr>
              <w:t>/h计，产生浓度为2.8mg/m</w:t>
            </w:r>
            <w:r>
              <w:rPr>
                <w:rFonts w:hint="eastAsia" w:ascii="Times New Roman" w:hAnsi="Times New Roman"/>
                <w:color w:val="auto"/>
                <w:sz w:val="24"/>
                <w:szCs w:val="24"/>
                <w:vertAlign w:val="superscript"/>
                <w:lang w:val="en-US" w:eastAsia="zh-CN"/>
              </w:rPr>
              <w:t>3</w:t>
            </w:r>
            <w:r>
              <w:rPr>
                <w:rFonts w:hint="eastAsia" w:ascii="Times New Roman" w:hAnsi="Times New Roman"/>
                <w:color w:val="auto"/>
                <w:sz w:val="24"/>
                <w:szCs w:val="24"/>
                <w:lang w:val="en-US" w:eastAsia="zh-CN"/>
              </w:rPr>
              <w:t>。</w:t>
            </w:r>
            <w:r>
              <w:rPr>
                <w:rFonts w:ascii="Times New Roman" w:hAnsi="Times New Roman"/>
                <w:color w:val="auto"/>
                <w:sz w:val="24"/>
                <w:szCs w:val="24"/>
              </w:rPr>
              <w:t>为消除油烟对周围环境的影响，</w:t>
            </w:r>
            <w:r>
              <w:rPr>
                <w:rFonts w:hint="eastAsia" w:ascii="Times New Roman" w:hAnsi="Times New Roman"/>
                <w:color w:val="auto"/>
                <w:sz w:val="24"/>
                <w:szCs w:val="24"/>
                <w:lang w:val="en-US" w:eastAsia="zh-CN"/>
              </w:rPr>
              <w:t>经</w:t>
            </w:r>
            <w:r>
              <w:rPr>
                <w:rFonts w:ascii="Times New Roman" w:hAnsi="Times New Roman"/>
                <w:color w:val="auto"/>
                <w:sz w:val="24"/>
                <w:szCs w:val="24"/>
              </w:rPr>
              <w:t>油烟净化装置</w:t>
            </w:r>
            <w:r>
              <w:rPr>
                <w:rFonts w:hint="eastAsia" w:ascii="Times New Roman" w:hAnsi="Times New Roman"/>
                <w:color w:val="auto"/>
                <w:sz w:val="24"/>
                <w:szCs w:val="24"/>
                <w:lang w:val="en-US" w:eastAsia="zh-CN"/>
              </w:rPr>
              <w:t>收集</w:t>
            </w:r>
            <w:r>
              <w:rPr>
                <w:rFonts w:ascii="Times New Roman" w:hAnsi="Times New Roman"/>
                <w:color w:val="auto"/>
                <w:sz w:val="24"/>
                <w:szCs w:val="24"/>
              </w:rPr>
              <w:t>处理后，于</w:t>
            </w:r>
            <w:r>
              <w:rPr>
                <w:rFonts w:hint="eastAsia" w:ascii="Times New Roman" w:hAnsi="Times New Roman"/>
                <w:color w:val="auto"/>
                <w:sz w:val="24"/>
                <w:szCs w:val="24"/>
                <w:lang w:val="en-US" w:eastAsia="zh-CN"/>
              </w:rPr>
              <w:t>综合楼</w:t>
            </w:r>
            <w:r>
              <w:rPr>
                <w:rFonts w:ascii="Times New Roman" w:hAnsi="Times New Roman"/>
                <w:color w:val="auto"/>
                <w:sz w:val="24"/>
                <w:szCs w:val="24"/>
              </w:rPr>
              <w:t>屋顶排放。油烟净化器的净化效率要求在</w:t>
            </w:r>
            <w:r>
              <w:rPr>
                <w:rFonts w:hint="eastAsia" w:ascii="Times New Roman" w:hAnsi="Times New Roman"/>
                <w:color w:val="auto"/>
                <w:sz w:val="24"/>
                <w:szCs w:val="24"/>
                <w:lang w:val="en-US" w:eastAsia="zh-CN"/>
              </w:rPr>
              <w:t>60</w:t>
            </w:r>
            <w:r>
              <w:rPr>
                <w:rFonts w:ascii="Times New Roman" w:hAnsi="Times New Roman"/>
                <w:color w:val="auto"/>
                <w:sz w:val="24"/>
                <w:szCs w:val="24"/>
              </w:rPr>
              <w:t>%以上（按</w:t>
            </w:r>
            <w:r>
              <w:rPr>
                <w:rFonts w:hint="eastAsia" w:ascii="Times New Roman" w:hAnsi="Times New Roman"/>
                <w:color w:val="auto"/>
                <w:sz w:val="24"/>
                <w:szCs w:val="24"/>
                <w:lang w:val="en-US" w:eastAsia="zh-CN"/>
              </w:rPr>
              <w:t>60</w:t>
            </w:r>
            <w:r>
              <w:rPr>
                <w:rFonts w:ascii="Times New Roman" w:hAnsi="Times New Roman"/>
                <w:color w:val="auto"/>
                <w:sz w:val="24"/>
                <w:szCs w:val="24"/>
              </w:rPr>
              <w:t>%计算），则本项目油烟的排放量为</w:t>
            </w:r>
            <w:r>
              <w:rPr>
                <w:rFonts w:hint="eastAsia" w:ascii="Times New Roman" w:hAnsi="Times New Roman"/>
                <w:color w:val="auto"/>
                <w:sz w:val="24"/>
                <w:szCs w:val="24"/>
                <w:lang w:val="en-US" w:eastAsia="zh-CN"/>
              </w:rPr>
              <w:t>5.38</w:t>
            </w:r>
            <w:r>
              <w:rPr>
                <w:rFonts w:ascii="Times New Roman" w:hAnsi="Times New Roman"/>
                <w:color w:val="auto"/>
                <w:sz w:val="24"/>
                <w:szCs w:val="24"/>
              </w:rPr>
              <w:t>kg/a，排放浓度约为</w:t>
            </w:r>
            <w:r>
              <w:rPr>
                <w:rFonts w:hint="eastAsia" w:ascii="Times New Roman" w:hAnsi="Times New Roman"/>
                <w:color w:val="auto"/>
                <w:sz w:val="24"/>
                <w:szCs w:val="24"/>
                <w:lang w:val="en-US" w:eastAsia="zh-CN"/>
              </w:rPr>
              <w:t>1.12</w:t>
            </w:r>
            <w:r>
              <w:rPr>
                <w:rFonts w:ascii="Times New Roman" w:hAnsi="Times New Roman"/>
                <w:color w:val="auto"/>
                <w:sz w:val="24"/>
                <w:szCs w:val="24"/>
              </w:rPr>
              <w:t>mg/m</w:t>
            </w:r>
            <w:r>
              <w:rPr>
                <w:rFonts w:ascii="Times New Roman" w:hAnsi="Times New Roman"/>
                <w:color w:val="auto"/>
                <w:sz w:val="24"/>
                <w:szCs w:val="24"/>
                <w:vertAlign w:val="superscript"/>
              </w:rPr>
              <w:t>3</w:t>
            </w:r>
            <w:r>
              <w:rPr>
                <w:rFonts w:ascii="Times New Roman" w:hAnsi="Times New Roman"/>
                <w:color w:val="auto"/>
                <w:sz w:val="24"/>
                <w:szCs w:val="24"/>
              </w:rPr>
              <w:t>。</w:t>
            </w:r>
          </w:p>
          <w:p w14:paraId="0314E9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eastAsia" w:ascii="Times New Roman" w:hAnsi="Times New Roman" w:eastAsia="宋体" w:cs="Times New Roman"/>
                <w:b/>
                <w:color w:val="auto"/>
                <w:sz w:val="24"/>
                <w:szCs w:val="22"/>
                <w:highlight w:val="none"/>
                <w:lang w:val="en-US" w:eastAsia="zh-CN"/>
              </w:rPr>
            </w:pPr>
            <w:r>
              <w:rPr>
                <w:rFonts w:hint="eastAsia" w:ascii="Times New Roman" w:hAnsi="Times New Roman" w:eastAsia="宋体" w:cs="Times New Roman"/>
                <w:b/>
                <w:color w:val="auto"/>
                <w:sz w:val="24"/>
                <w:szCs w:val="22"/>
                <w:highlight w:val="none"/>
                <w:lang w:val="en-US" w:eastAsia="zh-CN"/>
              </w:rPr>
              <w:t>4.2.1.2废气达标排放分析</w:t>
            </w:r>
          </w:p>
          <w:p w14:paraId="2AA11492">
            <w:pPr>
              <w:spacing w:line="500" w:lineRule="exact"/>
              <w:ind w:firstLine="480" w:firstLineChars="200"/>
              <w:rPr>
                <w:rFonts w:hint="default" w:ascii="Times New Roman" w:hAnsi="Times New Roman" w:cs="Times New Roman"/>
                <w:b/>
                <w:color w:val="auto"/>
                <w:szCs w:val="21"/>
              </w:rPr>
            </w:pPr>
            <w:r>
              <w:rPr>
                <w:rFonts w:hint="default" w:ascii="Times New Roman" w:hAnsi="Times New Roman" w:cs="Times New Roman"/>
                <w:color w:val="auto"/>
                <w:sz w:val="24"/>
              </w:rPr>
              <w:t>本项目废气达标排放分析见表</w:t>
            </w:r>
            <w:r>
              <w:rPr>
                <w:rFonts w:hint="default" w:ascii="Times New Roman" w:hAnsi="Times New Roman" w:cs="Times New Roman"/>
                <w:color w:val="auto"/>
                <w:sz w:val="24"/>
                <w:lang w:val="en-US" w:eastAsia="zh-CN"/>
              </w:rPr>
              <w:t>4-</w:t>
            </w:r>
            <w:r>
              <w:rPr>
                <w:rFonts w:hint="eastAsia" w:ascii="Times New Roman" w:hAnsi="Times New Roman" w:cs="Times New Roman"/>
                <w:color w:val="auto"/>
                <w:sz w:val="24"/>
                <w:lang w:val="en-US" w:eastAsia="zh-CN"/>
              </w:rPr>
              <w:t>6</w:t>
            </w:r>
            <w:r>
              <w:rPr>
                <w:rFonts w:hint="default" w:ascii="Times New Roman" w:hAnsi="Times New Roman" w:cs="Times New Roman"/>
                <w:color w:val="auto"/>
                <w:sz w:val="24"/>
              </w:rPr>
              <w:t>。</w:t>
            </w:r>
          </w:p>
          <w:p w14:paraId="311BFB7D">
            <w:pPr>
              <w:adjustRightInd w:val="0"/>
              <w:snapToGrid w:val="0"/>
              <w:spacing w:line="4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4-</w:t>
            </w:r>
            <w:r>
              <w:rPr>
                <w:rFonts w:hint="eastAsia" w:ascii="Times New Roman" w:hAnsi="Times New Roman" w:cs="Times New Roman"/>
                <w:b/>
                <w:color w:val="auto"/>
                <w:szCs w:val="21"/>
                <w:lang w:val="en-US" w:eastAsia="zh-CN"/>
              </w:rPr>
              <w:t>6</w:t>
            </w:r>
            <w:r>
              <w:rPr>
                <w:rFonts w:hint="default" w:ascii="Times New Roman" w:hAnsi="Times New Roman" w:cs="Times New Roman"/>
                <w:b/>
                <w:color w:val="auto"/>
                <w:szCs w:val="21"/>
              </w:rPr>
              <w:t xml:space="preserve">  项目废气达标排放分析表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663"/>
              <w:gridCol w:w="700"/>
              <w:gridCol w:w="712"/>
              <w:gridCol w:w="738"/>
              <w:gridCol w:w="1437"/>
              <w:gridCol w:w="850"/>
              <w:gridCol w:w="838"/>
              <w:gridCol w:w="662"/>
              <w:gridCol w:w="1282"/>
            </w:tblGrid>
            <w:tr w14:paraId="28DF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restart"/>
                  <w:vAlign w:val="center"/>
                </w:tcPr>
                <w:p w14:paraId="551FA8E6">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污染源</w:t>
                  </w:r>
                </w:p>
              </w:tc>
              <w:tc>
                <w:tcPr>
                  <w:tcW w:w="663" w:type="dxa"/>
                  <w:vMerge w:val="restart"/>
                  <w:vAlign w:val="center"/>
                </w:tcPr>
                <w:p w14:paraId="7A9D308D">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污染物</w:t>
                  </w:r>
                </w:p>
              </w:tc>
              <w:tc>
                <w:tcPr>
                  <w:tcW w:w="2150" w:type="dxa"/>
                  <w:gridSpan w:val="3"/>
                  <w:vAlign w:val="center"/>
                </w:tcPr>
                <w:p w14:paraId="6FEBCF9A">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本项目有组织排放</w:t>
                  </w:r>
                </w:p>
              </w:tc>
              <w:tc>
                <w:tcPr>
                  <w:tcW w:w="1437" w:type="dxa"/>
                  <w:vMerge w:val="restart"/>
                  <w:vAlign w:val="center"/>
                </w:tcPr>
                <w:p w14:paraId="1FB64D41">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标准名称</w:t>
                  </w:r>
                </w:p>
              </w:tc>
              <w:tc>
                <w:tcPr>
                  <w:tcW w:w="2350" w:type="dxa"/>
                  <w:gridSpan w:val="3"/>
                  <w:vAlign w:val="center"/>
                </w:tcPr>
                <w:p w14:paraId="54F616B2">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有组织排放执行标准</w:t>
                  </w:r>
                </w:p>
              </w:tc>
              <w:tc>
                <w:tcPr>
                  <w:tcW w:w="1282" w:type="dxa"/>
                  <w:vAlign w:val="center"/>
                </w:tcPr>
                <w:p w14:paraId="6AF360B3">
                  <w:pPr>
                    <w:pStyle w:val="3"/>
                    <w:adjustRightInd w:val="0"/>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无组织排放执行标准</w:t>
                  </w:r>
                </w:p>
              </w:tc>
            </w:tr>
            <w:tr w14:paraId="7CD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continue"/>
                  <w:vAlign w:val="center"/>
                </w:tcPr>
                <w:p w14:paraId="0DD0E66A">
                  <w:pPr>
                    <w:adjustRightInd w:val="0"/>
                    <w:snapToGrid w:val="0"/>
                    <w:jc w:val="center"/>
                    <w:rPr>
                      <w:rFonts w:hint="default" w:ascii="Times New Roman" w:hAnsi="Times New Roman" w:cs="Times New Roman" w:eastAsiaTheme="minorEastAsia"/>
                      <w:b/>
                      <w:bCs/>
                      <w:color w:val="auto"/>
                      <w:szCs w:val="21"/>
                    </w:rPr>
                  </w:pPr>
                </w:p>
              </w:tc>
              <w:tc>
                <w:tcPr>
                  <w:tcW w:w="663" w:type="dxa"/>
                  <w:vMerge w:val="continue"/>
                  <w:vAlign w:val="center"/>
                </w:tcPr>
                <w:p w14:paraId="3B4A546B">
                  <w:pPr>
                    <w:adjustRightInd w:val="0"/>
                    <w:snapToGrid w:val="0"/>
                    <w:jc w:val="center"/>
                    <w:rPr>
                      <w:rFonts w:hint="default" w:ascii="Times New Roman" w:hAnsi="Times New Roman" w:cs="Times New Roman" w:eastAsiaTheme="minorEastAsia"/>
                      <w:b/>
                      <w:bCs/>
                      <w:color w:val="auto"/>
                      <w:szCs w:val="21"/>
                    </w:rPr>
                  </w:pPr>
                </w:p>
              </w:tc>
              <w:tc>
                <w:tcPr>
                  <w:tcW w:w="700" w:type="dxa"/>
                  <w:vAlign w:val="center"/>
                </w:tcPr>
                <w:p w14:paraId="27AF1071">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排放浓度（mg/m</w:t>
                  </w:r>
                  <w:r>
                    <w:rPr>
                      <w:rFonts w:hint="default" w:ascii="Times New Roman" w:hAnsi="Times New Roman" w:cs="Times New Roman" w:eastAsiaTheme="minorEastAsia"/>
                      <w:b/>
                      <w:bCs/>
                      <w:color w:val="auto"/>
                      <w:szCs w:val="21"/>
                      <w:vertAlign w:val="superscript"/>
                    </w:rPr>
                    <w:t>3</w:t>
                  </w:r>
                  <w:r>
                    <w:rPr>
                      <w:rFonts w:hint="default" w:ascii="Times New Roman" w:hAnsi="Times New Roman" w:cs="Times New Roman" w:eastAsiaTheme="minorEastAsia"/>
                      <w:b/>
                      <w:bCs/>
                      <w:color w:val="auto"/>
                      <w:szCs w:val="21"/>
                    </w:rPr>
                    <w:t>）</w:t>
                  </w:r>
                </w:p>
              </w:tc>
              <w:tc>
                <w:tcPr>
                  <w:tcW w:w="712" w:type="dxa"/>
                  <w:vAlign w:val="center"/>
                </w:tcPr>
                <w:p w14:paraId="5CF8EB98">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排放速率（kg/h）</w:t>
                  </w:r>
                </w:p>
              </w:tc>
              <w:tc>
                <w:tcPr>
                  <w:tcW w:w="738" w:type="dxa"/>
                  <w:vAlign w:val="center"/>
                </w:tcPr>
                <w:p w14:paraId="6404F69B">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排气筒高度（m）</w:t>
                  </w:r>
                </w:p>
              </w:tc>
              <w:tc>
                <w:tcPr>
                  <w:tcW w:w="1437" w:type="dxa"/>
                  <w:vMerge w:val="continue"/>
                  <w:vAlign w:val="center"/>
                </w:tcPr>
                <w:p w14:paraId="5AEADBF5">
                  <w:pPr>
                    <w:adjustRightInd w:val="0"/>
                    <w:snapToGrid w:val="0"/>
                    <w:jc w:val="center"/>
                    <w:rPr>
                      <w:rFonts w:hint="default" w:ascii="Times New Roman" w:hAnsi="Times New Roman" w:cs="Times New Roman" w:eastAsiaTheme="minorEastAsia"/>
                      <w:b/>
                      <w:bCs/>
                      <w:color w:val="auto"/>
                      <w:szCs w:val="21"/>
                    </w:rPr>
                  </w:pPr>
                </w:p>
              </w:tc>
              <w:tc>
                <w:tcPr>
                  <w:tcW w:w="850" w:type="dxa"/>
                  <w:vAlign w:val="center"/>
                </w:tcPr>
                <w:p w14:paraId="3BFDE7A0">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最高允许排放浓度（mg/m</w:t>
                  </w:r>
                  <w:r>
                    <w:rPr>
                      <w:rFonts w:hint="default" w:ascii="Times New Roman" w:hAnsi="Times New Roman" w:cs="Times New Roman" w:eastAsiaTheme="minorEastAsia"/>
                      <w:b/>
                      <w:bCs/>
                      <w:color w:val="auto"/>
                      <w:szCs w:val="21"/>
                      <w:vertAlign w:val="superscript"/>
                    </w:rPr>
                    <w:t>3</w:t>
                  </w:r>
                  <w:r>
                    <w:rPr>
                      <w:rFonts w:hint="default" w:ascii="Times New Roman" w:hAnsi="Times New Roman" w:cs="Times New Roman" w:eastAsiaTheme="minorEastAsia"/>
                      <w:b/>
                      <w:bCs/>
                      <w:color w:val="auto"/>
                      <w:szCs w:val="21"/>
                    </w:rPr>
                    <w:t>）</w:t>
                  </w:r>
                </w:p>
              </w:tc>
              <w:tc>
                <w:tcPr>
                  <w:tcW w:w="838" w:type="dxa"/>
                  <w:vAlign w:val="center"/>
                </w:tcPr>
                <w:p w14:paraId="7E9BD321">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最高允许排放速率（kg/h）</w:t>
                  </w:r>
                </w:p>
              </w:tc>
              <w:tc>
                <w:tcPr>
                  <w:tcW w:w="662" w:type="dxa"/>
                  <w:vAlign w:val="center"/>
                </w:tcPr>
                <w:p w14:paraId="67178BE6">
                  <w:pPr>
                    <w:adjustRightInd w:val="0"/>
                    <w:snapToGrid w:val="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排气筒高度（m）</w:t>
                  </w:r>
                </w:p>
              </w:tc>
              <w:tc>
                <w:tcPr>
                  <w:tcW w:w="1282" w:type="dxa"/>
                  <w:vAlign w:val="center"/>
                </w:tcPr>
                <w:p w14:paraId="128B4A73">
                  <w:pPr>
                    <w:pStyle w:val="3"/>
                    <w:adjustRightInd w:val="0"/>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企业边界无组织排放浓度限值（mg/m</w:t>
                  </w:r>
                  <w:r>
                    <w:rPr>
                      <w:rFonts w:hint="default" w:ascii="Times New Roman" w:hAnsi="Times New Roman" w:cs="Times New Roman" w:eastAsiaTheme="minorEastAsia"/>
                      <w:b/>
                      <w:bCs/>
                      <w:color w:val="auto"/>
                      <w:sz w:val="21"/>
                      <w:szCs w:val="21"/>
                      <w:vertAlign w:val="superscript"/>
                    </w:rPr>
                    <w:t>3</w:t>
                  </w:r>
                  <w:r>
                    <w:rPr>
                      <w:rFonts w:hint="default" w:ascii="Times New Roman" w:hAnsi="Times New Roman" w:cs="Times New Roman" w:eastAsiaTheme="minorEastAsia"/>
                      <w:b/>
                      <w:bCs/>
                      <w:color w:val="auto"/>
                      <w:sz w:val="21"/>
                      <w:szCs w:val="21"/>
                    </w:rPr>
                    <w:t>）</w:t>
                  </w:r>
                </w:p>
              </w:tc>
            </w:tr>
            <w:tr w14:paraId="1BC4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restart"/>
                  <w:vAlign w:val="center"/>
                </w:tcPr>
                <w:p w14:paraId="20FFF6E6">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焊锡、清洗废气DA001</w:t>
                  </w:r>
                </w:p>
              </w:tc>
              <w:tc>
                <w:tcPr>
                  <w:tcW w:w="663" w:type="dxa"/>
                  <w:vAlign w:val="center"/>
                </w:tcPr>
                <w:p w14:paraId="05D57FE6">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非甲烷总烃</w:t>
                  </w:r>
                </w:p>
              </w:tc>
              <w:tc>
                <w:tcPr>
                  <w:tcW w:w="700" w:type="dxa"/>
                  <w:vAlign w:val="center"/>
                </w:tcPr>
                <w:p w14:paraId="46CCF734">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2.5</w:t>
                  </w:r>
                </w:p>
              </w:tc>
              <w:tc>
                <w:tcPr>
                  <w:tcW w:w="712" w:type="dxa"/>
                  <w:vAlign w:val="center"/>
                </w:tcPr>
                <w:p w14:paraId="777E0945">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0.005</w:t>
                  </w:r>
                </w:p>
              </w:tc>
              <w:tc>
                <w:tcPr>
                  <w:tcW w:w="738" w:type="dxa"/>
                  <w:vMerge w:val="restart"/>
                  <w:vAlign w:val="center"/>
                </w:tcPr>
                <w:p w14:paraId="022B6956">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不低于15m</w:t>
                  </w:r>
                </w:p>
              </w:tc>
              <w:tc>
                <w:tcPr>
                  <w:tcW w:w="1437" w:type="dxa"/>
                  <w:vMerge w:val="restart"/>
                  <w:vAlign w:val="center"/>
                </w:tcPr>
                <w:p w14:paraId="3554D6BA">
                  <w:pPr>
                    <w:adjustRightInd w:val="0"/>
                    <w:snapToGrid w:val="0"/>
                    <w:rPr>
                      <w:rFonts w:hint="default" w:ascii="Times New Roman" w:hAnsi="Times New Roman" w:cs="Times New Roman" w:eastAsiaTheme="minorEastAsia"/>
                      <w:color w:val="FF0000"/>
                      <w:szCs w:val="21"/>
                      <w:lang w:val="en-US"/>
                    </w:rPr>
                  </w:pPr>
                  <w:r>
                    <w:rPr>
                      <w:rFonts w:hint="default" w:ascii="Times New Roman" w:hAnsi="Times New Roman" w:cs="Times New Roman" w:eastAsiaTheme="minorEastAsia"/>
                      <w:color w:val="auto"/>
                      <w:szCs w:val="21"/>
                      <w:lang w:val="en-US" w:eastAsia="zh-CN"/>
                    </w:rPr>
                    <w:t>《大气污染物综合排放标准》（GB16297-1996）中的“新污染源、二级标准”</w:t>
                  </w:r>
                  <w:r>
                    <w:rPr>
                      <w:rFonts w:hint="eastAsia" w:ascii="Times New Roman" w:hAnsi="Times New Roman" w:cs="Times New Roman"/>
                      <w:color w:val="auto"/>
                      <w:szCs w:val="21"/>
                      <w:lang w:val="en-US" w:eastAsia="zh-CN"/>
                    </w:rPr>
                    <w:t>；《恶臭污染物排放标准》（GB14554-93）表2标准值</w:t>
                  </w:r>
                </w:p>
              </w:tc>
              <w:tc>
                <w:tcPr>
                  <w:tcW w:w="850" w:type="dxa"/>
                  <w:vAlign w:val="center"/>
                </w:tcPr>
                <w:p w14:paraId="6FE7A216">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120</w:t>
                  </w:r>
                </w:p>
              </w:tc>
              <w:tc>
                <w:tcPr>
                  <w:tcW w:w="838" w:type="dxa"/>
                  <w:vAlign w:val="center"/>
                </w:tcPr>
                <w:p w14:paraId="125110B1">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662" w:type="dxa"/>
                  <w:vMerge w:val="restart"/>
                  <w:vAlign w:val="center"/>
                </w:tcPr>
                <w:p w14:paraId="66792421">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不低于15m</w:t>
                  </w:r>
                </w:p>
              </w:tc>
              <w:tc>
                <w:tcPr>
                  <w:tcW w:w="1282" w:type="dxa"/>
                  <w:vAlign w:val="center"/>
                </w:tcPr>
                <w:p w14:paraId="3C9F8857">
                  <w:pPr>
                    <w:pStyle w:val="3"/>
                    <w:adjustRightInd w:val="0"/>
                    <w:spacing w:line="240" w:lineRule="auto"/>
                    <w:jc w:val="center"/>
                    <w:rPr>
                      <w:rFonts w:hint="default" w:ascii="Times New Roman" w:hAnsi="Times New Roman" w:cs="Times New Roman" w:eastAsiaTheme="minorEastAsia"/>
                      <w:b w:val="0"/>
                      <w:color w:val="auto"/>
                      <w:sz w:val="21"/>
                      <w:szCs w:val="21"/>
                      <w:lang w:val="en-US" w:eastAsia="zh-CN"/>
                    </w:rPr>
                  </w:pPr>
                  <w:r>
                    <w:rPr>
                      <w:rFonts w:hint="eastAsia" w:ascii="Times New Roman" w:hAnsi="Times New Roman" w:cs="Times New Roman" w:eastAsiaTheme="minorEastAsia"/>
                      <w:b w:val="0"/>
                      <w:color w:val="auto"/>
                      <w:sz w:val="21"/>
                      <w:szCs w:val="21"/>
                      <w:lang w:val="en-US" w:eastAsia="zh-CN"/>
                    </w:rPr>
                    <w:t>4.0</w:t>
                  </w:r>
                </w:p>
              </w:tc>
            </w:tr>
            <w:tr w14:paraId="190A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continue"/>
                  <w:vAlign w:val="center"/>
                </w:tcPr>
                <w:p w14:paraId="2FB2772A">
                  <w:pPr>
                    <w:adjustRightInd w:val="0"/>
                    <w:snapToGrid w:val="0"/>
                    <w:jc w:val="center"/>
                    <w:rPr>
                      <w:rFonts w:hint="eastAsia" w:ascii="Times New Roman" w:hAnsi="Times New Roman" w:cs="Times New Roman"/>
                      <w:color w:val="auto"/>
                      <w:szCs w:val="21"/>
                      <w:lang w:val="en-US" w:eastAsia="zh-CN"/>
                    </w:rPr>
                  </w:pPr>
                </w:p>
              </w:tc>
              <w:tc>
                <w:tcPr>
                  <w:tcW w:w="663" w:type="dxa"/>
                  <w:vAlign w:val="center"/>
                </w:tcPr>
                <w:p w14:paraId="459F76A0">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臭气浓度</w:t>
                  </w:r>
                </w:p>
              </w:tc>
              <w:tc>
                <w:tcPr>
                  <w:tcW w:w="700" w:type="dxa"/>
                  <w:vAlign w:val="center"/>
                </w:tcPr>
                <w:p w14:paraId="378BE4B9">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200（无量纲）</w:t>
                  </w:r>
                </w:p>
              </w:tc>
              <w:tc>
                <w:tcPr>
                  <w:tcW w:w="712" w:type="dxa"/>
                  <w:vAlign w:val="center"/>
                </w:tcPr>
                <w:p w14:paraId="4286C443">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738" w:type="dxa"/>
                  <w:vMerge w:val="continue"/>
                  <w:vAlign w:val="center"/>
                </w:tcPr>
                <w:p w14:paraId="051591C8">
                  <w:pPr>
                    <w:adjustRightInd w:val="0"/>
                    <w:snapToGrid w:val="0"/>
                    <w:jc w:val="center"/>
                    <w:rPr>
                      <w:rFonts w:hint="eastAsia" w:ascii="Times New Roman" w:hAnsi="Times New Roman" w:cs="Times New Roman"/>
                      <w:color w:val="auto"/>
                      <w:szCs w:val="21"/>
                      <w:lang w:val="en-US" w:eastAsia="zh-CN"/>
                    </w:rPr>
                  </w:pPr>
                </w:p>
              </w:tc>
              <w:tc>
                <w:tcPr>
                  <w:tcW w:w="1437" w:type="dxa"/>
                  <w:vMerge w:val="continue"/>
                  <w:vAlign w:val="center"/>
                </w:tcPr>
                <w:p w14:paraId="4C01DA2D">
                  <w:pPr>
                    <w:adjustRightInd w:val="0"/>
                    <w:snapToGrid w:val="0"/>
                    <w:rPr>
                      <w:rFonts w:hint="default" w:ascii="Times New Roman" w:hAnsi="Times New Roman" w:cs="Times New Roman" w:eastAsiaTheme="minorEastAsia"/>
                      <w:color w:val="FF0000"/>
                      <w:szCs w:val="21"/>
                      <w:lang w:val="en-US"/>
                    </w:rPr>
                  </w:pPr>
                </w:p>
              </w:tc>
              <w:tc>
                <w:tcPr>
                  <w:tcW w:w="850" w:type="dxa"/>
                  <w:vAlign w:val="center"/>
                </w:tcPr>
                <w:p w14:paraId="456BAFE5">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olor w:val="auto"/>
                      <w:sz w:val="21"/>
                      <w:szCs w:val="21"/>
                      <w:lang w:val="en-US" w:eastAsia="zh-CN"/>
                    </w:rPr>
                    <w:t>2000（无量纲）</w:t>
                  </w:r>
                </w:p>
              </w:tc>
              <w:tc>
                <w:tcPr>
                  <w:tcW w:w="838" w:type="dxa"/>
                  <w:vAlign w:val="center"/>
                </w:tcPr>
                <w:p w14:paraId="33B19ED8">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662" w:type="dxa"/>
                  <w:vMerge w:val="continue"/>
                  <w:vAlign w:val="center"/>
                </w:tcPr>
                <w:p w14:paraId="3DE6F1D7">
                  <w:pPr>
                    <w:adjustRightInd w:val="0"/>
                    <w:snapToGrid w:val="0"/>
                    <w:jc w:val="center"/>
                    <w:rPr>
                      <w:rFonts w:hint="eastAsia" w:ascii="Times New Roman" w:hAnsi="Times New Roman" w:cs="Times New Roman"/>
                      <w:color w:val="auto"/>
                      <w:szCs w:val="21"/>
                      <w:lang w:val="en-US" w:eastAsia="zh-CN"/>
                    </w:rPr>
                  </w:pPr>
                </w:p>
              </w:tc>
              <w:tc>
                <w:tcPr>
                  <w:tcW w:w="1282" w:type="dxa"/>
                  <w:vAlign w:val="center"/>
                </w:tcPr>
                <w:p w14:paraId="571BEAED">
                  <w:pPr>
                    <w:pStyle w:val="3"/>
                    <w:adjustRightInd w:val="0"/>
                    <w:spacing w:line="240" w:lineRule="auto"/>
                    <w:jc w:val="center"/>
                    <w:rPr>
                      <w:rFonts w:hint="eastAsia" w:ascii="Times New Roman" w:hAnsi="Times New Roman" w:cs="Times New Roman" w:eastAsiaTheme="minorEastAsia"/>
                      <w:b w:val="0"/>
                      <w:color w:val="auto"/>
                      <w:sz w:val="21"/>
                      <w:szCs w:val="21"/>
                      <w:lang w:val="en-US" w:eastAsia="zh-CN"/>
                    </w:rPr>
                  </w:pPr>
                  <w:r>
                    <w:rPr>
                      <w:rFonts w:hint="eastAsia" w:ascii="Times New Roman" w:hAnsi="Times New Roman" w:cs="Times New Roman" w:eastAsiaTheme="minorEastAsia"/>
                      <w:b w:val="0"/>
                      <w:color w:val="auto"/>
                      <w:sz w:val="21"/>
                      <w:szCs w:val="21"/>
                      <w:lang w:val="en-US" w:eastAsia="zh-CN"/>
                    </w:rPr>
                    <w:t>20（无量纲）</w:t>
                  </w:r>
                </w:p>
              </w:tc>
            </w:tr>
            <w:tr w14:paraId="59E8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restart"/>
                  <w:vAlign w:val="center"/>
                </w:tcPr>
                <w:p w14:paraId="48CA2941">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塑封废气DA002</w:t>
                  </w:r>
                </w:p>
              </w:tc>
              <w:tc>
                <w:tcPr>
                  <w:tcW w:w="663" w:type="dxa"/>
                  <w:vAlign w:val="center"/>
                </w:tcPr>
                <w:p w14:paraId="24D36718">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非甲烷总烃</w:t>
                  </w:r>
                </w:p>
              </w:tc>
              <w:tc>
                <w:tcPr>
                  <w:tcW w:w="700" w:type="dxa"/>
                  <w:vAlign w:val="center"/>
                </w:tcPr>
                <w:p w14:paraId="63CF3715">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2.3</w:t>
                  </w:r>
                </w:p>
              </w:tc>
              <w:tc>
                <w:tcPr>
                  <w:tcW w:w="712" w:type="dxa"/>
                  <w:vAlign w:val="center"/>
                </w:tcPr>
                <w:p w14:paraId="46CA1B0D">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0.008</w:t>
                  </w:r>
                </w:p>
              </w:tc>
              <w:tc>
                <w:tcPr>
                  <w:tcW w:w="738" w:type="dxa"/>
                  <w:vMerge w:val="restart"/>
                  <w:vAlign w:val="center"/>
                </w:tcPr>
                <w:p w14:paraId="42CBB7CD">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不低于15m</w:t>
                  </w:r>
                </w:p>
              </w:tc>
              <w:tc>
                <w:tcPr>
                  <w:tcW w:w="1437" w:type="dxa"/>
                  <w:vMerge w:val="restart"/>
                  <w:vAlign w:val="center"/>
                </w:tcPr>
                <w:p w14:paraId="73E7F35F">
                  <w:pPr>
                    <w:adjustRightInd w:val="0"/>
                    <w:snapToGrid w:val="0"/>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eastAsiaTheme="minorEastAsia"/>
                      <w:color w:val="auto"/>
                      <w:szCs w:val="21"/>
                      <w:lang w:val="en-US" w:eastAsia="zh-CN"/>
                    </w:rPr>
                    <w:t>《合成树脂工业污染物排放标准》（GB31572-2015）</w:t>
                  </w:r>
                  <w:r>
                    <w:rPr>
                      <w:rFonts w:hint="eastAsia" w:ascii="Times New Roman" w:hAnsi="Times New Roman" w:cs="Times New Roman"/>
                      <w:color w:val="auto"/>
                      <w:szCs w:val="21"/>
                      <w:lang w:val="en-US" w:eastAsia="zh-CN"/>
                    </w:rPr>
                    <w:t>（含2024年修改单）</w:t>
                  </w:r>
                  <w:r>
                    <w:rPr>
                      <w:rFonts w:hint="eastAsia" w:ascii="Times New Roman" w:hAnsi="Times New Roman" w:cs="Times New Roman" w:eastAsiaTheme="minorEastAsia"/>
                      <w:color w:val="auto"/>
                      <w:szCs w:val="21"/>
                      <w:lang w:val="en-US" w:eastAsia="zh-CN"/>
                    </w:rPr>
                    <w:t>表5的标准限值要求</w:t>
                  </w:r>
                  <w:r>
                    <w:rPr>
                      <w:rFonts w:hint="eastAsia" w:ascii="Times New Roman" w:hAnsi="Times New Roman" w:cs="Times New Roman"/>
                      <w:color w:val="auto"/>
                      <w:szCs w:val="21"/>
                      <w:lang w:val="en-US" w:eastAsia="zh-CN"/>
                    </w:rPr>
                    <w:t>；《关于印发&lt;湖州市木业、漆包线及塑料行业废气整治规范&gt;的通知》要求的限值 1000（无量纲）</w:t>
                  </w:r>
                </w:p>
              </w:tc>
              <w:tc>
                <w:tcPr>
                  <w:tcW w:w="850" w:type="dxa"/>
                  <w:vAlign w:val="center"/>
                </w:tcPr>
                <w:p w14:paraId="21C8003C">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60</w:t>
                  </w:r>
                </w:p>
              </w:tc>
              <w:tc>
                <w:tcPr>
                  <w:tcW w:w="838" w:type="dxa"/>
                  <w:vAlign w:val="center"/>
                </w:tcPr>
                <w:p w14:paraId="37E13A3A">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662" w:type="dxa"/>
                  <w:vMerge w:val="restart"/>
                  <w:vAlign w:val="center"/>
                </w:tcPr>
                <w:p w14:paraId="6071AEAF">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不低于15m</w:t>
                  </w:r>
                </w:p>
              </w:tc>
              <w:tc>
                <w:tcPr>
                  <w:tcW w:w="1282" w:type="dxa"/>
                  <w:vAlign w:val="center"/>
                </w:tcPr>
                <w:p w14:paraId="63318317">
                  <w:pPr>
                    <w:pStyle w:val="3"/>
                    <w:adjustRightInd w:val="0"/>
                    <w:spacing w:line="240" w:lineRule="auto"/>
                    <w:jc w:val="center"/>
                    <w:rPr>
                      <w:rFonts w:hint="default" w:ascii="Times New Roman" w:hAnsi="Times New Roman" w:cs="Times New Roman" w:eastAsiaTheme="minorEastAsia"/>
                      <w:b w:val="0"/>
                      <w:color w:val="auto"/>
                      <w:sz w:val="21"/>
                      <w:szCs w:val="21"/>
                      <w:lang w:val="en-US" w:eastAsia="zh-CN"/>
                    </w:rPr>
                  </w:pPr>
                  <w:r>
                    <w:rPr>
                      <w:rFonts w:hint="eastAsia" w:ascii="Times New Roman" w:hAnsi="Times New Roman" w:cs="Times New Roman" w:eastAsiaTheme="minorEastAsia"/>
                      <w:b w:val="0"/>
                      <w:color w:val="auto"/>
                      <w:sz w:val="21"/>
                      <w:szCs w:val="21"/>
                      <w:lang w:val="en-US" w:eastAsia="zh-CN"/>
                    </w:rPr>
                    <w:t>4.0</w:t>
                  </w:r>
                </w:p>
              </w:tc>
            </w:tr>
            <w:tr w14:paraId="74F9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continue"/>
                  <w:vAlign w:val="center"/>
                </w:tcPr>
                <w:p w14:paraId="6EAE5A86">
                  <w:pPr>
                    <w:adjustRightInd w:val="0"/>
                    <w:snapToGrid w:val="0"/>
                    <w:jc w:val="center"/>
                    <w:rPr>
                      <w:rFonts w:hint="eastAsia" w:ascii="Times New Roman" w:hAnsi="Times New Roman" w:cs="Times New Roman"/>
                      <w:color w:val="FF0000"/>
                      <w:szCs w:val="21"/>
                      <w:lang w:val="en-US" w:eastAsia="zh-CN"/>
                    </w:rPr>
                  </w:pPr>
                </w:p>
              </w:tc>
              <w:tc>
                <w:tcPr>
                  <w:tcW w:w="663" w:type="dxa"/>
                  <w:vAlign w:val="center"/>
                </w:tcPr>
                <w:p w14:paraId="481A4272">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苯乙烯</w:t>
                  </w:r>
                </w:p>
              </w:tc>
              <w:tc>
                <w:tcPr>
                  <w:tcW w:w="700" w:type="dxa"/>
                  <w:vAlign w:val="center"/>
                </w:tcPr>
                <w:p w14:paraId="11059BE6">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2.3</w:t>
                  </w:r>
                </w:p>
              </w:tc>
              <w:tc>
                <w:tcPr>
                  <w:tcW w:w="712" w:type="dxa"/>
                  <w:vAlign w:val="center"/>
                </w:tcPr>
                <w:p w14:paraId="40A09387">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0.008</w:t>
                  </w:r>
                </w:p>
              </w:tc>
              <w:tc>
                <w:tcPr>
                  <w:tcW w:w="738" w:type="dxa"/>
                  <w:vMerge w:val="continue"/>
                  <w:vAlign w:val="center"/>
                </w:tcPr>
                <w:p w14:paraId="77BC6822">
                  <w:pPr>
                    <w:adjustRightInd w:val="0"/>
                    <w:snapToGrid w:val="0"/>
                    <w:jc w:val="center"/>
                    <w:rPr>
                      <w:rFonts w:hint="eastAsia" w:ascii="Times New Roman" w:hAnsi="Times New Roman" w:cs="Times New Roman"/>
                      <w:color w:val="auto"/>
                      <w:szCs w:val="21"/>
                      <w:lang w:val="en-US" w:eastAsia="zh-CN"/>
                    </w:rPr>
                  </w:pPr>
                </w:p>
              </w:tc>
              <w:tc>
                <w:tcPr>
                  <w:tcW w:w="1437" w:type="dxa"/>
                  <w:vMerge w:val="continue"/>
                  <w:vAlign w:val="center"/>
                </w:tcPr>
                <w:p w14:paraId="6F9C278B">
                  <w:pPr>
                    <w:adjustRightInd w:val="0"/>
                    <w:snapToGrid w:val="0"/>
                    <w:rPr>
                      <w:rFonts w:hint="default" w:ascii="Times New Roman" w:hAnsi="Times New Roman" w:cs="Times New Roman" w:eastAsiaTheme="minorEastAsia"/>
                      <w:color w:val="FF0000"/>
                      <w:szCs w:val="21"/>
                      <w:lang w:val="en-US" w:eastAsia="zh-CN"/>
                    </w:rPr>
                  </w:pPr>
                </w:p>
              </w:tc>
              <w:tc>
                <w:tcPr>
                  <w:tcW w:w="850" w:type="dxa"/>
                  <w:vAlign w:val="center"/>
                </w:tcPr>
                <w:p w14:paraId="7193A30D">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w:t>
                  </w:r>
                </w:p>
              </w:tc>
              <w:tc>
                <w:tcPr>
                  <w:tcW w:w="838" w:type="dxa"/>
                  <w:vAlign w:val="center"/>
                </w:tcPr>
                <w:p w14:paraId="4F364FEE">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662" w:type="dxa"/>
                  <w:vMerge w:val="continue"/>
                  <w:vAlign w:val="center"/>
                </w:tcPr>
                <w:p w14:paraId="737B803B">
                  <w:pPr>
                    <w:adjustRightInd w:val="0"/>
                    <w:snapToGrid w:val="0"/>
                    <w:jc w:val="center"/>
                    <w:rPr>
                      <w:rFonts w:hint="eastAsia" w:ascii="Times New Roman" w:hAnsi="Times New Roman" w:cs="Times New Roman"/>
                      <w:color w:val="auto"/>
                      <w:szCs w:val="21"/>
                      <w:lang w:val="en-US" w:eastAsia="zh-CN"/>
                    </w:rPr>
                  </w:pPr>
                </w:p>
              </w:tc>
              <w:tc>
                <w:tcPr>
                  <w:tcW w:w="1282" w:type="dxa"/>
                  <w:vAlign w:val="center"/>
                </w:tcPr>
                <w:p w14:paraId="532C1BF6">
                  <w:pPr>
                    <w:pStyle w:val="3"/>
                    <w:adjustRightInd w:val="0"/>
                    <w:spacing w:line="240" w:lineRule="auto"/>
                    <w:jc w:val="center"/>
                    <w:rPr>
                      <w:rFonts w:hint="default" w:ascii="Times New Roman" w:hAnsi="Times New Roman" w:cs="Times New Roman" w:eastAsiaTheme="minorEastAsia"/>
                      <w:b w:val="0"/>
                      <w:color w:val="auto"/>
                      <w:sz w:val="21"/>
                      <w:szCs w:val="21"/>
                      <w:lang w:val="en-US" w:eastAsia="zh-CN"/>
                    </w:rPr>
                  </w:pPr>
                  <w:r>
                    <w:rPr>
                      <w:rFonts w:hint="eastAsia" w:ascii="Times New Roman" w:hAnsi="Times New Roman" w:cs="Times New Roman" w:eastAsiaTheme="minorEastAsia"/>
                      <w:b w:val="0"/>
                      <w:color w:val="auto"/>
                      <w:sz w:val="21"/>
                      <w:szCs w:val="21"/>
                      <w:lang w:val="en-US" w:eastAsia="zh-CN"/>
                    </w:rPr>
                    <w:t>/</w:t>
                  </w:r>
                </w:p>
              </w:tc>
            </w:tr>
            <w:tr w14:paraId="1677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Merge w:val="continue"/>
                  <w:vAlign w:val="center"/>
                </w:tcPr>
                <w:p w14:paraId="3EA5E668">
                  <w:pPr>
                    <w:adjustRightInd w:val="0"/>
                    <w:snapToGrid w:val="0"/>
                    <w:jc w:val="center"/>
                    <w:rPr>
                      <w:rFonts w:hint="eastAsia" w:ascii="Times New Roman" w:hAnsi="Times New Roman" w:cs="Times New Roman"/>
                      <w:color w:val="FF0000"/>
                      <w:szCs w:val="21"/>
                      <w:lang w:val="en-US" w:eastAsia="zh-CN"/>
                    </w:rPr>
                  </w:pPr>
                </w:p>
              </w:tc>
              <w:tc>
                <w:tcPr>
                  <w:tcW w:w="663" w:type="dxa"/>
                  <w:vAlign w:val="center"/>
                </w:tcPr>
                <w:p w14:paraId="7DD560D6">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臭气浓度</w:t>
                  </w:r>
                </w:p>
              </w:tc>
              <w:tc>
                <w:tcPr>
                  <w:tcW w:w="700" w:type="dxa"/>
                  <w:vAlign w:val="center"/>
                </w:tcPr>
                <w:p w14:paraId="03B392AB">
                  <w:pPr>
                    <w:adjustRightInd w:val="0"/>
                    <w:snapToGrid w:val="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200（无量纲）</w:t>
                  </w:r>
                </w:p>
              </w:tc>
              <w:tc>
                <w:tcPr>
                  <w:tcW w:w="712" w:type="dxa"/>
                  <w:vAlign w:val="center"/>
                </w:tcPr>
                <w:p w14:paraId="2D6BAC0F">
                  <w:pPr>
                    <w:adjustRightInd w:val="0"/>
                    <w:snapToGrid w:val="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w:t>
                  </w:r>
                </w:p>
              </w:tc>
              <w:tc>
                <w:tcPr>
                  <w:tcW w:w="738" w:type="dxa"/>
                  <w:vMerge w:val="continue"/>
                  <w:vAlign w:val="center"/>
                </w:tcPr>
                <w:p w14:paraId="444394C2">
                  <w:pPr>
                    <w:adjustRightInd w:val="0"/>
                    <w:snapToGrid w:val="0"/>
                    <w:jc w:val="center"/>
                    <w:rPr>
                      <w:rFonts w:hint="eastAsia" w:ascii="Times New Roman" w:hAnsi="Times New Roman" w:cs="Times New Roman"/>
                      <w:color w:val="auto"/>
                      <w:szCs w:val="21"/>
                      <w:lang w:val="en-US" w:eastAsia="zh-CN"/>
                    </w:rPr>
                  </w:pPr>
                </w:p>
              </w:tc>
              <w:tc>
                <w:tcPr>
                  <w:tcW w:w="1437" w:type="dxa"/>
                  <w:vMerge w:val="continue"/>
                  <w:vAlign w:val="center"/>
                </w:tcPr>
                <w:p w14:paraId="14571C74">
                  <w:pPr>
                    <w:adjustRightInd w:val="0"/>
                    <w:snapToGrid w:val="0"/>
                    <w:rPr>
                      <w:rFonts w:hint="default" w:ascii="Times New Roman" w:hAnsi="Times New Roman" w:cs="Times New Roman" w:eastAsiaTheme="minorEastAsia"/>
                      <w:color w:val="FF0000"/>
                      <w:szCs w:val="21"/>
                      <w:lang w:val="en-US" w:eastAsia="zh-CN"/>
                    </w:rPr>
                  </w:pPr>
                </w:p>
              </w:tc>
              <w:tc>
                <w:tcPr>
                  <w:tcW w:w="850" w:type="dxa"/>
                  <w:vAlign w:val="center"/>
                </w:tcPr>
                <w:p w14:paraId="76421DA6">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olor w:val="auto"/>
                      <w:sz w:val="21"/>
                      <w:szCs w:val="21"/>
                      <w:lang w:val="en-US" w:eastAsia="zh-CN"/>
                    </w:rPr>
                    <w:t>1000（无量纲）</w:t>
                  </w:r>
                </w:p>
              </w:tc>
              <w:tc>
                <w:tcPr>
                  <w:tcW w:w="838" w:type="dxa"/>
                  <w:vAlign w:val="center"/>
                </w:tcPr>
                <w:p w14:paraId="5CF9BD94">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662" w:type="dxa"/>
                  <w:vMerge w:val="continue"/>
                  <w:vAlign w:val="center"/>
                </w:tcPr>
                <w:p w14:paraId="5F54CFE4">
                  <w:pPr>
                    <w:adjustRightInd w:val="0"/>
                    <w:snapToGrid w:val="0"/>
                    <w:jc w:val="center"/>
                    <w:rPr>
                      <w:rFonts w:hint="eastAsia" w:ascii="Times New Roman" w:hAnsi="Times New Roman" w:cs="Times New Roman"/>
                      <w:color w:val="auto"/>
                      <w:szCs w:val="21"/>
                      <w:lang w:val="en-US" w:eastAsia="zh-CN"/>
                    </w:rPr>
                  </w:pPr>
                </w:p>
              </w:tc>
              <w:tc>
                <w:tcPr>
                  <w:tcW w:w="1282" w:type="dxa"/>
                  <w:vAlign w:val="center"/>
                </w:tcPr>
                <w:p w14:paraId="4E7920DF">
                  <w:pPr>
                    <w:pStyle w:val="3"/>
                    <w:adjustRightInd w:val="0"/>
                    <w:spacing w:line="240" w:lineRule="auto"/>
                    <w:jc w:val="center"/>
                    <w:rPr>
                      <w:rFonts w:hint="eastAsia" w:ascii="Times New Roman" w:hAnsi="Times New Roman" w:cs="Times New Roman" w:eastAsiaTheme="minorEastAsia"/>
                      <w:b w:val="0"/>
                      <w:color w:val="auto"/>
                      <w:sz w:val="21"/>
                      <w:szCs w:val="21"/>
                      <w:lang w:val="en-US" w:eastAsia="zh-CN"/>
                    </w:rPr>
                  </w:pPr>
                  <w:r>
                    <w:rPr>
                      <w:rFonts w:hint="eastAsia" w:ascii="Times New Roman" w:hAnsi="Times New Roman" w:cs="Times New Roman" w:eastAsiaTheme="minorEastAsia"/>
                      <w:b w:val="0"/>
                      <w:color w:val="auto"/>
                      <w:sz w:val="21"/>
                      <w:szCs w:val="21"/>
                      <w:lang w:val="en-US" w:eastAsia="zh-CN"/>
                    </w:rPr>
                    <w:t>20（无量纲）</w:t>
                  </w:r>
                </w:p>
              </w:tc>
            </w:tr>
            <w:tr w14:paraId="1785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2" w:type="dxa"/>
                  <w:vAlign w:val="center"/>
                </w:tcPr>
                <w:p w14:paraId="2EC349FC">
                  <w:pPr>
                    <w:adjustRightInd w:val="0"/>
                    <w:snapToGrid w:val="0"/>
                    <w:jc w:val="both"/>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食堂油烟</w:t>
                  </w:r>
                </w:p>
              </w:tc>
              <w:tc>
                <w:tcPr>
                  <w:tcW w:w="663" w:type="dxa"/>
                  <w:vAlign w:val="center"/>
                </w:tcPr>
                <w:p w14:paraId="34F52D13">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油烟</w:t>
                  </w:r>
                </w:p>
              </w:tc>
              <w:tc>
                <w:tcPr>
                  <w:tcW w:w="700" w:type="dxa"/>
                  <w:vAlign w:val="center"/>
                </w:tcPr>
                <w:p w14:paraId="2131E899">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1.12</w:t>
                  </w:r>
                </w:p>
              </w:tc>
              <w:tc>
                <w:tcPr>
                  <w:tcW w:w="712" w:type="dxa"/>
                  <w:vAlign w:val="center"/>
                </w:tcPr>
                <w:p w14:paraId="07D13FC4">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0.004</w:t>
                  </w:r>
                </w:p>
              </w:tc>
              <w:tc>
                <w:tcPr>
                  <w:tcW w:w="738" w:type="dxa"/>
                  <w:vAlign w:val="center"/>
                </w:tcPr>
                <w:p w14:paraId="36276EB5">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1437" w:type="dxa"/>
                  <w:vAlign w:val="center"/>
                </w:tcPr>
                <w:p w14:paraId="7DE615C4">
                  <w:pPr>
                    <w:adjustRightInd w:val="0"/>
                    <w:snapToGrid w:val="0"/>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《饮食业油烟排放标准（试行）》（GB18483-2001）中的小型规模标准</w:t>
                  </w:r>
                </w:p>
              </w:tc>
              <w:tc>
                <w:tcPr>
                  <w:tcW w:w="850" w:type="dxa"/>
                  <w:vAlign w:val="center"/>
                </w:tcPr>
                <w:p w14:paraId="6CEE4CAF">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w:t>
                  </w:r>
                </w:p>
              </w:tc>
              <w:tc>
                <w:tcPr>
                  <w:tcW w:w="838" w:type="dxa"/>
                  <w:vAlign w:val="center"/>
                </w:tcPr>
                <w:p w14:paraId="01734948">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662" w:type="dxa"/>
                  <w:vAlign w:val="center"/>
                </w:tcPr>
                <w:p w14:paraId="6323C072">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1282" w:type="dxa"/>
                  <w:vAlign w:val="center"/>
                </w:tcPr>
                <w:p w14:paraId="0E2507F4">
                  <w:pPr>
                    <w:pStyle w:val="3"/>
                    <w:adjustRightInd w:val="0"/>
                    <w:spacing w:line="240" w:lineRule="auto"/>
                    <w:jc w:val="center"/>
                    <w:rPr>
                      <w:rFonts w:hint="default" w:ascii="Times New Roman" w:hAnsi="Times New Roman" w:cs="Times New Roman" w:eastAsiaTheme="minorEastAsia"/>
                      <w:b w:val="0"/>
                      <w:color w:val="auto"/>
                      <w:sz w:val="21"/>
                      <w:szCs w:val="21"/>
                      <w:lang w:val="en-US" w:eastAsia="zh-CN"/>
                    </w:rPr>
                  </w:pPr>
                  <w:r>
                    <w:rPr>
                      <w:rFonts w:hint="eastAsia" w:ascii="Times New Roman" w:hAnsi="Times New Roman" w:cs="Times New Roman" w:eastAsiaTheme="minorEastAsia"/>
                      <w:b w:val="0"/>
                      <w:color w:val="auto"/>
                      <w:sz w:val="21"/>
                      <w:szCs w:val="21"/>
                      <w:lang w:val="en-US" w:eastAsia="zh-CN"/>
                    </w:rPr>
                    <w:t>/</w:t>
                  </w:r>
                </w:p>
              </w:tc>
            </w:tr>
          </w:tbl>
          <w:p w14:paraId="18ED4741">
            <w:pPr>
              <w:spacing w:line="500" w:lineRule="exact"/>
              <w:ind w:firstLine="480" w:firstLineChars="200"/>
              <w:rPr>
                <w:rFonts w:hint="default" w:ascii="Times New Roman" w:hAnsi="Times New Roman" w:eastAsia="宋体" w:cs="Times New Roman"/>
                <w:b/>
                <w:color w:val="auto"/>
                <w:sz w:val="24"/>
                <w:szCs w:val="22"/>
                <w:highlight w:val="none"/>
                <w:lang w:val="en-US" w:eastAsia="zh-CN"/>
              </w:rPr>
            </w:pPr>
            <w:r>
              <w:rPr>
                <w:rFonts w:hint="default" w:ascii="Times New Roman" w:hAnsi="Times New Roman" w:cs="Times New Roman"/>
                <w:color w:val="auto"/>
                <w:sz w:val="24"/>
              </w:rPr>
              <w:t>根据表</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6</w:t>
            </w:r>
            <w:r>
              <w:rPr>
                <w:rFonts w:hint="default" w:ascii="Times New Roman" w:hAnsi="Times New Roman" w:cs="Times New Roman"/>
                <w:color w:val="auto"/>
                <w:sz w:val="24"/>
              </w:rPr>
              <w:t>，污染物有组织排放能满足相应排放标准。</w:t>
            </w:r>
          </w:p>
          <w:p w14:paraId="6FC0FA64">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center"/>
              <w:outlineLvl w:val="9"/>
              <w:rPr>
                <w:rFonts w:hint="eastAsia" w:ascii="Times New Roman" w:hAnsi="Times New Roman" w:eastAsia="宋体" w:cs="Times New Roman"/>
                <w:b/>
                <w:color w:val="auto"/>
                <w:sz w:val="24"/>
                <w:szCs w:val="22"/>
                <w:highlight w:val="none"/>
                <w:lang w:val="en-US" w:eastAsia="zh-CN"/>
              </w:rPr>
            </w:pPr>
            <w:r>
              <w:rPr>
                <w:rFonts w:hint="eastAsia" w:ascii="Times New Roman" w:hAnsi="Times New Roman" w:eastAsia="宋体" w:cs="Times New Roman"/>
                <w:b/>
                <w:color w:val="auto"/>
                <w:sz w:val="24"/>
                <w:szCs w:val="22"/>
                <w:highlight w:val="none"/>
                <w:lang w:val="en-US" w:eastAsia="zh-CN"/>
              </w:rPr>
              <w:t>4.2.1.3</w:t>
            </w:r>
            <w:r>
              <w:rPr>
                <w:rFonts w:hint="eastAsia" w:ascii="Times New Roman" w:hAnsi="Times New Roman" w:eastAsia="宋体" w:cs="Times New Roman"/>
                <w:b/>
                <w:color w:val="auto"/>
                <w:sz w:val="24"/>
                <w:szCs w:val="22"/>
                <w:highlight w:val="none"/>
                <w:lang w:eastAsia="zh-CN"/>
              </w:rPr>
              <w:t>排气口设置情况</w:t>
            </w:r>
            <w:r>
              <w:rPr>
                <w:rFonts w:hint="eastAsia" w:ascii="Times New Roman" w:hAnsi="Times New Roman" w:eastAsia="宋体" w:cs="Times New Roman"/>
                <w:b/>
                <w:color w:val="auto"/>
                <w:sz w:val="24"/>
                <w:szCs w:val="22"/>
                <w:highlight w:val="none"/>
                <w:lang w:val="en-US" w:eastAsia="zh-CN"/>
              </w:rPr>
              <w:t>及监测计划</w:t>
            </w:r>
          </w:p>
          <w:p w14:paraId="478BA1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eastAsia="zh-CN"/>
              </w:rPr>
              <w:t>根据导则及《排污单位自行监测技术指南</w:t>
            </w:r>
            <w:r>
              <w:rPr>
                <w:rFonts w:hint="default" w:ascii="Times New Roman" w:hAnsi="Times New Roman" w:eastAsia="宋体" w:cs="Times New Roman"/>
                <w:color w:val="auto"/>
                <w:sz w:val="24"/>
                <w:szCs w:val="22"/>
                <w:lang w:val="en-US" w:eastAsia="zh-CN"/>
              </w:rPr>
              <w:t xml:space="preserve"> </w:t>
            </w:r>
            <w:r>
              <w:rPr>
                <w:rFonts w:hint="default" w:ascii="Times New Roman" w:hAnsi="Times New Roman" w:eastAsia="宋体" w:cs="Times New Roman"/>
                <w:color w:val="auto"/>
                <w:sz w:val="24"/>
                <w:szCs w:val="22"/>
                <w:lang w:eastAsia="zh-CN"/>
              </w:rPr>
              <w:t>总则》（HJ819-2017）要求，本项目</w:t>
            </w:r>
            <w:r>
              <w:rPr>
                <w:rFonts w:hint="eastAsia" w:ascii="Times New Roman" w:hAnsi="Times New Roman" w:eastAsia="宋体" w:cs="Times New Roman"/>
                <w:color w:val="auto"/>
                <w:sz w:val="24"/>
                <w:szCs w:val="22"/>
                <w:lang w:eastAsia="zh-CN"/>
              </w:rPr>
              <w:t>大气</w:t>
            </w:r>
            <w:r>
              <w:rPr>
                <w:rFonts w:hint="default" w:ascii="Times New Roman" w:hAnsi="Times New Roman" w:eastAsia="宋体" w:cs="Times New Roman"/>
                <w:color w:val="auto"/>
                <w:sz w:val="24"/>
                <w:szCs w:val="22"/>
                <w:lang w:eastAsia="zh-CN"/>
              </w:rPr>
              <w:t>监测方案</w:t>
            </w:r>
            <w:r>
              <w:rPr>
                <w:rFonts w:hint="eastAsia" w:ascii="Times New Roman" w:hAnsi="Times New Roman" w:eastAsia="宋体" w:cs="Times New Roman"/>
                <w:color w:val="auto"/>
                <w:sz w:val="24"/>
                <w:szCs w:val="22"/>
                <w:lang w:eastAsia="zh-CN"/>
              </w:rPr>
              <w:t>如表</w:t>
            </w:r>
            <w:r>
              <w:rPr>
                <w:rFonts w:hint="eastAsia" w:ascii="Times New Roman" w:hAnsi="Times New Roman" w:eastAsia="宋体" w:cs="Times New Roman"/>
                <w:color w:val="auto"/>
                <w:sz w:val="24"/>
                <w:szCs w:val="22"/>
                <w:lang w:val="en-US" w:eastAsia="zh-CN"/>
              </w:rPr>
              <w:t>4-7所示。</w:t>
            </w:r>
          </w:p>
          <w:p w14:paraId="61CC9ECB">
            <w:pPr>
              <w:pStyle w:val="7"/>
              <w:spacing w:line="460" w:lineRule="exact"/>
              <w:ind w:firstLine="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4</w:t>
            </w:r>
            <w:r>
              <w:rPr>
                <w:rFonts w:hint="default"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7</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eastAsia="zh-CN"/>
              </w:rPr>
              <w:t>排气口设置及大气污染物监测计划</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611"/>
              <w:gridCol w:w="637"/>
              <w:gridCol w:w="628"/>
              <w:gridCol w:w="1097"/>
              <w:gridCol w:w="773"/>
              <w:gridCol w:w="773"/>
              <w:gridCol w:w="773"/>
              <w:gridCol w:w="773"/>
              <w:gridCol w:w="774"/>
              <w:gridCol w:w="774"/>
            </w:tblGrid>
            <w:tr w14:paraId="60FD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restart"/>
                  <w:noWrap w:val="0"/>
                  <w:vAlign w:val="center"/>
                </w:tcPr>
                <w:p w14:paraId="5F13A0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排污口编号及名称</w:t>
                  </w:r>
                </w:p>
              </w:tc>
              <w:tc>
                <w:tcPr>
                  <w:tcW w:w="3746" w:type="dxa"/>
                  <w:gridSpan w:val="5"/>
                  <w:noWrap w:val="0"/>
                  <w:vAlign w:val="center"/>
                </w:tcPr>
                <w:p w14:paraId="549777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napToGrid w:val="0"/>
                      <w:color w:val="auto"/>
                      <w:sz w:val="21"/>
                      <w:szCs w:val="21"/>
                      <w:vertAlign w:val="baseline"/>
                    </w:rPr>
                  </w:pPr>
                  <w:r>
                    <w:rPr>
                      <w:rFonts w:hint="default" w:ascii="Times New Roman" w:hAnsi="Times New Roman" w:cs="Times New Roman"/>
                      <w:b/>
                      <w:bCs w:val="0"/>
                      <w:snapToGrid w:val="0"/>
                      <w:color w:val="auto"/>
                      <w:sz w:val="21"/>
                      <w:szCs w:val="21"/>
                      <w:vertAlign w:val="baseline"/>
                      <w:lang w:val="en-US" w:eastAsia="zh-CN"/>
                    </w:rPr>
                    <w:t>排放口基本情况</w:t>
                  </w:r>
                </w:p>
              </w:tc>
              <w:tc>
                <w:tcPr>
                  <w:tcW w:w="1546" w:type="dxa"/>
                  <w:gridSpan w:val="2"/>
                  <w:noWrap w:val="0"/>
                  <w:vAlign w:val="center"/>
                </w:tcPr>
                <w:p w14:paraId="0B958E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napToGrid w:val="0"/>
                      <w:color w:val="auto"/>
                      <w:sz w:val="21"/>
                      <w:szCs w:val="21"/>
                      <w:vertAlign w:val="baseline"/>
                    </w:rPr>
                  </w:pPr>
                  <w:r>
                    <w:rPr>
                      <w:rFonts w:hint="default" w:ascii="Times New Roman" w:hAnsi="Times New Roman" w:cs="Times New Roman"/>
                      <w:b/>
                      <w:bCs w:val="0"/>
                      <w:snapToGrid w:val="0"/>
                      <w:color w:val="auto"/>
                      <w:sz w:val="21"/>
                      <w:szCs w:val="21"/>
                      <w:vertAlign w:val="baseline"/>
                      <w:lang w:val="en-US" w:eastAsia="zh-CN"/>
                    </w:rPr>
                    <w:t>排放标准</w:t>
                  </w:r>
                </w:p>
              </w:tc>
              <w:tc>
                <w:tcPr>
                  <w:tcW w:w="2321" w:type="dxa"/>
                  <w:gridSpan w:val="3"/>
                  <w:noWrap w:val="0"/>
                  <w:vAlign w:val="center"/>
                </w:tcPr>
                <w:p w14:paraId="3D2591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napToGrid w:val="0"/>
                      <w:color w:val="auto"/>
                      <w:sz w:val="21"/>
                      <w:szCs w:val="21"/>
                      <w:vertAlign w:val="baseline"/>
                    </w:rPr>
                  </w:pPr>
                  <w:r>
                    <w:rPr>
                      <w:rFonts w:hint="default" w:ascii="Times New Roman" w:hAnsi="Times New Roman" w:cs="Times New Roman"/>
                      <w:b/>
                      <w:bCs w:val="0"/>
                      <w:snapToGrid w:val="0"/>
                      <w:color w:val="auto"/>
                      <w:sz w:val="21"/>
                      <w:szCs w:val="21"/>
                      <w:vertAlign w:val="baseline"/>
                      <w:lang w:val="en-US" w:eastAsia="zh-CN"/>
                    </w:rPr>
                    <w:t>监测要求</w:t>
                  </w:r>
                </w:p>
              </w:tc>
            </w:tr>
            <w:tr w14:paraId="0676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29B388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napToGrid w:val="0"/>
                      <w:color w:val="auto"/>
                      <w:sz w:val="21"/>
                      <w:szCs w:val="21"/>
                      <w:vertAlign w:val="baseline"/>
                    </w:rPr>
                  </w:pPr>
                </w:p>
              </w:tc>
              <w:tc>
                <w:tcPr>
                  <w:tcW w:w="611" w:type="dxa"/>
                  <w:noWrap w:val="0"/>
                  <w:vAlign w:val="center"/>
                </w:tcPr>
                <w:p w14:paraId="25E8C8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高度</w:t>
                  </w:r>
                </w:p>
              </w:tc>
              <w:tc>
                <w:tcPr>
                  <w:tcW w:w="637" w:type="dxa"/>
                  <w:shd w:val="clear" w:color="auto" w:fill="auto"/>
                  <w:noWrap w:val="0"/>
                  <w:vAlign w:val="center"/>
                </w:tcPr>
                <w:p w14:paraId="048B8E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内径</w:t>
                  </w:r>
                </w:p>
              </w:tc>
              <w:tc>
                <w:tcPr>
                  <w:tcW w:w="628" w:type="dxa"/>
                  <w:noWrap w:val="0"/>
                  <w:vAlign w:val="center"/>
                </w:tcPr>
                <w:p w14:paraId="1B7D0F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温度</w:t>
                  </w:r>
                </w:p>
              </w:tc>
              <w:tc>
                <w:tcPr>
                  <w:tcW w:w="1097" w:type="dxa"/>
                  <w:noWrap w:val="0"/>
                  <w:vAlign w:val="center"/>
                </w:tcPr>
                <w:p w14:paraId="1667EA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坐标</w:t>
                  </w:r>
                </w:p>
              </w:tc>
              <w:tc>
                <w:tcPr>
                  <w:tcW w:w="773" w:type="dxa"/>
                  <w:noWrap w:val="0"/>
                  <w:vAlign w:val="center"/>
                </w:tcPr>
                <w:p w14:paraId="3B5D4A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类型</w:t>
                  </w:r>
                </w:p>
              </w:tc>
              <w:tc>
                <w:tcPr>
                  <w:tcW w:w="773" w:type="dxa"/>
                  <w:noWrap w:val="0"/>
                  <w:vAlign w:val="center"/>
                </w:tcPr>
                <w:p w14:paraId="378195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浓度限值</w:t>
                  </w:r>
                </w:p>
              </w:tc>
              <w:tc>
                <w:tcPr>
                  <w:tcW w:w="773" w:type="dxa"/>
                  <w:noWrap w:val="0"/>
                  <w:vAlign w:val="center"/>
                </w:tcPr>
                <w:p w14:paraId="2CC9CC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速率限值</w:t>
                  </w:r>
                </w:p>
              </w:tc>
              <w:tc>
                <w:tcPr>
                  <w:tcW w:w="773" w:type="dxa"/>
                  <w:noWrap w:val="0"/>
                  <w:vAlign w:val="center"/>
                </w:tcPr>
                <w:p w14:paraId="35F295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监测点位</w:t>
                  </w:r>
                </w:p>
              </w:tc>
              <w:tc>
                <w:tcPr>
                  <w:tcW w:w="774" w:type="dxa"/>
                  <w:noWrap w:val="0"/>
                  <w:vAlign w:val="center"/>
                </w:tcPr>
                <w:p w14:paraId="057B37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监测因子</w:t>
                  </w:r>
                </w:p>
              </w:tc>
              <w:tc>
                <w:tcPr>
                  <w:tcW w:w="774" w:type="dxa"/>
                  <w:noWrap w:val="0"/>
                  <w:vAlign w:val="center"/>
                </w:tcPr>
                <w:p w14:paraId="3A7AFF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snapToGrid w:val="0"/>
                      <w:color w:val="auto"/>
                      <w:sz w:val="21"/>
                      <w:szCs w:val="21"/>
                      <w:vertAlign w:val="baseline"/>
                      <w:lang w:val="en-US" w:eastAsia="zh-CN"/>
                    </w:rPr>
                  </w:pPr>
                  <w:r>
                    <w:rPr>
                      <w:rFonts w:hint="default" w:ascii="Times New Roman" w:hAnsi="Times New Roman" w:cs="Times New Roman"/>
                      <w:b/>
                      <w:bCs w:val="0"/>
                      <w:snapToGrid w:val="0"/>
                      <w:color w:val="auto"/>
                      <w:sz w:val="21"/>
                      <w:szCs w:val="21"/>
                      <w:vertAlign w:val="baseline"/>
                      <w:lang w:val="en-US" w:eastAsia="zh-CN"/>
                    </w:rPr>
                    <w:t>监测频次</w:t>
                  </w:r>
                </w:p>
              </w:tc>
            </w:tr>
            <w:tr w14:paraId="56FC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restart"/>
                  <w:noWrap w:val="0"/>
                  <w:vAlign w:val="center"/>
                </w:tcPr>
                <w:p w14:paraId="113449C8">
                  <w:pPr>
                    <w:jc w:val="center"/>
                    <w:rPr>
                      <w:rFonts w:hint="default" w:ascii="Times New Roman" w:hAnsi="Times New Roman" w:eastAsia="宋体" w:cs="Times New Roman"/>
                      <w:bCs/>
                      <w:snapToGrid w:val="0"/>
                      <w:color w:val="FF0000"/>
                      <w:sz w:val="21"/>
                      <w:szCs w:val="21"/>
                      <w:vertAlign w:val="baseline"/>
                      <w:lang w:val="en-US" w:eastAsia="zh-CN"/>
                    </w:rPr>
                  </w:pPr>
                  <w:r>
                    <w:rPr>
                      <w:rFonts w:hint="eastAsia" w:ascii="Times New Roman" w:hAnsi="Times New Roman" w:eastAsia="宋体" w:cs="Times New Roman"/>
                      <w:bCs/>
                      <w:color w:val="auto"/>
                      <w:szCs w:val="21"/>
                      <w:lang w:val="en-US" w:eastAsia="zh-CN"/>
                    </w:rPr>
                    <w:t>焊锡、清洗废气DA001</w:t>
                  </w:r>
                </w:p>
              </w:tc>
              <w:tc>
                <w:tcPr>
                  <w:tcW w:w="611" w:type="dxa"/>
                  <w:vMerge w:val="restart"/>
                  <w:noWrap w:val="0"/>
                  <w:vAlign w:val="center"/>
                </w:tcPr>
                <w:p w14:paraId="249B56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Cs/>
                      <w:snapToGrid w:val="0"/>
                      <w:color w:val="auto"/>
                      <w:sz w:val="21"/>
                      <w:szCs w:val="21"/>
                      <w:vertAlign w:val="baseline"/>
                      <w:lang w:val="en-US" w:eastAsia="zh-CN"/>
                    </w:rPr>
                  </w:pPr>
                  <w:r>
                    <w:rPr>
                      <w:rFonts w:hint="eastAsia" w:ascii="Times New Roman" w:hAnsi="Times New Roman" w:eastAsia="宋体" w:cs="Times New Roman"/>
                      <w:bCs/>
                      <w:snapToGrid w:val="0"/>
                      <w:color w:val="auto"/>
                      <w:szCs w:val="21"/>
                      <w:lang w:val="en-US" w:eastAsia="zh-CN"/>
                    </w:rPr>
                    <w:t>不低于15m</w:t>
                  </w:r>
                </w:p>
              </w:tc>
              <w:tc>
                <w:tcPr>
                  <w:tcW w:w="637" w:type="dxa"/>
                  <w:vMerge w:val="restart"/>
                  <w:shd w:val="clear" w:color="auto" w:fill="auto"/>
                  <w:noWrap w:val="0"/>
                  <w:vAlign w:val="center"/>
                </w:tcPr>
                <w:p w14:paraId="2EF9D9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0.3</w:t>
                  </w:r>
                </w:p>
              </w:tc>
              <w:tc>
                <w:tcPr>
                  <w:tcW w:w="628" w:type="dxa"/>
                  <w:vMerge w:val="restart"/>
                  <w:noWrap w:val="0"/>
                  <w:vAlign w:val="center"/>
                </w:tcPr>
                <w:p w14:paraId="600F588D">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bCs/>
                      <w:color w:val="auto"/>
                      <w:szCs w:val="21"/>
                      <w:lang w:val="en-US" w:eastAsia="zh-CN"/>
                    </w:rPr>
                    <w:t>常温</w:t>
                  </w:r>
                </w:p>
              </w:tc>
              <w:tc>
                <w:tcPr>
                  <w:tcW w:w="1097" w:type="dxa"/>
                  <w:vMerge w:val="restart"/>
                  <w:noWrap w:val="0"/>
                  <w:vAlign w:val="center"/>
                </w:tcPr>
                <w:p w14:paraId="0D1024BD">
                  <w:pPr>
                    <w:jc w:val="center"/>
                    <w:rPr>
                      <w:rFonts w:ascii="Times New Roman" w:hAnsi="Times New Roman" w:cs="Times New Roman"/>
                      <w:color w:val="auto"/>
                      <w:szCs w:val="21"/>
                    </w:rPr>
                  </w:pPr>
                  <w:r>
                    <w:rPr>
                      <w:rFonts w:hint="eastAsia" w:ascii="Times New Roman" w:hAnsi="Times New Roman" w:cs="Times New Roman"/>
                      <w:color w:val="auto"/>
                      <w:szCs w:val="21"/>
                    </w:rPr>
                    <w:t>E</w:t>
                  </w:r>
                  <w:r>
                    <w:rPr>
                      <w:rFonts w:hint="eastAsia" w:ascii="Times New Roman" w:hAnsi="Times New Roman" w:cs="Times New Roman"/>
                      <w:color w:val="auto"/>
                      <w:szCs w:val="21"/>
                      <w:lang w:val="en-US" w:eastAsia="zh-CN"/>
                    </w:rPr>
                    <w:t>119</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59</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57.019</w:t>
                  </w:r>
                  <w:r>
                    <w:rPr>
                      <w:rFonts w:hint="eastAsia" w:ascii="Times New Roman" w:hAnsi="Times New Roman" w:cs="Times New Roman"/>
                      <w:color w:val="auto"/>
                      <w:szCs w:val="21"/>
                    </w:rPr>
                    <w:t>"</w:t>
                  </w:r>
                </w:p>
                <w:p w14:paraId="17602A3D">
                  <w:pPr>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auto"/>
                      <w:szCs w:val="21"/>
                    </w:rPr>
                    <w:t>N30</w:t>
                  </w:r>
                  <w:r>
                    <w:rPr>
                      <w:rFonts w:ascii="Times New Roman" w:hAnsi="Times New Roman" w:eastAsia="宋体" w:cs="Times New Roman"/>
                      <w:color w:val="auto"/>
                      <w:szCs w:val="21"/>
                    </w:rPr>
                    <w:t>°</w:t>
                  </w:r>
                  <w:r>
                    <w:rPr>
                      <w:rFonts w:hint="eastAsia" w:ascii="Times New Roman" w:hAnsi="Times New Roman" w:cs="Times New Roman"/>
                      <w:color w:val="auto"/>
                      <w:szCs w:val="21"/>
                    </w:rPr>
                    <w:t>3</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58</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174</w:t>
                  </w:r>
                  <w:r>
                    <w:rPr>
                      <w:rFonts w:hint="eastAsia" w:ascii="Times New Roman" w:hAnsi="Times New Roman" w:cs="Times New Roman"/>
                      <w:color w:val="auto"/>
                      <w:szCs w:val="21"/>
                    </w:rPr>
                    <w:t>"</w:t>
                  </w:r>
                </w:p>
              </w:tc>
              <w:tc>
                <w:tcPr>
                  <w:tcW w:w="773" w:type="dxa"/>
                  <w:vMerge w:val="restart"/>
                  <w:noWrap w:val="0"/>
                  <w:vAlign w:val="center"/>
                </w:tcPr>
                <w:p w14:paraId="4C2FD8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一般排放口</w:t>
                  </w:r>
                </w:p>
              </w:tc>
              <w:tc>
                <w:tcPr>
                  <w:tcW w:w="773" w:type="dxa"/>
                  <w:noWrap w:val="0"/>
                  <w:vAlign w:val="center"/>
                </w:tcPr>
                <w:p w14:paraId="787698C8">
                  <w:pPr>
                    <w:jc w:val="center"/>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color w:val="auto"/>
                      <w:szCs w:val="21"/>
                      <w:lang w:val="en-US" w:eastAsia="zh-CN"/>
                    </w:rPr>
                    <w:t>120</w:t>
                  </w:r>
                </w:p>
              </w:tc>
              <w:tc>
                <w:tcPr>
                  <w:tcW w:w="773" w:type="dxa"/>
                  <w:noWrap w:val="0"/>
                  <w:vAlign w:val="center"/>
                </w:tcPr>
                <w:p w14:paraId="29ABC7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10</w:t>
                  </w:r>
                </w:p>
              </w:tc>
              <w:tc>
                <w:tcPr>
                  <w:tcW w:w="773" w:type="dxa"/>
                  <w:vMerge w:val="restart"/>
                  <w:noWrap w:val="0"/>
                  <w:vAlign w:val="center"/>
                </w:tcPr>
                <w:p w14:paraId="47E7A0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default" w:ascii="Times New Roman" w:hAnsi="Times New Roman" w:eastAsia="宋体" w:cs="Times New Roman"/>
                      <w:bCs/>
                      <w:snapToGrid w:val="0"/>
                      <w:color w:val="auto"/>
                      <w:sz w:val="21"/>
                      <w:szCs w:val="21"/>
                      <w:vertAlign w:val="baseline"/>
                      <w:lang w:val="en-US" w:eastAsia="zh-CN"/>
                    </w:rPr>
                    <w:t>P</w:t>
                  </w:r>
                  <w:r>
                    <w:rPr>
                      <w:rFonts w:hint="eastAsia" w:ascii="Times New Roman" w:hAnsi="Times New Roman" w:eastAsia="宋体" w:cs="Times New Roman"/>
                      <w:bCs/>
                      <w:snapToGrid w:val="0"/>
                      <w:color w:val="auto"/>
                      <w:sz w:val="21"/>
                      <w:szCs w:val="21"/>
                      <w:vertAlign w:val="baseline"/>
                      <w:lang w:val="en-US" w:eastAsia="zh-CN"/>
                    </w:rPr>
                    <w:t>1</w:t>
                  </w:r>
                </w:p>
              </w:tc>
              <w:tc>
                <w:tcPr>
                  <w:tcW w:w="774" w:type="dxa"/>
                  <w:noWrap w:val="0"/>
                  <w:vAlign w:val="center"/>
                </w:tcPr>
                <w:p w14:paraId="518DE56B">
                  <w:pPr>
                    <w:autoSpaceDE w:val="0"/>
                    <w:autoSpaceDN w:val="0"/>
                    <w:jc w:val="center"/>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C...." w:cs="Times New Roman"/>
                      <w:bCs/>
                      <w:color w:val="auto"/>
                      <w:szCs w:val="21"/>
                      <w:lang w:val="en-US" w:eastAsia="zh-CN"/>
                    </w:rPr>
                    <w:t>非甲烷总烃</w:t>
                  </w:r>
                </w:p>
              </w:tc>
              <w:tc>
                <w:tcPr>
                  <w:tcW w:w="774" w:type="dxa"/>
                  <w:noWrap w:val="0"/>
                  <w:vAlign w:val="center"/>
                </w:tcPr>
                <w:p w14:paraId="0E6D94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w:t>
                  </w:r>
                  <w:r>
                    <w:rPr>
                      <w:rFonts w:hint="eastAsia" w:ascii="Times New Roman" w:hAnsi="Times New Roman" w:cs="Times New Roman"/>
                      <w:bCs/>
                      <w:snapToGrid w:val="0"/>
                      <w:color w:val="auto"/>
                      <w:sz w:val="21"/>
                      <w:szCs w:val="21"/>
                      <w:vertAlign w:val="baseline"/>
                      <w:lang w:val="en-US" w:eastAsia="zh-CN"/>
                    </w:rPr>
                    <w:t>年</w:t>
                  </w:r>
                </w:p>
              </w:tc>
            </w:tr>
            <w:tr w14:paraId="4652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37A09466">
                  <w:pPr>
                    <w:jc w:val="center"/>
                    <w:rPr>
                      <w:rFonts w:hint="eastAsia" w:ascii="Times New Roman" w:hAnsi="Times New Roman" w:eastAsia="宋体" w:cs="Times New Roman"/>
                      <w:bCs/>
                      <w:color w:val="FF0000"/>
                      <w:szCs w:val="21"/>
                      <w:lang w:val="en-US" w:eastAsia="zh-CN"/>
                    </w:rPr>
                  </w:pPr>
                </w:p>
              </w:tc>
              <w:tc>
                <w:tcPr>
                  <w:tcW w:w="611" w:type="dxa"/>
                  <w:vMerge w:val="continue"/>
                  <w:noWrap w:val="0"/>
                  <w:vAlign w:val="center"/>
                </w:tcPr>
                <w:p w14:paraId="0699E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auto"/>
                      <w:sz w:val="21"/>
                      <w:szCs w:val="21"/>
                      <w:vertAlign w:val="baseline"/>
                      <w:lang w:val="en-US" w:eastAsia="zh-CN"/>
                    </w:rPr>
                  </w:pPr>
                </w:p>
              </w:tc>
              <w:tc>
                <w:tcPr>
                  <w:tcW w:w="637" w:type="dxa"/>
                  <w:vMerge w:val="continue"/>
                  <w:shd w:val="clear" w:color="auto" w:fill="auto"/>
                  <w:noWrap w:val="0"/>
                  <w:vAlign w:val="center"/>
                </w:tcPr>
                <w:p w14:paraId="18DE6F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auto"/>
                      <w:sz w:val="21"/>
                      <w:szCs w:val="21"/>
                      <w:vertAlign w:val="baseline"/>
                      <w:lang w:val="en-US" w:eastAsia="zh-CN"/>
                    </w:rPr>
                  </w:pPr>
                </w:p>
              </w:tc>
              <w:tc>
                <w:tcPr>
                  <w:tcW w:w="628" w:type="dxa"/>
                  <w:vMerge w:val="continue"/>
                  <w:noWrap w:val="0"/>
                  <w:vAlign w:val="center"/>
                </w:tcPr>
                <w:p w14:paraId="61344E9B">
                  <w:pPr>
                    <w:jc w:val="center"/>
                    <w:rPr>
                      <w:rFonts w:hint="eastAsia" w:ascii="Times New Roman" w:hAnsi="Times New Roman" w:eastAsia="宋体" w:cs="Times New Roman"/>
                      <w:bCs/>
                      <w:color w:val="auto"/>
                      <w:szCs w:val="21"/>
                      <w:lang w:val="en-US" w:eastAsia="zh-CN"/>
                    </w:rPr>
                  </w:pPr>
                </w:p>
              </w:tc>
              <w:tc>
                <w:tcPr>
                  <w:tcW w:w="1097" w:type="dxa"/>
                  <w:vMerge w:val="continue"/>
                  <w:noWrap w:val="0"/>
                  <w:vAlign w:val="center"/>
                </w:tcPr>
                <w:p w14:paraId="4686369A">
                  <w:pPr>
                    <w:jc w:val="center"/>
                    <w:rPr>
                      <w:rFonts w:hint="eastAsia" w:ascii="Times New Roman" w:hAnsi="Times New Roman" w:cs="Times New Roman"/>
                      <w:color w:val="FF0000"/>
                      <w:szCs w:val="21"/>
                    </w:rPr>
                  </w:pPr>
                </w:p>
              </w:tc>
              <w:tc>
                <w:tcPr>
                  <w:tcW w:w="773" w:type="dxa"/>
                  <w:vMerge w:val="continue"/>
                  <w:noWrap w:val="0"/>
                  <w:vAlign w:val="center"/>
                </w:tcPr>
                <w:p w14:paraId="21C040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p>
              </w:tc>
              <w:tc>
                <w:tcPr>
                  <w:tcW w:w="773" w:type="dxa"/>
                  <w:noWrap w:val="0"/>
                  <w:vAlign w:val="center"/>
                </w:tcPr>
                <w:p w14:paraId="40E10C45">
                  <w:pPr>
                    <w:jc w:val="center"/>
                    <w:rPr>
                      <w:rFonts w:hint="eastAsia"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color w:val="auto"/>
                      <w:szCs w:val="21"/>
                      <w:lang w:val="en-US" w:eastAsia="zh-CN"/>
                    </w:rPr>
                    <w:t>2000（无量纲）</w:t>
                  </w:r>
                </w:p>
              </w:tc>
              <w:tc>
                <w:tcPr>
                  <w:tcW w:w="773" w:type="dxa"/>
                  <w:noWrap w:val="0"/>
                  <w:vAlign w:val="center"/>
                </w:tcPr>
                <w:p w14:paraId="22927C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w:t>
                  </w:r>
                </w:p>
              </w:tc>
              <w:tc>
                <w:tcPr>
                  <w:tcW w:w="773" w:type="dxa"/>
                  <w:vMerge w:val="continue"/>
                  <w:noWrap w:val="0"/>
                  <w:vAlign w:val="center"/>
                </w:tcPr>
                <w:p w14:paraId="4BDEEE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p>
              </w:tc>
              <w:tc>
                <w:tcPr>
                  <w:tcW w:w="774" w:type="dxa"/>
                  <w:noWrap w:val="0"/>
                  <w:vAlign w:val="center"/>
                </w:tcPr>
                <w:p w14:paraId="3FB753C2">
                  <w:pPr>
                    <w:autoSpaceDE w:val="0"/>
                    <w:autoSpaceDN w:val="0"/>
                    <w:jc w:val="center"/>
                    <w:rPr>
                      <w:rFonts w:hint="eastAsia"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C...." w:cs="Times New Roman"/>
                      <w:bCs/>
                      <w:color w:val="auto"/>
                      <w:szCs w:val="21"/>
                      <w:lang w:val="en-US" w:eastAsia="zh-CN"/>
                    </w:rPr>
                    <w:t>臭气浓度</w:t>
                  </w:r>
                </w:p>
              </w:tc>
              <w:tc>
                <w:tcPr>
                  <w:tcW w:w="774" w:type="dxa"/>
                  <w:noWrap w:val="0"/>
                  <w:vAlign w:val="center"/>
                </w:tcPr>
                <w:p w14:paraId="0C15AA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3D9C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restart"/>
                  <w:noWrap w:val="0"/>
                  <w:vAlign w:val="center"/>
                </w:tcPr>
                <w:p w14:paraId="69A7F7F8">
                  <w:pPr>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auto"/>
                      <w:szCs w:val="21"/>
                      <w:lang w:val="en-US" w:eastAsia="zh-CN"/>
                    </w:rPr>
                    <w:t>塑封废气DA002</w:t>
                  </w:r>
                </w:p>
              </w:tc>
              <w:tc>
                <w:tcPr>
                  <w:tcW w:w="611" w:type="dxa"/>
                  <w:vMerge w:val="restart"/>
                  <w:noWrap w:val="0"/>
                  <w:vAlign w:val="center"/>
                </w:tcPr>
                <w:p w14:paraId="5082F0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Cs w:val="21"/>
                      <w:lang w:val="en-US" w:eastAsia="zh-CN"/>
                    </w:rPr>
                    <w:t>不低于15m</w:t>
                  </w:r>
                </w:p>
              </w:tc>
              <w:tc>
                <w:tcPr>
                  <w:tcW w:w="637" w:type="dxa"/>
                  <w:vMerge w:val="restart"/>
                  <w:shd w:val="clear" w:color="auto" w:fill="auto"/>
                  <w:noWrap w:val="0"/>
                  <w:vAlign w:val="center"/>
                </w:tcPr>
                <w:p w14:paraId="726ECC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0.4</w:t>
                  </w:r>
                </w:p>
              </w:tc>
              <w:tc>
                <w:tcPr>
                  <w:tcW w:w="628" w:type="dxa"/>
                  <w:vMerge w:val="restart"/>
                  <w:noWrap w:val="0"/>
                  <w:vAlign w:val="center"/>
                </w:tcPr>
                <w:p w14:paraId="23C02C89">
                  <w:pPr>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常温</w:t>
                  </w:r>
                </w:p>
              </w:tc>
              <w:tc>
                <w:tcPr>
                  <w:tcW w:w="1097" w:type="dxa"/>
                  <w:vMerge w:val="restart"/>
                  <w:noWrap w:val="0"/>
                  <w:vAlign w:val="center"/>
                </w:tcPr>
                <w:p w14:paraId="735E5EAA">
                  <w:pPr>
                    <w:jc w:val="center"/>
                    <w:rPr>
                      <w:rFonts w:ascii="Times New Roman" w:hAnsi="Times New Roman" w:cs="Times New Roman"/>
                      <w:color w:val="auto"/>
                      <w:szCs w:val="21"/>
                    </w:rPr>
                  </w:pPr>
                  <w:r>
                    <w:rPr>
                      <w:rFonts w:hint="eastAsia" w:ascii="Times New Roman" w:hAnsi="Times New Roman" w:cs="Times New Roman"/>
                      <w:color w:val="auto"/>
                      <w:szCs w:val="21"/>
                    </w:rPr>
                    <w:t>E</w:t>
                  </w:r>
                  <w:r>
                    <w:rPr>
                      <w:rFonts w:hint="eastAsia" w:ascii="Times New Roman" w:hAnsi="Times New Roman" w:cs="Times New Roman"/>
                      <w:color w:val="auto"/>
                      <w:szCs w:val="21"/>
                      <w:lang w:val="en-US" w:eastAsia="zh-CN"/>
                    </w:rPr>
                    <w:t>119</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59</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58.390</w:t>
                  </w:r>
                  <w:r>
                    <w:rPr>
                      <w:rFonts w:hint="eastAsia" w:ascii="Times New Roman" w:hAnsi="Times New Roman" w:cs="Times New Roman"/>
                      <w:color w:val="auto"/>
                      <w:szCs w:val="21"/>
                    </w:rPr>
                    <w:t>"</w:t>
                  </w:r>
                </w:p>
                <w:p w14:paraId="5993D1D0">
                  <w:pPr>
                    <w:jc w:val="center"/>
                    <w:rPr>
                      <w:rFonts w:hint="eastAsia" w:ascii="Times New Roman" w:hAnsi="Times New Roman" w:cs="Times New Roman"/>
                      <w:color w:val="FF0000"/>
                      <w:szCs w:val="21"/>
                    </w:rPr>
                  </w:pPr>
                  <w:r>
                    <w:rPr>
                      <w:rFonts w:hint="eastAsia" w:ascii="Times New Roman" w:hAnsi="Times New Roman" w:cs="Times New Roman"/>
                      <w:color w:val="auto"/>
                      <w:szCs w:val="21"/>
                    </w:rPr>
                    <w:t>N30</w:t>
                  </w:r>
                  <w:r>
                    <w:rPr>
                      <w:rFonts w:ascii="Times New Roman" w:hAnsi="Times New Roman" w:eastAsia="宋体" w:cs="Times New Roman"/>
                      <w:color w:val="auto"/>
                      <w:szCs w:val="21"/>
                    </w:rPr>
                    <w:t>°</w:t>
                  </w:r>
                  <w:r>
                    <w:rPr>
                      <w:rFonts w:hint="eastAsia" w:ascii="Times New Roman" w:hAnsi="Times New Roman" w:cs="Times New Roman"/>
                      <w:color w:val="auto"/>
                      <w:szCs w:val="21"/>
                    </w:rPr>
                    <w:t>3</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58</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606</w:t>
                  </w:r>
                  <w:r>
                    <w:rPr>
                      <w:rFonts w:hint="eastAsia" w:ascii="Times New Roman" w:hAnsi="Times New Roman" w:cs="Times New Roman"/>
                      <w:color w:val="auto"/>
                      <w:szCs w:val="21"/>
                    </w:rPr>
                    <w:t>"</w:t>
                  </w:r>
                </w:p>
              </w:tc>
              <w:tc>
                <w:tcPr>
                  <w:tcW w:w="773" w:type="dxa"/>
                  <w:vMerge w:val="restart"/>
                  <w:noWrap w:val="0"/>
                  <w:vAlign w:val="center"/>
                </w:tcPr>
                <w:p w14:paraId="575454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一般排放口</w:t>
                  </w:r>
                </w:p>
              </w:tc>
              <w:tc>
                <w:tcPr>
                  <w:tcW w:w="773" w:type="dxa"/>
                  <w:noWrap w:val="0"/>
                  <w:vAlign w:val="center"/>
                </w:tcPr>
                <w:p w14:paraId="15905F3C">
                  <w:pPr>
                    <w:adjustRightInd w:val="0"/>
                    <w:snapToGrid w:val="0"/>
                    <w:jc w:val="center"/>
                    <w:rPr>
                      <w:rFonts w:hint="eastAsia" w:ascii="Times New Roman" w:hAnsi="Times New Roman" w:eastAsia="宋体" w:cs="Times New Roman"/>
                      <w:bCs/>
                      <w:snapToGrid w:val="0"/>
                      <w:color w:val="FF0000"/>
                      <w:sz w:val="21"/>
                      <w:szCs w:val="21"/>
                      <w:vertAlign w:val="baseline"/>
                      <w:lang w:val="en-US" w:eastAsia="zh-CN"/>
                    </w:rPr>
                  </w:pPr>
                  <w:r>
                    <w:rPr>
                      <w:rFonts w:hint="eastAsia" w:ascii="Times New Roman" w:hAnsi="Times New Roman" w:cs="Times New Roman"/>
                      <w:color w:val="auto"/>
                      <w:szCs w:val="21"/>
                      <w:lang w:val="en-US" w:eastAsia="zh-CN"/>
                    </w:rPr>
                    <w:t>60</w:t>
                  </w:r>
                </w:p>
              </w:tc>
              <w:tc>
                <w:tcPr>
                  <w:tcW w:w="773" w:type="dxa"/>
                  <w:noWrap w:val="0"/>
                  <w:vAlign w:val="center"/>
                </w:tcPr>
                <w:p w14:paraId="7CBF2E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w:t>
                  </w:r>
                </w:p>
              </w:tc>
              <w:tc>
                <w:tcPr>
                  <w:tcW w:w="773" w:type="dxa"/>
                  <w:vMerge w:val="restart"/>
                  <w:noWrap w:val="0"/>
                  <w:vAlign w:val="center"/>
                </w:tcPr>
                <w:p w14:paraId="725D23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P2</w:t>
                  </w:r>
                </w:p>
              </w:tc>
              <w:tc>
                <w:tcPr>
                  <w:tcW w:w="774" w:type="dxa"/>
                  <w:noWrap w:val="0"/>
                  <w:vAlign w:val="center"/>
                </w:tcPr>
                <w:p w14:paraId="255C33F8">
                  <w:pPr>
                    <w:autoSpaceDE w:val="0"/>
                    <w:autoSpaceDN w:val="0"/>
                    <w:jc w:val="center"/>
                    <w:rPr>
                      <w:rFonts w:hint="eastAsia"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C...." w:cs="Times New Roman"/>
                      <w:bCs/>
                      <w:color w:val="auto"/>
                      <w:szCs w:val="21"/>
                      <w:lang w:val="en-US" w:eastAsia="zh-CN"/>
                    </w:rPr>
                    <w:t>非甲烷总烃</w:t>
                  </w:r>
                </w:p>
              </w:tc>
              <w:tc>
                <w:tcPr>
                  <w:tcW w:w="774" w:type="dxa"/>
                  <w:noWrap w:val="0"/>
                  <w:vAlign w:val="center"/>
                </w:tcPr>
                <w:p w14:paraId="19F13C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6361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7B3E20E7">
                  <w:pPr>
                    <w:jc w:val="center"/>
                    <w:rPr>
                      <w:rFonts w:hint="eastAsia" w:ascii="Times New Roman" w:hAnsi="Times New Roman" w:eastAsia="宋体" w:cs="Times New Roman"/>
                      <w:bCs/>
                      <w:color w:val="FF0000"/>
                      <w:szCs w:val="21"/>
                      <w:lang w:val="en-US" w:eastAsia="zh-CN"/>
                    </w:rPr>
                  </w:pPr>
                </w:p>
              </w:tc>
              <w:tc>
                <w:tcPr>
                  <w:tcW w:w="611" w:type="dxa"/>
                  <w:vMerge w:val="continue"/>
                  <w:noWrap w:val="0"/>
                  <w:vAlign w:val="center"/>
                </w:tcPr>
                <w:p w14:paraId="6B52C1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637" w:type="dxa"/>
                  <w:vMerge w:val="continue"/>
                  <w:shd w:val="clear" w:color="auto" w:fill="auto"/>
                  <w:noWrap w:val="0"/>
                  <w:vAlign w:val="center"/>
                </w:tcPr>
                <w:p w14:paraId="0A5C5D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628" w:type="dxa"/>
                  <w:vMerge w:val="continue"/>
                  <w:noWrap w:val="0"/>
                  <w:vAlign w:val="center"/>
                </w:tcPr>
                <w:p w14:paraId="09DF9D2F">
                  <w:pPr>
                    <w:jc w:val="center"/>
                    <w:rPr>
                      <w:rFonts w:hint="eastAsia" w:ascii="Times New Roman" w:hAnsi="Times New Roman" w:eastAsia="宋体" w:cs="Times New Roman"/>
                      <w:bCs/>
                      <w:color w:val="FF0000"/>
                      <w:szCs w:val="21"/>
                      <w:lang w:val="en-US" w:eastAsia="zh-CN"/>
                    </w:rPr>
                  </w:pPr>
                </w:p>
              </w:tc>
              <w:tc>
                <w:tcPr>
                  <w:tcW w:w="1097" w:type="dxa"/>
                  <w:vMerge w:val="continue"/>
                  <w:noWrap w:val="0"/>
                  <w:vAlign w:val="center"/>
                </w:tcPr>
                <w:p w14:paraId="25621F8D">
                  <w:pPr>
                    <w:jc w:val="center"/>
                    <w:rPr>
                      <w:rFonts w:hint="eastAsia" w:ascii="Times New Roman" w:hAnsi="Times New Roman" w:cs="Times New Roman"/>
                      <w:color w:val="FF0000"/>
                      <w:szCs w:val="21"/>
                    </w:rPr>
                  </w:pPr>
                </w:p>
              </w:tc>
              <w:tc>
                <w:tcPr>
                  <w:tcW w:w="773" w:type="dxa"/>
                  <w:vMerge w:val="continue"/>
                  <w:noWrap w:val="0"/>
                  <w:vAlign w:val="center"/>
                </w:tcPr>
                <w:p w14:paraId="1565F8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FF0000"/>
                      <w:sz w:val="21"/>
                      <w:szCs w:val="21"/>
                      <w:vertAlign w:val="baseline"/>
                      <w:lang w:val="en-US" w:eastAsia="zh-CN"/>
                    </w:rPr>
                  </w:pPr>
                </w:p>
              </w:tc>
              <w:tc>
                <w:tcPr>
                  <w:tcW w:w="773" w:type="dxa"/>
                  <w:noWrap w:val="0"/>
                  <w:vAlign w:val="center"/>
                </w:tcPr>
                <w:p w14:paraId="3AAF8E2B">
                  <w:pPr>
                    <w:adjustRightInd w:val="0"/>
                    <w:snapToGrid w:val="0"/>
                    <w:jc w:val="center"/>
                    <w:rPr>
                      <w:rFonts w:hint="eastAsia" w:ascii="Times New Roman" w:hAnsi="Times New Roman" w:eastAsia="宋体" w:cs="Times New Roman"/>
                      <w:bCs/>
                      <w:snapToGrid w:val="0"/>
                      <w:color w:val="FF0000"/>
                      <w:sz w:val="21"/>
                      <w:szCs w:val="21"/>
                      <w:vertAlign w:val="baseline"/>
                      <w:lang w:val="en-US" w:eastAsia="zh-CN"/>
                    </w:rPr>
                  </w:pPr>
                  <w:r>
                    <w:rPr>
                      <w:rFonts w:hint="eastAsia" w:ascii="Times New Roman" w:hAnsi="Times New Roman" w:cs="Times New Roman"/>
                      <w:color w:val="auto"/>
                      <w:szCs w:val="21"/>
                      <w:lang w:val="en-US" w:eastAsia="zh-CN"/>
                    </w:rPr>
                    <w:t>20</w:t>
                  </w:r>
                </w:p>
              </w:tc>
              <w:tc>
                <w:tcPr>
                  <w:tcW w:w="773" w:type="dxa"/>
                  <w:noWrap w:val="0"/>
                  <w:vAlign w:val="center"/>
                </w:tcPr>
                <w:p w14:paraId="16E00B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w:t>
                  </w:r>
                </w:p>
              </w:tc>
              <w:tc>
                <w:tcPr>
                  <w:tcW w:w="773" w:type="dxa"/>
                  <w:vMerge w:val="continue"/>
                  <w:noWrap w:val="0"/>
                  <w:vAlign w:val="center"/>
                </w:tcPr>
                <w:p w14:paraId="3A425E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sz w:val="21"/>
                      <w:szCs w:val="21"/>
                      <w:vertAlign w:val="baseline"/>
                      <w:lang w:val="en-US" w:eastAsia="zh-CN"/>
                    </w:rPr>
                  </w:pPr>
                </w:p>
              </w:tc>
              <w:tc>
                <w:tcPr>
                  <w:tcW w:w="774" w:type="dxa"/>
                  <w:noWrap w:val="0"/>
                  <w:vAlign w:val="center"/>
                </w:tcPr>
                <w:p w14:paraId="41BBD72E">
                  <w:pPr>
                    <w:autoSpaceDE w:val="0"/>
                    <w:autoSpaceDN w:val="0"/>
                    <w:jc w:val="center"/>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苯乙烯</w:t>
                  </w:r>
                </w:p>
              </w:tc>
              <w:tc>
                <w:tcPr>
                  <w:tcW w:w="774" w:type="dxa"/>
                  <w:noWrap w:val="0"/>
                  <w:vAlign w:val="center"/>
                </w:tcPr>
                <w:p w14:paraId="321DC0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w:t>
                  </w:r>
                  <w:r>
                    <w:rPr>
                      <w:rFonts w:hint="eastAsia" w:ascii="Times New Roman" w:hAnsi="Times New Roman" w:cs="Times New Roman"/>
                      <w:bCs/>
                      <w:snapToGrid w:val="0"/>
                      <w:color w:val="auto"/>
                      <w:sz w:val="21"/>
                      <w:szCs w:val="21"/>
                      <w:vertAlign w:val="baseline"/>
                      <w:lang w:val="en-US" w:eastAsia="zh-CN"/>
                    </w:rPr>
                    <w:t>年</w:t>
                  </w:r>
                </w:p>
              </w:tc>
            </w:tr>
            <w:tr w14:paraId="20B7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04DC3BA2">
                  <w:pPr>
                    <w:jc w:val="center"/>
                    <w:rPr>
                      <w:rFonts w:hint="eastAsia" w:ascii="Times New Roman" w:hAnsi="Times New Roman" w:eastAsia="宋体" w:cs="Times New Roman"/>
                      <w:bCs/>
                      <w:color w:val="FF0000"/>
                      <w:szCs w:val="21"/>
                      <w:lang w:val="en-US" w:eastAsia="zh-CN"/>
                    </w:rPr>
                  </w:pPr>
                </w:p>
              </w:tc>
              <w:tc>
                <w:tcPr>
                  <w:tcW w:w="611" w:type="dxa"/>
                  <w:vMerge w:val="continue"/>
                  <w:noWrap w:val="0"/>
                  <w:vAlign w:val="center"/>
                </w:tcPr>
                <w:p w14:paraId="7EF7E2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637" w:type="dxa"/>
                  <w:vMerge w:val="continue"/>
                  <w:shd w:val="clear" w:color="auto" w:fill="auto"/>
                  <w:noWrap w:val="0"/>
                  <w:vAlign w:val="center"/>
                </w:tcPr>
                <w:p w14:paraId="0FDCB2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628" w:type="dxa"/>
                  <w:vMerge w:val="continue"/>
                  <w:noWrap w:val="0"/>
                  <w:vAlign w:val="center"/>
                </w:tcPr>
                <w:p w14:paraId="4077EBE0">
                  <w:pPr>
                    <w:jc w:val="center"/>
                    <w:rPr>
                      <w:rFonts w:hint="eastAsia" w:ascii="Times New Roman" w:hAnsi="Times New Roman" w:eastAsia="宋体" w:cs="Times New Roman"/>
                      <w:bCs/>
                      <w:color w:val="FF0000"/>
                      <w:szCs w:val="21"/>
                      <w:lang w:val="en-US" w:eastAsia="zh-CN"/>
                    </w:rPr>
                  </w:pPr>
                </w:p>
              </w:tc>
              <w:tc>
                <w:tcPr>
                  <w:tcW w:w="1097" w:type="dxa"/>
                  <w:vMerge w:val="continue"/>
                  <w:noWrap w:val="0"/>
                  <w:vAlign w:val="center"/>
                </w:tcPr>
                <w:p w14:paraId="3AD44A0C">
                  <w:pPr>
                    <w:jc w:val="center"/>
                    <w:rPr>
                      <w:rFonts w:hint="eastAsia" w:ascii="Times New Roman" w:hAnsi="Times New Roman" w:cs="Times New Roman"/>
                      <w:color w:val="FF0000"/>
                      <w:szCs w:val="21"/>
                    </w:rPr>
                  </w:pPr>
                </w:p>
              </w:tc>
              <w:tc>
                <w:tcPr>
                  <w:tcW w:w="773" w:type="dxa"/>
                  <w:vMerge w:val="continue"/>
                  <w:noWrap w:val="0"/>
                  <w:vAlign w:val="center"/>
                </w:tcPr>
                <w:p w14:paraId="1DEF1D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FF0000"/>
                      <w:sz w:val="21"/>
                      <w:szCs w:val="21"/>
                      <w:vertAlign w:val="baseline"/>
                      <w:lang w:val="en-US" w:eastAsia="zh-CN"/>
                    </w:rPr>
                  </w:pPr>
                </w:p>
              </w:tc>
              <w:tc>
                <w:tcPr>
                  <w:tcW w:w="773" w:type="dxa"/>
                  <w:noWrap w:val="0"/>
                  <w:vAlign w:val="center"/>
                </w:tcPr>
                <w:p w14:paraId="23F8B01E">
                  <w:pPr>
                    <w:adjustRightInd w:val="0"/>
                    <w:snapToGrid w:val="0"/>
                    <w:jc w:val="center"/>
                    <w:rPr>
                      <w:rFonts w:hint="eastAsia" w:ascii="Times New Roman" w:hAnsi="Times New Roman" w:eastAsia="宋体" w:cs="Times New Roman"/>
                      <w:bCs/>
                      <w:snapToGrid w:val="0"/>
                      <w:color w:val="FF0000"/>
                      <w:sz w:val="21"/>
                      <w:szCs w:val="21"/>
                      <w:vertAlign w:val="baseline"/>
                      <w:lang w:val="en-US" w:eastAsia="zh-CN"/>
                    </w:rPr>
                  </w:pPr>
                  <w:r>
                    <w:rPr>
                      <w:rFonts w:hint="eastAsia" w:ascii="Times New Roman" w:hAnsi="Times New Roman"/>
                      <w:color w:val="auto"/>
                      <w:sz w:val="21"/>
                      <w:szCs w:val="21"/>
                      <w:lang w:val="en-US" w:eastAsia="zh-CN"/>
                    </w:rPr>
                    <w:t>1000（无量纲）</w:t>
                  </w:r>
                </w:p>
              </w:tc>
              <w:tc>
                <w:tcPr>
                  <w:tcW w:w="773" w:type="dxa"/>
                  <w:noWrap w:val="0"/>
                  <w:vAlign w:val="center"/>
                </w:tcPr>
                <w:p w14:paraId="678F6B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 w:cs="Times New Roman"/>
                      <w:bCs/>
                      <w:snapToGrid w:val="0"/>
                      <w:color w:val="auto"/>
                      <w:sz w:val="21"/>
                      <w:szCs w:val="21"/>
                      <w:vertAlign w:val="baseline"/>
                      <w:lang w:val="en-US" w:eastAsia="zh-CN"/>
                    </w:rPr>
                    <w:t>/</w:t>
                  </w:r>
                </w:p>
              </w:tc>
              <w:tc>
                <w:tcPr>
                  <w:tcW w:w="773" w:type="dxa"/>
                  <w:vMerge w:val="continue"/>
                  <w:noWrap w:val="0"/>
                  <w:vAlign w:val="center"/>
                </w:tcPr>
                <w:p w14:paraId="174D7C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sz w:val="21"/>
                      <w:szCs w:val="21"/>
                      <w:vertAlign w:val="baseline"/>
                      <w:lang w:val="en-US" w:eastAsia="zh-CN"/>
                    </w:rPr>
                  </w:pPr>
                </w:p>
              </w:tc>
              <w:tc>
                <w:tcPr>
                  <w:tcW w:w="774" w:type="dxa"/>
                  <w:noWrap w:val="0"/>
                  <w:vAlign w:val="center"/>
                </w:tcPr>
                <w:p w14:paraId="2C2632DB">
                  <w:pPr>
                    <w:autoSpaceDE w:val="0"/>
                    <w:autoSpaceDN w:val="0"/>
                    <w:jc w:val="center"/>
                    <w:rPr>
                      <w:rFonts w:hint="eastAsia" w:ascii="Times New Roman" w:hAnsi="Times New Roman" w:eastAsia="宋体" w:cs="Times New Roman"/>
                      <w:bCs/>
                      <w:snapToGrid w:val="0"/>
                      <w:color w:val="auto"/>
                      <w:sz w:val="21"/>
                      <w:szCs w:val="21"/>
                      <w:vertAlign w:val="baseline"/>
                      <w:lang w:val="en-US" w:eastAsia="zh-CN"/>
                    </w:rPr>
                  </w:pPr>
                  <w:r>
                    <w:rPr>
                      <w:rFonts w:hint="eastAsia" w:ascii="Times New Roman" w:hAnsi="Times New Roman" w:eastAsia="宋体C...." w:cs="Times New Roman"/>
                      <w:bCs/>
                      <w:color w:val="auto"/>
                      <w:szCs w:val="21"/>
                      <w:lang w:val="en-US" w:eastAsia="zh-CN"/>
                    </w:rPr>
                    <w:t>臭气浓度</w:t>
                  </w:r>
                </w:p>
              </w:tc>
              <w:tc>
                <w:tcPr>
                  <w:tcW w:w="774" w:type="dxa"/>
                  <w:noWrap w:val="0"/>
                  <w:vAlign w:val="center"/>
                </w:tcPr>
                <w:p w14:paraId="2DC06C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1960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restart"/>
                  <w:noWrap w:val="0"/>
                  <w:vAlign w:val="center"/>
                </w:tcPr>
                <w:p w14:paraId="1FD084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厂界</w:t>
                  </w:r>
                </w:p>
              </w:tc>
              <w:tc>
                <w:tcPr>
                  <w:tcW w:w="3746" w:type="dxa"/>
                  <w:gridSpan w:val="5"/>
                  <w:vMerge w:val="restart"/>
                  <w:noWrap w:val="0"/>
                  <w:vAlign w:val="center"/>
                </w:tcPr>
                <w:p w14:paraId="127281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noWrap w:val="0"/>
                  <w:vAlign w:val="center"/>
                </w:tcPr>
                <w:p w14:paraId="44C939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4.0</w:t>
                  </w:r>
                </w:p>
              </w:tc>
              <w:tc>
                <w:tcPr>
                  <w:tcW w:w="773" w:type="dxa"/>
                  <w:noWrap w:val="0"/>
                  <w:vAlign w:val="center"/>
                </w:tcPr>
                <w:p w14:paraId="579885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vMerge w:val="restart"/>
                  <w:noWrap w:val="0"/>
                  <w:vAlign w:val="center"/>
                </w:tcPr>
                <w:p w14:paraId="2DB5C8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FF0000"/>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厂界四周</w:t>
                  </w:r>
                </w:p>
              </w:tc>
              <w:tc>
                <w:tcPr>
                  <w:tcW w:w="774" w:type="dxa"/>
                  <w:noWrap w:val="0"/>
                  <w:vAlign w:val="center"/>
                </w:tcPr>
                <w:p w14:paraId="297483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非甲烷总烃</w:t>
                  </w:r>
                </w:p>
              </w:tc>
              <w:tc>
                <w:tcPr>
                  <w:tcW w:w="774" w:type="dxa"/>
                  <w:noWrap w:val="0"/>
                  <w:vAlign w:val="center"/>
                </w:tcPr>
                <w:p w14:paraId="0C5905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3A88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Merge w:val="continue"/>
                  <w:noWrap w:val="0"/>
                  <w:vAlign w:val="center"/>
                </w:tcPr>
                <w:p w14:paraId="00A4C7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3746" w:type="dxa"/>
                  <w:gridSpan w:val="5"/>
                  <w:vMerge w:val="continue"/>
                  <w:noWrap w:val="0"/>
                  <w:vAlign w:val="center"/>
                </w:tcPr>
                <w:p w14:paraId="30CDE9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Cs/>
                      <w:snapToGrid w:val="0"/>
                      <w:color w:val="FF0000"/>
                      <w:sz w:val="21"/>
                      <w:szCs w:val="21"/>
                      <w:vertAlign w:val="baseline"/>
                      <w:lang w:val="en-US" w:eastAsia="zh-CN"/>
                    </w:rPr>
                  </w:pPr>
                </w:p>
              </w:tc>
              <w:tc>
                <w:tcPr>
                  <w:tcW w:w="773" w:type="dxa"/>
                  <w:noWrap w:val="0"/>
                  <w:vAlign w:val="center"/>
                </w:tcPr>
                <w:p w14:paraId="5EB29B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20（无量纲）</w:t>
                  </w:r>
                </w:p>
              </w:tc>
              <w:tc>
                <w:tcPr>
                  <w:tcW w:w="773" w:type="dxa"/>
                  <w:noWrap w:val="0"/>
                  <w:vAlign w:val="center"/>
                </w:tcPr>
                <w:p w14:paraId="07CF6F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vMerge w:val="continue"/>
                  <w:noWrap w:val="0"/>
                  <w:vAlign w:val="center"/>
                </w:tcPr>
                <w:p w14:paraId="4F7D22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Cs/>
                      <w:snapToGrid w:val="0"/>
                      <w:color w:val="FF0000"/>
                      <w:kern w:val="2"/>
                      <w:sz w:val="21"/>
                      <w:szCs w:val="21"/>
                      <w:vertAlign w:val="baseline"/>
                      <w:lang w:val="en-US" w:eastAsia="zh-CN" w:bidi="ar-SA"/>
                    </w:rPr>
                  </w:pPr>
                </w:p>
              </w:tc>
              <w:tc>
                <w:tcPr>
                  <w:tcW w:w="774" w:type="dxa"/>
                  <w:noWrap w:val="0"/>
                  <w:vAlign w:val="center"/>
                </w:tcPr>
                <w:p w14:paraId="16321E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臭气浓度</w:t>
                  </w:r>
                </w:p>
              </w:tc>
              <w:tc>
                <w:tcPr>
                  <w:tcW w:w="774" w:type="dxa"/>
                  <w:noWrap w:val="0"/>
                  <w:vAlign w:val="center"/>
                </w:tcPr>
                <w:p w14:paraId="6AD220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r w14:paraId="6412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noWrap w:val="0"/>
                  <w:vAlign w:val="center"/>
                </w:tcPr>
                <w:p w14:paraId="48301C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厂区内</w:t>
                  </w:r>
                </w:p>
              </w:tc>
              <w:tc>
                <w:tcPr>
                  <w:tcW w:w="3746" w:type="dxa"/>
                  <w:gridSpan w:val="5"/>
                  <w:noWrap w:val="0"/>
                  <w:vAlign w:val="center"/>
                </w:tcPr>
                <w:p w14:paraId="20BFC2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noWrap w:val="0"/>
                  <w:vAlign w:val="center"/>
                </w:tcPr>
                <w:p w14:paraId="6A0295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6</w:t>
                  </w:r>
                </w:p>
              </w:tc>
              <w:tc>
                <w:tcPr>
                  <w:tcW w:w="773" w:type="dxa"/>
                  <w:noWrap w:val="0"/>
                  <w:vAlign w:val="center"/>
                </w:tcPr>
                <w:p w14:paraId="4E6935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eastAsia" w:ascii="Times New Roman" w:hAnsi="Times New Roman" w:cs="Times New Roman"/>
                      <w:bCs/>
                      <w:snapToGrid w:val="0"/>
                      <w:color w:val="auto"/>
                      <w:sz w:val="21"/>
                      <w:szCs w:val="21"/>
                      <w:vertAlign w:val="baseline"/>
                      <w:lang w:val="en-US" w:eastAsia="zh-CN"/>
                    </w:rPr>
                    <w:t>/</w:t>
                  </w:r>
                </w:p>
              </w:tc>
              <w:tc>
                <w:tcPr>
                  <w:tcW w:w="773" w:type="dxa"/>
                  <w:noWrap w:val="0"/>
                  <w:vAlign w:val="center"/>
                </w:tcPr>
                <w:p w14:paraId="30B76D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厂区内</w:t>
                  </w:r>
                </w:p>
              </w:tc>
              <w:tc>
                <w:tcPr>
                  <w:tcW w:w="774" w:type="dxa"/>
                  <w:noWrap w:val="0"/>
                  <w:vAlign w:val="center"/>
                </w:tcPr>
                <w:p w14:paraId="2C7056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2"/>
                      <w:sz w:val="21"/>
                      <w:szCs w:val="21"/>
                      <w:vertAlign w:val="baseline"/>
                      <w:lang w:val="en-US" w:eastAsia="zh-CN" w:bidi="ar-SA"/>
                    </w:rPr>
                  </w:pPr>
                  <w:r>
                    <w:rPr>
                      <w:rFonts w:hint="eastAsia" w:ascii="Times New Roman" w:hAnsi="Times New Roman" w:eastAsia="宋体" w:cs="Times New Roman"/>
                      <w:bCs/>
                      <w:snapToGrid w:val="0"/>
                      <w:color w:val="auto"/>
                      <w:kern w:val="2"/>
                      <w:sz w:val="21"/>
                      <w:szCs w:val="21"/>
                      <w:vertAlign w:val="baseline"/>
                      <w:lang w:val="en-US" w:eastAsia="zh-CN" w:bidi="ar-SA"/>
                    </w:rPr>
                    <w:t>非甲烷总烃</w:t>
                  </w:r>
                </w:p>
              </w:tc>
              <w:tc>
                <w:tcPr>
                  <w:tcW w:w="774" w:type="dxa"/>
                  <w:noWrap w:val="0"/>
                  <w:vAlign w:val="center"/>
                </w:tcPr>
                <w:p w14:paraId="6D6EBC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napToGrid w:val="0"/>
                      <w:color w:val="auto"/>
                      <w:sz w:val="21"/>
                      <w:szCs w:val="21"/>
                      <w:vertAlign w:val="baseline"/>
                      <w:lang w:val="en-US" w:eastAsia="zh-CN"/>
                    </w:rPr>
                  </w:pPr>
                  <w:r>
                    <w:rPr>
                      <w:rFonts w:hint="default" w:ascii="Times New Roman" w:hAnsi="Times New Roman" w:cs="Times New Roman"/>
                      <w:bCs/>
                      <w:snapToGrid w:val="0"/>
                      <w:color w:val="auto"/>
                      <w:sz w:val="21"/>
                      <w:szCs w:val="21"/>
                      <w:vertAlign w:val="baseline"/>
                      <w:lang w:val="en-US" w:eastAsia="zh-CN"/>
                    </w:rPr>
                    <w:t>1次/年</w:t>
                  </w:r>
                </w:p>
              </w:tc>
            </w:tr>
          </w:tbl>
          <w:p w14:paraId="480B28B9">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center"/>
              <w:outlineLvl w:val="9"/>
              <w:rPr>
                <w:rFonts w:hint="eastAsia" w:ascii="Times New Roman" w:hAnsi="Times New Roman" w:eastAsia="宋体" w:cs="Times New Roman"/>
                <w:b/>
                <w:color w:val="auto"/>
                <w:sz w:val="24"/>
                <w:szCs w:val="22"/>
                <w:highlight w:val="none"/>
                <w:lang w:eastAsia="zh-CN"/>
              </w:rPr>
            </w:pPr>
            <w:r>
              <w:rPr>
                <w:rFonts w:hint="eastAsia" w:ascii="Times New Roman" w:hAnsi="Times New Roman" w:eastAsia="宋体" w:cs="Times New Roman"/>
                <w:b/>
                <w:color w:val="auto"/>
                <w:sz w:val="24"/>
                <w:szCs w:val="22"/>
                <w:highlight w:val="none"/>
                <w:lang w:val="en-US" w:eastAsia="zh-CN"/>
              </w:rPr>
              <w:t>4.2.1.4</w:t>
            </w:r>
            <w:r>
              <w:rPr>
                <w:rFonts w:hint="eastAsia" w:ascii="Times New Roman" w:hAnsi="Times New Roman" w:eastAsia="宋体" w:cs="Times New Roman"/>
                <w:b/>
                <w:color w:val="auto"/>
                <w:sz w:val="24"/>
                <w:szCs w:val="22"/>
                <w:highlight w:val="none"/>
                <w:lang w:eastAsia="zh-CN"/>
              </w:rPr>
              <w:t>非正常工况</w:t>
            </w:r>
          </w:p>
          <w:p w14:paraId="7A3ABA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center"/>
              <w:outlineLvl w:val="9"/>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color w:val="auto"/>
                <w:sz w:val="24"/>
                <w:szCs w:val="22"/>
                <w:lang w:eastAsia="zh-CN"/>
              </w:rPr>
              <w:t>非正常排放是指生产过程中开停车（工、炉）、设备检修、工艺设备运转异常等非正常工况下的污染物排放，以及污染物排放控制措施达不到应有效率等情况下的排放。项目废气非正常工况排放主要</w:t>
            </w:r>
            <w:r>
              <w:rPr>
                <w:rFonts w:hint="eastAsia" w:ascii="Times New Roman" w:hAnsi="Times New Roman" w:eastAsia="宋体" w:cs="Times New Roman"/>
                <w:color w:val="auto"/>
                <w:sz w:val="24"/>
                <w:szCs w:val="22"/>
                <w:lang w:eastAsia="zh-CN"/>
              </w:rPr>
              <w:t>为废气处理设施故障</w:t>
            </w:r>
            <w:r>
              <w:rPr>
                <w:rFonts w:hint="default" w:ascii="Times New Roman" w:hAnsi="Times New Roman" w:eastAsia="宋体" w:cs="Times New Roman"/>
                <w:color w:val="auto"/>
                <w:sz w:val="24"/>
                <w:szCs w:val="22"/>
                <w:lang w:eastAsia="zh-CN"/>
              </w:rPr>
              <w:t>时，废气治理效率下降，处理效率为0%的状态进行估算，但废气收集系统可以正常运行，废气通过排气筒排放等情况，废气处理设施出现故障不能正常运行时，应立即停产进行维修，避免对周围环境造成污染。废气非正常工况源强情况见表4-</w:t>
            </w:r>
            <w:r>
              <w:rPr>
                <w:rFonts w:hint="eastAsia" w:ascii="Times New Roman" w:hAnsi="Times New Roman" w:eastAsia="宋体" w:cs="Times New Roman"/>
                <w:color w:val="auto"/>
                <w:sz w:val="24"/>
                <w:szCs w:val="22"/>
                <w:lang w:val="en-US" w:eastAsia="zh-CN"/>
              </w:rPr>
              <w:t>8。</w:t>
            </w:r>
          </w:p>
          <w:p w14:paraId="6073D072">
            <w:pPr>
              <w:widowControl w:val="0"/>
              <w:spacing w:line="460" w:lineRule="exact"/>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4</w:t>
            </w:r>
            <w:r>
              <w:rPr>
                <w:rFonts w:hint="default" w:ascii="Times New Roman" w:hAnsi="Times New Roman" w:eastAsia="宋体" w:cs="Times New Roman"/>
                <w:b/>
                <w:color w:val="auto"/>
                <w:kern w:val="0"/>
                <w:sz w:val="21"/>
                <w:szCs w:val="21"/>
                <w:highlight w:val="none"/>
              </w:rPr>
              <w:t>-</w:t>
            </w:r>
            <w:r>
              <w:rPr>
                <w:rFonts w:hint="eastAsia" w:ascii="Times New Roman" w:hAnsi="Times New Roman" w:eastAsia="宋体" w:cs="Times New Roman"/>
                <w:b/>
                <w:color w:val="auto"/>
                <w:kern w:val="0"/>
                <w:sz w:val="21"/>
                <w:szCs w:val="21"/>
                <w:highlight w:val="none"/>
                <w:lang w:val="en-US" w:eastAsia="zh-CN"/>
              </w:rPr>
              <w:t>8</w:t>
            </w:r>
            <w:r>
              <w:rPr>
                <w:rFonts w:hint="default" w:ascii="Times New Roman" w:hAnsi="Times New Roman" w:eastAsia="宋体" w:cs="Times New Roman"/>
                <w:b/>
                <w:color w:val="auto"/>
                <w:kern w:val="0"/>
                <w:sz w:val="21"/>
                <w:szCs w:val="21"/>
                <w:highlight w:val="none"/>
              </w:rPr>
              <w:t xml:space="preserve">  废气非正常工况排放量核算表</w:t>
            </w:r>
          </w:p>
          <w:tbl>
            <w:tblPr>
              <w:tblStyle w:val="23"/>
              <w:tblpPr w:leftFromText="180" w:rightFromText="180" w:vertAnchor="text" w:tblpXSpec="center" w:tblpY="1"/>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4"/>
              <w:gridCol w:w="1263"/>
              <w:gridCol w:w="1450"/>
              <w:gridCol w:w="965"/>
              <w:gridCol w:w="956"/>
              <w:gridCol w:w="928"/>
              <w:gridCol w:w="900"/>
              <w:gridCol w:w="770"/>
              <w:gridCol w:w="848"/>
            </w:tblGrid>
            <w:tr w14:paraId="1603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noWrap w:val="0"/>
                  <w:vAlign w:val="center"/>
                </w:tcPr>
                <w:p w14:paraId="33176090">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序号</w:t>
                  </w:r>
                </w:p>
              </w:tc>
              <w:tc>
                <w:tcPr>
                  <w:tcW w:w="1263" w:type="dxa"/>
                  <w:noWrap w:val="0"/>
                  <w:vAlign w:val="center"/>
                </w:tcPr>
                <w:p w14:paraId="00D1A98C">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污染源</w:t>
                  </w:r>
                </w:p>
              </w:tc>
              <w:tc>
                <w:tcPr>
                  <w:tcW w:w="1450" w:type="dxa"/>
                  <w:noWrap w:val="0"/>
                  <w:vAlign w:val="center"/>
                </w:tcPr>
                <w:p w14:paraId="5177E150">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非正常排放原因</w:t>
                  </w:r>
                </w:p>
              </w:tc>
              <w:tc>
                <w:tcPr>
                  <w:tcW w:w="965" w:type="dxa"/>
                  <w:noWrap w:val="0"/>
                  <w:vAlign w:val="center"/>
                </w:tcPr>
                <w:p w14:paraId="6AD698FE">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污染物</w:t>
                  </w:r>
                </w:p>
              </w:tc>
              <w:tc>
                <w:tcPr>
                  <w:tcW w:w="956" w:type="dxa"/>
                  <w:noWrap w:val="0"/>
                  <w:vAlign w:val="center"/>
                </w:tcPr>
                <w:p w14:paraId="73230335">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非正常排放浓度</w:t>
                  </w:r>
                  <w:r>
                    <w:rPr>
                      <w:rFonts w:hint="eastAsia" w:ascii="Times New Roman" w:hAnsi="Times New Roman" w:eastAsia="宋体" w:cs="Times New Roman"/>
                      <w:b/>
                      <w:bCs/>
                      <w:color w:val="auto"/>
                      <w:lang w:eastAsia="zh-CN"/>
                    </w:rPr>
                    <w:t>（</w:t>
                  </w:r>
                  <w:r>
                    <w:rPr>
                      <w:rFonts w:ascii="Times New Roman" w:hAnsi="Times New Roman" w:eastAsia="宋体" w:cs="Times New Roman"/>
                      <w:b/>
                      <w:bCs/>
                      <w:color w:val="auto"/>
                    </w:rPr>
                    <w:t>mg/m</w:t>
                  </w:r>
                  <w:r>
                    <w:rPr>
                      <w:rFonts w:ascii="Times New Roman" w:hAnsi="Times New Roman" w:eastAsia="宋体" w:cs="Times New Roman"/>
                      <w:b/>
                      <w:bCs/>
                      <w:color w:val="auto"/>
                      <w:vertAlign w:val="superscript"/>
                    </w:rPr>
                    <w:t>3</w:t>
                  </w:r>
                  <w:r>
                    <w:rPr>
                      <w:rFonts w:hint="eastAsia" w:ascii="Times New Roman" w:hAnsi="Times New Roman" w:eastAsia="宋体" w:cs="Times New Roman"/>
                      <w:b/>
                      <w:bCs/>
                      <w:color w:val="auto"/>
                      <w:lang w:eastAsia="zh-CN"/>
                    </w:rPr>
                    <w:t>）</w:t>
                  </w:r>
                </w:p>
              </w:tc>
              <w:tc>
                <w:tcPr>
                  <w:tcW w:w="928" w:type="dxa"/>
                  <w:noWrap w:val="0"/>
                  <w:vAlign w:val="center"/>
                </w:tcPr>
                <w:p w14:paraId="3A0AB6B8">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非正常排放速率</w:t>
                  </w:r>
                  <w:r>
                    <w:rPr>
                      <w:rFonts w:hint="eastAsia" w:ascii="Times New Roman" w:hAnsi="Times New Roman" w:eastAsia="宋体" w:cs="Times New Roman"/>
                      <w:b/>
                      <w:bCs/>
                      <w:color w:val="auto"/>
                      <w:kern w:val="28"/>
                      <w:lang w:eastAsia="zh-CN"/>
                    </w:rPr>
                    <w:t>（</w:t>
                  </w:r>
                  <w:r>
                    <w:rPr>
                      <w:rFonts w:ascii="Times New Roman" w:hAnsi="Times New Roman" w:eastAsia="宋体" w:cs="Times New Roman"/>
                      <w:b/>
                      <w:bCs/>
                      <w:color w:val="auto"/>
                      <w:kern w:val="28"/>
                    </w:rPr>
                    <w:t>kg/h</w:t>
                  </w:r>
                  <w:r>
                    <w:rPr>
                      <w:rFonts w:hint="eastAsia" w:ascii="Times New Roman" w:hAnsi="Times New Roman" w:eastAsia="宋体" w:cs="Times New Roman"/>
                      <w:b/>
                      <w:bCs/>
                      <w:color w:val="auto"/>
                      <w:kern w:val="28"/>
                      <w:lang w:eastAsia="zh-CN"/>
                    </w:rPr>
                    <w:t>）</w:t>
                  </w:r>
                </w:p>
              </w:tc>
              <w:tc>
                <w:tcPr>
                  <w:tcW w:w="900" w:type="dxa"/>
                  <w:noWrap w:val="0"/>
                  <w:vAlign w:val="center"/>
                </w:tcPr>
                <w:p w14:paraId="40396114">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单次持续时间（</w:t>
                  </w:r>
                  <w:r>
                    <w:rPr>
                      <w:rFonts w:hint="eastAsia" w:ascii="Times New Roman" w:hAnsi="Times New Roman" w:eastAsia="宋体" w:cs="Times New Roman"/>
                      <w:b/>
                      <w:bCs/>
                      <w:color w:val="auto"/>
                      <w:highlight w:val="none"/>
                      <w:lang w:val="en-US" w:eastAsia="zh-CN"/>
                    </w:rPr>
                    <w:t>h</w:t>
                  </w:r>
                  <w:r>
                    <w:rPr>
                      <w:rFonts w:hint="eastAsia" w:ascii="Times New Roman" w:hAnsi="Times New Roman" w:eastAsia="宋体" w:cs="Times New Roman"/>
                      <w:b/>
                      <w:bCs/>
                      <w:color w:val="auto"/>
                      <w:highlight w:val="none"/>
                      <w:lang w:eastAsia="zh-CN"/>
                    </w:rPr>
                    <w:t>）</w:t>
                  </w:r>
                </w:p>
              </w:tc>
              <w:tc>
                <w:tcPr>
                  <w:tcW w:w="770" w:type="dxa"/>
                  <w:noWrap w:val="0"/>
                  <w:vAlign w:val="center"/>
                </w:tcPr>
                <w:p w14:paraId="5315CBD9">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年发生频次（次）</w:t>
                  </w:r>
                </w:p>
              </w:tc>
              <w:tc>
                <w:tcPr>
                  <w:tcW w:w="848" w:type="dxa"/>
                  <w:noWrap w:val="0"/>
                  <w:vAlign w:val="center"/>
                </w:tcPr>
                <w:p w14:paraId="1E2E51CE">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应对措施</w:t>
                  </w:r>
                </w:p>
              </w:tc>
            </w:tr>
            <w:tr w14:paraId="31B8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vMerge w:val="restart"/>
                  <w:noWrap w:val="0"/>
                  <w:vAlign w:val="center"/>
                </w:tcPr>
                <w:p w14:paraId="50EB974F">
                  <w:pPr>
                    <w:widowControl w:val="0"/>
                    <w:adjustRightInd w:val="0"/>
                    <w:snapToGrid w:val="0"/>
                    <w:spacing w:line="240" w:lineRule="auto"/>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val="0"/>
                      <w:bCs w:val="0"/>
                      <w:color w:val="auto"/>
                      <w:highlight w:val="none"/>
                      <w:lang w:val="en-US" w:eastAsia="zh-CN"/>
                    </w:rPr>
                    <w:t>1</w:t>
                  </w:r>
                </w:p>
              </w:tc>
              <w:tc>
                <w:tcPr>
                  <w:tcW w:w="1263" w:type="dxa"/>
                  <w:vMerge w:val="restart"/>
                  <w:noWrap w:val="0"/>
                  <w:vAlign w:val="center"/>
                </w:tcPr>
                <w:p w14:paraId="7540A67C">
                  <w:pPr>
                    <w:jc w:val="center"/>
                    <w:rPr>
                      <w:rFonts w:hint="default" w:ascii="Times New Roman" w:hAnsi="Times New Roman" w:eastAsia="宋体" w:cs="Times New Roman"/>
                      <w:bCs/>
                      <w:snapToGrid w:val="0"/>
                      <w:color w:val="FF0000"/>
                      <w:kern w:val="2"/>
                      <w:sz w:val="21"/>
                      <w:szCs w:val="21"/>
                      <w:vertAlign w:val="baseline"/>
                      <w:lang w:val="en-US" w:eastAsia="zh-CN" w:bidi="ar-SA"/>
                    </w:rPr>
                  </w:pPr>
                  <w:r>
                    <w:rPr>
                      <w:rFonts w:hint="eastAsia" w:ascii="Times New Roman" w:hAnsi="Times New Roman" w:eastAsia="宋体" w:cs="Times New Roman"/>
                      <w:bCs/>
                      <w:color w:val="auto"/>
                      <w:szCs w:val="21"/>
                      <w:lang w:val="en-US" w:eastAsia="zh-CN"/>
                    </w:rPr>
                    <w:t>焊锡、清洗废气DA001</w:t>
                  </w:r>
                </w:p>
              </w:tc>
              <w:tc>
                <w:tcPr>
                  <w:tcW w:w="1450" w:type="dxa"/>
                  <w:vMerge w:val="restart"/>
                  <w:noWrap w:val="0"/>
                  <w:vAlign w:val="center"/>
                </w:tcPr>
                <w:p w14:paraId="277C09DD">
                  <w:pPr>
                    <w:widowControl w:val="0"/>
                    <w:adjustRightInd w:val="0"/>
                    <w:snapToGrid w:val="0"/>
                    <w:spacing w:line="24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废气处理设施</w:t>
                  </w:r>
                  <w:r>
                    <w:rPr>
                      <w:rFonts w:hint="eastAsia" w:ascii="Times New Roman" w:hAnsi="Times New Roman" w:eastAsia="宋体" w:cs="Times New Roman"/>
                      <w:color w:val="auto"/>
                      <w:highlight w:val="none"/>
                      <w:lang w:eastAsia="zh-CN"/>
                    </w:rPr>
                    <w:t>故障</w:t>
                  </w:r>
                  <w:r>
                    <w:rPr>
                      <w:rFonts w:hint="default" w:ascii="Times New Roman" w:hAnsi="Times New Roman" w:eastAsia="宋体" w:cs="Times New Roman"/>
                      <w:color w:val="auto"/>
                      <w:highlight w:val="none"/>
                    </w:rPr>
                    <w:t>，处理效率为0%</w:t>
                  </w:r>
                </w:p>
              </w:tc>
              <w:tc>
                <w:tcPr>
                  <w:tcW w:w="965" w:type="dxa"/>
                  <w:noWrap w:val="0"/>
                  <w:vAlign w:val="center"/>
                </w:tcPr>
                <w:p w14:paraId="37DDAC11">
                  <w:pPr>
                    <w:autoSpaceDE w:val="0"/>
                    <w:autoSpaceDN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C...." w:cs="Times New Roman"/>
                      <w:bCs/>
                      <w:color w:val="auto"/>
                      <w:szCs w:val="21"/>
                      <w:lang w:val="en-US" w:eastAsia="zh-CN"/>
                    </w:rPr>
                    <w:t>非甲烷总烃</w:t>
                  </w:r>
                </w:p>
              </w:tc>
              <w:tc>
                <w:tcPr>
                  <w:tcW w:w="956" w:type="dxa"/>
                  <w:noWrap w:val="0"/>
                  <w:vAlign w:val="center"/>
                </w:tcPr>
                <w:p w14:paraId="62A7D697">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928" w:type="dxa"/>
                  <w:noWrap w:val="0"/>
                  <w:vAlign w:val="center"/>
                </w:tcPr>
                <w:p w14:paraId="44B0DA45">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0.012</w:t>
                  </w:r>
                </w:p>
              </w:tc>
              <w:tc>
                <w:tcPr>
                  <w:tcW w:w="900" w:type="dxa"/>
                  <w:vMerge w:val="restart"/>
                  <w:noWrap w:val="0"/>
                  <w:vAlign w:val="center"/>
                </w:tcPr>
                <w:p w14:paraId="31FD94B1">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0.5</w:t>
                  </w:r>
                </w:p>
              </w:tc>
              <w:tc>
                <w:tcPr>
                  <w:tcW w:w="770" w:type="dxa"/>
                  <w:vMerge w:val="restart"/>
                  <w:noWrap w:val="0"/>
                  <w:vAlign w:val="center"/>
                </w:tcPr>
                <w:p w14:paraId="7B18CC72">
                  <w:pPr>
                    <w:widowControl w:val="0"/>
                    <w:adjustRightInd w:val="0"/>
                    <w:snapToGrid w:val="0"/>
                    <w:spacing w:line="240" w:lineRule="auto"/>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848" w:type="dxa"/>
                  <w:vMerge w:val="restart"/>
                  <w:noWrap w:val="0"/>
                  <w:vAlign w:val="center"/>
                </w:tcPr>
                <w:p w14:paraId="4994E915">
                  <w:pPr>
                    <w:widowControl w:val="0"/>
                    <w:adjustRightInd w:val="0"/>
                    <w:snapToGrid w:val="0"/>
                    <w:spacing w:line="24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立即停止生产，关闭排放阀，</w:t>
                  </w:r>
                  <w:r>
                    <w:rPr>
                      <w:rFonts w:hint="eastAsia" w:ascii="Times New Roman" w:hAnsi="Times New Roman" w:eastAsia="宋体" w:cs="Times New Roman"/>
                      <w:color w:val="auto"/>
                      <w:highlight w:val="none"/>
                      <w:lang w:eastAsia="zh-CN"/>
                    </w:rPr>
                    <w:t>及时进行设备维修</w:t>
                  </w:r>
                </w:p>
              </w:tc>
            </w:tr>
            <w:tr w14:paraId="68AD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vMerge w:val="continue"/>
                  <w:noWrap w:val="0"/>
                  <w:vAlign w:val="center"/>
                </w:tcPr>
                <w:p w14:paraId="41725BB8">
                  <w:pPr>
                    <w:widowControl w:val="0"/>
                    <w:adjustRightInd w:val="0"/>
                    <w:snapToGrid w:val="0"/>
                    <w:spacing w:line="240" w:lineRule="auto"/>
                    <w:jc w:val="center"/>
                    <w:rPr>
                      <w:rFonts w:hint="eastAsia" w:ascii="Times New Roman" w:hAnsi="Times New Roman" w:eastAsia="宋体" w:cs="Times New Roman"/>
                      <w:b w:val="0"/>
                      <w:bCs w:val="0"/>
                      <w:color w:val="auto"/>
                      <w:highlight w:val="none"/>
                      <w:lang w:val="en-US" w:eastAsia="zh-CN"/>
                    </w:rPr>
                  </w:pPr>
                </w:p>
              </w:tc>
              <w:tc>
                <w:tcPr>
                  <w:tcW w:w="1263" w:type="dxa"/>
                  <w:vMerge w:val="continue"/>
                  <w:noWrap w:val="0"/>
                  <w:vAlign w:val="center"/>
                </w:tcPr>
                <w:p w14:paraId="4DE0656F">
                  <w:pPr>
                    <w:jc w:val="center"/>
                    <w:rPr>
                      <w:rFonts w:hint="eastAsia" w:ascii="Times New Roman" w:hAnsi="Times New Roman" w:eastAsia="宋体" w:cs="Times New Roman"/>
                      <w:bCs/>
                      <w:color w:val="FF0000"/>
                      <w:szCs w:val="21"/>
                      <w:lang w:val="en-US" w:eastAsia="zh-CN"/>
                    </w:rPr>
                  </w:pPr>
                </w:p>
              </w:tc>
              <w:tc>
                <w:tcPr>
                  <w:tcW w:w="1450" w:type="dxa"/>
                  <w:vMerge w:val="continue"/>
                  <w:noWrap w:val="0"/>
                  <w:vAlign w:val="center"/>
                </w:tcPr>
                <w:p w14:paraId="5E91679A">
                  <w:pPr>
                    <w:widowControl w:val="0"/>
                    <w:adjustRightInd w:val="0"/>
                    <w:snapToGrid w:val="0"/>
                    <w:spacing w:line="240" w:lineRule="auto"/>
                    <w:jc w:val="center"/>
                    <w:rPr>
                      <w:rFonts w:hint="default" w:ascii="Times New Roman" w:hAnsi="Times New Roman" w:eastAsia="宋体" w:cs="Times New Roman"/>
                      <w:color w:val="auto"/>
                      <w:highlight w:val="none"/>
                    </w:rPr>
                  </w:pPr>
                </w:p>
              </w:tc>
              <w:tc>
                <w:tcPr>
                  <w:tcW w:w="965" w:type="dxa"/>
                  <w:noWrap w:val="0"/>
                  <w:vAlign w:val="center"/>
                </w:tcPr>
                <w:p w14:paraId="59D1F82D">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臭气浓度</w:t>
                  </w:r>
                </w:p>
              </w:tc>
              <w:tc>
                <w:tcPr>
                  <w:tcW w:w="956" w:type="dxa"/>
                  <w:noWrap w:val="0"/>
                  <w:vAlign w:val="center"/>
                </w:tcPr>
                <w:p w14:paraId="0D2E31B4">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928" w:type="dxa"/>
                  <w:noWrap w:val="0"/>
                  <w:vAlign w:val="center"/>
                </w:tcPr>
                <w:p w14:paraId="2B83438D">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900" w:type="dxa"/>
                  <w:vMerge w:val="continue"/>
                  <w:noWrap w:val="0"/>
                  <w:vAlign w:val="center"/>
                </w:tcPr>
                <w:p w14:paraId="77C32C09">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770" w:type="dxa"/>
                  <w:vMerge w:val="continue"/>
                  <w:noWrap w:val="0"/>
                  <w:vAlign w:val="center"/>
                </w:tcPr>
                <w:p w14:paraId="28CD6282">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848" w:type="dxa"/>
                  <w:vMerge w:val="continue"/>
                  <w:noWrap w:val="0"/>
                  <w:vAlign w:val="center"/>
                </w:tcPr>
                <w:p w14:paraId="70D9F88D">
                  <w:pPr>
                    <w:widowControl w:val="0"/>
                    <w:adjustRightInd w:val="0"/>
                    <w:snapToGrid w:val="0"/>
                    <w:spacing w:line="240" w:lineRule="auto"/>
                    <w:jc w:val="center"/>
                    <w:rPr>
                      <w:rFonts w:hint="default" w:ascii="Times New Roman" w:hAnsi="Times New Roman" w:eastAsia="宋体" w:cs="Times New Roman"/>
                      <w:color w:val="FF0000"/>
                      <w:highlight w:val="none"/>
                    </w:rPr>
                  </w:pPr>
                </w:p>
              </w:tc>
            </w:tr>
            <w:tr w14:paraId="190E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vMerge w:val="restart"/>
                  <w:noWrap w:val="0"/>
                  <w:vAlign w:val="center"/>
                </w:tcPr>
                <w:p w14:paraId="5F8338DC">
                  <w:pPr>
                    <w:widowControl w:val="0"/>
                    <w:adjustRightInd w:val="0"/>
                    <w:snapToGrid w:val="0"/>
                    <w:spacing w:line="240" w:lineRule="auto"/>
                    <w:jc w:val="center"/>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2</w:t>
                  </w:r>
                </w:p>
              </w:tc>
              <w:tc>
                <w:tcPr>
                  <w:tcW w:w="1263" w:type="dxa"/>
                  <w:vMerge w:val="restart"/>
                  <w:noWrap w:val="0"/>
                  <w:vAlign w:val="center"/>
                </w:tcPr>
                <w:p w14:paraId="67CCE713">
                  <w:pPr>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auto"/>
                      <w:szCs w:val="21"/>
                      <w:lang w:val="en-US" w:eastAsia="zh-CN"/>
                    </w:rPr>
                    <w:t>塑封废气DA002</w:t>
                  </w:r>
                </w:p>
              </w:tc>
              <w:tc>
                <w:tcPr>
                  <w:tcW w:w="1450" w:type="dxa"/>
                  <w:vMerge w:val="restart"/>
                  <w:noWrap w:val="0"/>
                  <w:vAlign w:val="center"/>
                </w:tcPr>
                <w:p w14:paraId="5695F4E1">
                  <w:pPr>
                    <w:widowControl w:val="0"/>
                    <w:adjustRightInd w:val="0"/>
                    <w:snapToGrid w:val="0"/>
                    <w:spacing w:line="24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废气处理设施</w:t>
                  </w:r>
                  <w:r>
                    <w:rPr>
                      <w:rFonts w:hint="eastAsia" w:ascii="Times New Roman" w:hAnsi="Times New Roman" w:eastAsia="宋体" w:cs="Times New Roman"/>
                      <w:color w:val="auto"/>
                      <w:highlight w:val="none"/>
                      <w:lang w:eastAsia="zh-CN"/>
                    </w:rPr>
                    <w:t>故障</w:t>
                  </w:r>
                  <w:r>
                    <w:rPr>
                      <w:rFonts w:hint="default" w:ascii="Times New Roman" w:hAnsi="Times New Roman" w:eastAsia="宋体" w:cs="Times New Roman"/>
                      <w:color w:val="auto"/>
                      <w:highlight w:val="none"/>
                    </w:rPr>
                    <w:t>，处理效率为0%</w:t>
                  </w:r>
                </w:p>
              </w:tc>
              <w:tc>
                <w:tcPr>
                  <w:tcW w:w="965" w:type="dxa"/>
                  <w:noWrap w:val="0"/>
                  <w:vAlign w:val="center"/>
                </w:tcPr>
                <w:p w14:paraId="7F916648">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非甲烷总烃</w:t>
                  </w:r>
                </w:p>
              </w:tc>
              <w:tc>
                <w:tcPr>
                  <w:tcW w:w="956" w:type="dxa"/>
                  <w:noWrap w:val="0"/>
                  <w:vAlign w:val="center"/>
                </w:tcPr>
                <w:p w14:paraId="4B00FEE3">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5.7</w:t>
                  </w:r>
                </w:p>
              </w:tc>
              <w:tc>
                <w:tcPr>
                  <w:tcW w:w="928" w:type="dxa"/>
                  <w:noWrap w:val="0"/>
                  <w:vAlign w:val="center"/>
                </w:tcPr>
                <w:p w14:paraId="56BF88C8">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0.02</w:t>
                  </w:r>
                </w:p>
              </w:tc>
              <w:tc>
                <w:tcPr>
                  <w:tcW w:w="900" w:type="dxa"/>
                  <w:vMerge w:val="continue"/>
                  <w:noWrap w:val="0"/>
                  <w:vAlign w:val="center"/>
                </w:tcPr>
                <w:p w14:paraId="43D877AF">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770" w:type="dxa"/>
                  <w:vMerge w:val="continue"/>
                  <w:noWrap w:val="0"/>
                  <w:vAlign w:val="center"/>
                </w:tcPr>
                <w:p w14:paraId="1832CC90">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848" w:type="dxa"/>
                  <w:vMerge w:val="continue"/>
                  <w:noWrap w:val="0"/>
                  <w:vAlign w:val="center"/>
                </w:tcPr>
                <w:p w14:paraId="73D0F850">
                  <w:pPr>
                    <w:widowControl w:val="0"/>
                    <w:adjustRightInd w:val="0"/>
                    <w:snapToGrid w:val="0"/>
                    <w:spacing w:line="240" w:lineRule="auto"/>
                    <w:jc w:val="center"/>
                    <w:rPr>
                      <w:rFonts w:hint="default" w:ascii="Times New Roman" w:hAnsi="Times New Roman" w:eastAsia="宋体" w:cs="Times New Roman"/>
                      <w:color w:val="FF0000"/>
                      <w:highlight w:val="none"/>
                    </w:rPr>
                  </w:pPr>
                </w:p>
              </w:tc>
            </w:tr>
            <w:tr w14:paraId="0271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vMerge w:val="continue"/>
                  <w:noWrap w:val="0"/>
                  <w:vAlign w:val="center"/>
                </w:tcPr>
                <w:p w14:paraId="2AD35E19">
                  <w:pPr>
                    <w:widowControl w:val="0"/>
                    <w:adjustRightInd w:val="0"/>
                    <w:snapToGrid w:val="0"/>
                    <w:spacing w:line="240" w:lineRule="auto"/>
                    <w:jc w:val="center"/>
                    <w:rPr>
                      <w:rFonts w:hint="eastAsia" w:ascii="Times New Roman" w:hAnsi="Times New Roman" w:eastAsia="宋体" w:cs="Times New Roman"/>
                      <w:b w:val="0"/>
                      <w:bCs w:val="0"/>
                      <w:color w:val="FF0000"/>
                      <w:highlight w:val="none"/>
                      <w:lang w:val="en-US" w:eastAsia="zh-CN"/>
                    </w:rPr>
                  </w:pPr>
                </w:p>
              </w:tc>
              <w:tc>
                <w:tcPr>
                  <w:tcW w:w="1263" w:type="dxa"/>
                  <w:vMerge w:val="continue"/>
                  <w:noWrap w:val="0"/>
                  <w:vAlign w:val="center"/>
                </w:tcPr>
                <w:p w14:paraId="5126CE71">
                  <w:pPr>
                    <w:jc w:val="center"/>
                    <w:rPr>
                      <w:rFonts w:hint="eastAsia" w:ascii="Times New Roman" w:hAnsi="Times New Roman" w:eastAsia="宋体" w:cs="Times New Roman"/>
                      <w:bCs/>
                      <w:color w:val="FF0000"/>
                      <w:szCs w:val="21"/>
                      <w:lang w:val="en-US" w:eastAsia="zh-CN"/>
                    </w:rPr>
                  </w:pPr>
                </w:p>
              </w:tc>
              <w:tc>
                <w:tcPr>
                  <w:tcW w:w="1450" w:type="dxa"/>
                  <w:vMerge w:val="continue"/>
                  <w:noWrap w:val="0"/>
                  <w:vAlign w:val="center"/>
                </w:tcPr>
                <w:p w14:paraId="3969E2DD">
                  <w:pPr>
                    <w:widowControl w:val="0"/>
                    <w:adjustRightInd w:val="0"/>
                    <w:snapToGrid w:val="0"/>
                    <w:spacing w:line="240" w:lineRule="auto"/>
                    <w:jc w:val="center"/>
                    <w:rPr>
                      <w:rFonts w:hint="default" w:ascii="Times New Roman" w:hAnsi="Times New Roman" w:eastAsia="宋体" w:cs="Times New Roman"/>
                      <w:color w:val="FF0000"/>
                      <w:highlight w:val="none"/>
                    </w:rPr>
                  </w:pPr>
                </w:p>
              </w:tc>
              <w:tc>
                <w:tcPr>
                  <w:tcW w:w="965" w:type="dxa"/>
                  <w:noWrap w:val="0"/>
                  <w:vAlign w:val="center"/>
                </w:tcPr>
                <w:p w14:paraId="4D65F09F">
                  <w:pPr>
                    <w:autoSpaceDE w:val="0"/>
                    <w:autoSpaceDN w:val="0"/>
                    <w:jc w:val="center"/>
                    <w:rPr>
                      <w:rFonts w:hint="default"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苯乙烯</w:t>
                  </w:r>
                </w:p>
              </w:tc>
              <w:tc>
                <w:tcPr>
                  <w:tcW w:w="956" w:type="dxa"/>
                  <w:noWrap w:val="0"/>
                  <w:vAlign w:val="center"/>
                </w:tcPr>
                <w:p w14:paraId="2550FE5D">
                  <w:pPr>
                    <w:widowControl w:val="0"/>
                    <w:adjustRightInd w:val="0"/>
                    <w:snapToGrid w:val="0"/>
                    <w:spacing w:line="240" w:lineRule="auto"/>
                    <w:jc w:val="center"/>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color w:val="auto"/>
                      <w:highlight w:val="none"/>
                      <w:lang w:val="en-US" w:eastAsia="zh-CN"/>
                    </w:rPr>
                    <w:t>5.7</w:t>
                  </w:r>
                </w:p>
              </w:tc>
              <w:tc>
                <w:tcPr>
                  <w:tcW w:w="928" w:type="dxa"/>
                  <w:noWrap w:val="0"/>
                  <w:vAlign w:val="center"/>
                </w:tcPr>
                <w:p w14:paraId="28ACAA8D">
                  <w:pPr>
                    <w:widowControl w:val="0"/>
                    <w:adjustRightInd w:val="0"/>
                    <w:snapToGrid w:val="0"/>
                    <w:spacing w:line="240" w:lineRule="auto"/>
                    <w:jc w:val="center"/>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color w:val="auto"/>
                      <w:highlight w:val="none"/>
                      <w:lang w:val="en-US" w:eastAsia="zh-CN"/>
                    </w:rPr>
                    <w:t>0.02</w:t>
                  </w:r>
                </w:p>
              </w:tc>
              <w:tc>
                <w:tcPr>
                  <w:tcW w:w="900" w:type="dxa"/>
                  <w:vMerge w:val="continue"/>
                  <w:noWrap w:val="0"/>
                  <w:vAlign w:val="center"/>
                </w:tcPr>
                <w:p w14:paraId="464526A5">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770" w:type="dxa"/>
                  <w:vMerge w:val="continue"/>
                  <w:noWrap w:val="0"/>
                  <w:vAlign w:val="center"/>
                </w:tcPr>
                <w:p w14:paraId="2018FC6F">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848" w:type="dxa"/>
                  <w:vMerge w:val="continue"/>
                  <w:noWrap w:val="0"/>
                  <w:vAlign w:val="center"/>
                </w:tcPr>
                <w:p w14:paraId="52521EAA">
                  <w:pPr>
                    <w:widowControl w:val="0"/>
                    <w:adjustRightInd w:val="0"/>
                    <w:snapToGrid w:val="0"/>
                    <w:spacing w:line="240" w:lineRule="auto"/>
                    <w:jc w:val="center"/>
                    <w:rPr>
                      <w:rFonts w:hint="default" w:ascii="Times New Roman" w:hAnsi="Times New Roman" w:eastAsia="宋体" w:cs="Times New Roman"/>
                      <w:color w:val="FF0000"/>
                      <w:highlight w:val="none"/>
                    </w:rPr>
                  </w:pPr>
                </w:p>
              </w:tc>
            </w:tr>
            <w:tr w14:paraId="445D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4" w:type="dxa"/>
                  <w:vMerge w:val="continue"/>
                  <w:noWrap w:val="0"/>
                  <w:vAlign w:val="center"/>
                </w:tcPr>
                <w:p w14:paraId="57D42BD5">
                  <w:pPr>
                    <w:widowControl w:val="0"/>
                    <w:adjustRightInd w:val="0"/>
                    <w:snapToGrid w:val="0"/>
                    <w:spacing w:line="240" w:lineRule="auto"/>
                    <w:jc w:val="center"/>
                    <w:rPr>
                      <w:rFonts w:hint="eastAsia" w:ascii="Times New Roman" w:hAnsi="Times New Roman" w:eastAsia="宋体" w:cs="Times New Roman"/>
                      <w:b w:val="0"/>
                      <w:bCs w:val="0"/>
                      <w:color w:val="FF0000"/>
                      <w:highlight w:val="none"/>
                      <w:lang w:val="en-US" w:eastAsia="zh-CN"/>
                    </w:rPr>
                  </w:pPr>
                </w:p>
              </w:tc>
              <w:tc>
                <w:tcPr>
                  <w:tcW w:w="1263" w:type="dxa"/>
                  <w:vMerge w:val="continue"/>
                  <w:noWrap w:val="0"/>
                  <w:vAlign w:val="center"/>
                </w:tcPr>
                <w:p w14:paraId="20E754A1">
                  <w:pPr>
                    <w:jc w:val="center"/>
                    <w:rPr>
                      <w:rFonts w:hint="eastAsia" w:ascii="Times New Roman" w:hAnsi="Times New Roman" w:eastAsia="宋体" w:cs="Times New Roman"/>
                      <w:bCs/>
                      <w:color w:val="FF0000"/>
                      <w:szCs w:val="21"/>
                      <w:lang w:val="en-US" w:eastAsia="zh-CN"/>
                    </w:rPr>
                  </w:pPr>
                </w:p>
              </w:tc>
              <w:tc>
                <w:tcPr>
                  <w:tcW w:w="1450" w:type="dxa"/>
                  <w:vMerge w:val="continue"/>
                  <w:noWrap w:val="0"/>
                  <w:vAlign w:val="center"/>
                </w:tcPr>
                <w:p w14:paraId="3D4D0188">
                  <w:pPr>
                    <w:widowControl w:val="0"/>
                    <w:adjustRightInd w:val="0"/>
                    <w:snapToGrid w:val="0"/>
                    <w:spacing w:line="240" w:lineRule="auto"/>
                    <w:jc w:val="center"/>
                    <w:rPr>
                      <w:rFonts w:hint="default" w:ascii="Times New Roman" w:hAnsi="Times New Roman" w:eastAsia="宋体" w:cs="Times New Roman"/>
                      <w:color w:val="FF0000"/>
                      <w:highlight w:val="none"/>
                    </w:rPr>
                  </w:pPr>
                </w:p>
              </w:tc>
              <w:tc>
                <w:tcPr>
                  <w:tcW w:w="965" w:type="dxa"/>
                  <w:noWrap w:val="0"/>
                  <w:vAlign w:val="center"/>
                </w:tcPr>
                <w:p w14:paraId="11593454">
                  <w:pPr>
                    <w:autoSpaceDE w:val="0"/>
                    <w:autoSpaceDN w:val="0"/>
                    <w:jc w:val="center"/>
                    <w:rPr>
                      <w:rFonts w:hint="eastAsia" w:ascii="Times New Roman" w:hAnsi="Times New Roman" w:eastAsia="宋体C...." w:cs="Times New Roman"/>
                      <w:bCs/>
                      <w:color w:val="auto"/>
                      <w:szCs w:val="21"/>
                      <w:lang w:val="en-US" w:eastAsia="zh-CN"/>
                    </w:rPr>
                  </w:pPr>
                  <w:r>
                    <w:rPr>
                      <w:rFonts w:hint="eastAsia" w:ascii="Times New Roman" w:hAnsi="Times New Roman" w:eastAsia="宋体C...." w:cs="Times New Roman"/>
                      <w:bCs/>
                      <w:color w:val="auto"/>
                      <w:szCs w:val="21"/>
                      <w:lang w:val="en-US" w:eastAsia="zh-CN"/>
                    </w:rPr>
                    <w:t>臭气浓度</w:t>
                  </w:r>
                </w:p>
              </w:tc>
              <w:tc>
                <w:tcPr>
                  <w:tcW w:w="956" w:type="dxa"/>
                  <w:noWrap w:val="0"/>
                  <w:vAlign w:val="center"/>
                </w:tcPr>
                <w:p w14:paraId="063BEEF5">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928" w:type="dxa"/>
                  <w:noWrap w:val="0"/>
                  <w:vAlign w:val="center"/>
                </w:tcPr>
                <w:p w14:paraId="0217F8E8">
                  <w:pPr>
                    <w:widowControl w:val="0"/>
                    <w:adjustRightInd w:val="0"/>
                    <w:snapToGrid w:val="0"/>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900" w:type="dxa"/>
                  <w:vMerge w:val="continue"/>
                  <w:noWrap w:val="0"/>
                  <w:vAlign w:val="center"/>
                </w:tcPr>
                <w:p w14:paraId="3FA79A5B">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770" w:type="dxa"/>
                  <w:vMerge w:val="continue"/>
                  <w:noWrap w:val="0"/>
                  <w:vAlign w:val="center"/>
                </w:tcPr>
                <w:p w14:paraId="3D23CC3B">
                  <w:pPr>
                    <w:widowControl w:val="0"/>
                    <w:adjustRightInd w:val="0"/>
                    <w:snapToGrid w:val="0"/>
                    <w:spacing w:line="240" w:lineRule="auto"/>
                    <w:jc w:val="center"/>
                    <w:rPr>
                      <w:rFonts w:hint="eastAsia" w:ascii="Times New Roman" w:hAnsi="Times New Roman" w:eastAsia="宋体" w:cs="Times New Roman"/>
                      <w:color w:val="FF0000"/>
                      <w:highlight w:val="none"/>
                      <w:lang w:val="en-US" w:eastAsia="zh-CN"/>
                    </w:rPr>
                  </w:pPr>
                </w:p>
              </w:tc>
              <w:tc>
                <w:tcPr>
                  <w:tcW w:w="848" w:type="dxa"/>
                  <w:vMerge w:val="continue"/>
                  <w:noWrap w:val="0"/>
                  <w:vAlign w:val="center"/>
                </w:tcPr>
                <w:p w14:paraId="6320C8D2">
                  <w:pPr>
                    <w:widowControl w:val="0"/>
                    <w:adjustRightInd w:val="0"/>
                    <w:snapToGrid w:val="0"/>
                    <w:spacing w:line="240" w:lineRule="auto"/>
                    <w:jc w:val="center"/>
                    <w:rPr>
                      <w:rFonts w:hint="default" w:ascii="Times New Roman" w:hAnsi="Times New Roman" w:eastAsia="宋体" w:cs="Times New Roman"/>
                      <w:color w:val="FF0000"/>
                      <w:highlight w:val="none"/>
                    </w:rPr>
                  </w:pPr>
                </w:p>
              </w:tc>
            </w:tr>
          </w:tbl>
          <w:p w14:paraId="29B17761">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center"/>
              <w:outlineLvl w:val="9"/>
              <w:rPr>
                <w:rFonts w:hint="default" w:ascii="Times New Roman" w:hAnsi="Times New Roman" w:eastAsia="宋体" w:cs="Times New Roman"/>
                <w:b/>
                <w:bCs w:val="0"/>
                <w:i w:val="0"/>
                <w:iCs w:val="0"/>
                <w:color w:val="auto"/>
                <w:sz w:val="24"/>
                <w:szCs w:val="22"/>
                <w:highlight w:val="none"/>
              </w:rPr>
            </w:pPr>
            <w:r>
              <w:rPr>
                <w:rFonts w:hint="eastAsia" w:ascii="Times New Roman" w:hAnsi="Times New Roman" w:eastAsia="宋体" w:cs="Times New Roman"/>
                <w:b/>
                <w:bCs w:val="0"/>
                <w:i w:val="0"/>
                <w:iCs w:val="0"/>
                <w:color w:val="auto"/>
                <w:sz w:val="24"/>
                <w:szCs w:val="22"/>
                <w:highlight w:val="none"/>
                <w:lang w:val="en-US" w:eastAsia="zh-CN"/>
              </w:rPr>
              <w:t>4.2.1.5废气治理措施可行性分析</w:t>
            </w:r>
          </w:p>
          <w:p w14:paraId="4B39F5A2">
            <w:pPr>
              <w:pStyle w:val="35"/>
              <w:keepNext w:val="0"/>
              <w:keepLines w:val="0"/>
              <w:pageBreakBefore w:val="0"/>
              <w:widowControl w:val="0"/>
              <w:kinsoku/>
              <w:wordWrap/>
              <w:overflowPunct/>
              <w:topLinePunct w:val="0"/>
              <w:bidi w:val="0"/>
              <w:snapToGrid/>
              <w:spacing w:line="360" w:lineRule="auto"/>
              <w:ind w:left="0" w:leftChars="0" w:firstLine="480" w:firstLineChars="200"/>
              <w:jc w:val="left"/>
              <w:rPr>
                <w:rFonts w:hint="default" w:ascii="Times New Roman" w:hAnsi="Times New Roman" w:eastAsia="宋体" w:cs="Times New Roman"/>
                <w:b w:val="0"/>
                <w:bCs/>
                <w:color w:val="FF0000"/>
                <w:sz w:val="24"/>
                <w:szCs w:val="24"/>
                <w:lang w:val="en-US" w:eastAsia="zh-CN"/>
              </w:rPr>
            </w:pPr>
            <w:r>
              <w:rPr>
                <w:rFonts w:hint="eastAsia" w:ascii="Times New Roman" w:cs="Times New Roman"/>
                <w:b w:val="0"/>
                <w:bCs/>
                <w:i w:val="0"/>
                <w:iCs w:val="0"/>
                <w:color w:val="auto"/>
                <w:sz w:val="24"/>
                <w:szCs w:val="24"/>
                <w:highlight w:val="none"/>
                <w:lang w:val="en-US" w:eastAsia="zh-CN"/>
              </w:rPr>
              <w:t>本项目焊锡、清洗废气采用过滤棉+活性炭吸附处理；塑封废气采用活性炭吸附处理</w:t>
            </w:r>
            <w:r>
              <w:rPr>
                <w:rFonts w:hint="eastAsia" w:ascii="Times New Roman" w:hAnsi="Times New Roman" w:cs="Times New Roman"/>
                <w:b w:val="0"/>
                <w:bCs w:val="0"/>
                <w:color w:val="auto"/>
                <w:sz w:val="24"/>
                <w:szCs w:val="24"/>
                <w:lang w:val="en-US" w:eastAsia="zh-CN"/>
              </w:rPr>
              <w:t>。以上废气处理措施属于</w:t>
            </w:r>
            <w:r>
              <w:rPr>
                <w:rFonts w:hint="eastAsia" w:ascii="Times New Roman" w:cs="Times New Roman"/>
                <w:b w:val="0"/>
                <w:bCs/>
                <w:i w:val="0"/>
                <w:iCs w:val="0"/>
                <w:color w:val="auto"/>
                <w:sz w:val="24"/>
                <w:szCs w:val="24"/>
                <w:highlight w:val="none"/>
                <w:lang w:val="en-US" w:eastAsia="zh-CN"/>
              </w:rPr>
              <w:t>排污许可证申请与核发技术规范 电子工业中明确的可行技术，具有可行性。</w:t>
            </w:r>
          </w:p>
          <w:p w14:paraId="2368217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bCs w:val="0"/>
                <w:i w:val="0"/>
                <w:iCs w:val="0"/>
                <w:color w:val="auto"/>
                <w:sz w:val="24"/>
                <w:szCs w:val="22"/>
                <w:highlight w:val="none"/>
                <w:lang w:val="en-US"/>
              </w:rPr>
            </w:pPr>
            <w:r>
              <w:rPr>
                <w:rFonts w:hint="eastAsia" w:ascii="Times New Roman" w:hAnsi="Times New Roman" w:eastAsia="宋体" w:cs="Times New Roman"/>
                <w:b/>
                <w:bCs w:val="0"/>
                <w:i w:val="0"/>
                <w:iCs w:val="0"/>
                <w:color w:val="auto"/>
                <w:sz w:val="24"/>
                <w:szCs w:val="22"/>
                <w:highlight w:val="none"/>
                <w:lang w:val="en-US" w:eastAsia="zh-CN"/>
              </w:rPr>
              <w:t>4.2.1.6大气环境影响分析</w:t>
            </w:r>
          </w:p>
          <w:p w14:paraId="42050A82">
            <w:pPr>
              <w:pStyle w:val="7"/>
              <w:spacing w:line="500" w:lineRule="exact"/>
              <w:ind w:firstLine="480" w:firstLineChars="200"/>
              <w:rPr>
                <w:rFonts w:hint="eastAsia"/>
                <w:color w:val="auto"/>
                <w:lang w:val="en-US" w:eastAsia="zh-CN"/>
              </w:rPr>
            </w:pPr>
            <w:r>
              <w:rPr>
                <w:color w:val="auto"/>
                <w:sz w:val="24"/>
                <w:highlight w:val="none"/>
              </w:rPr>
              <w:t>本项目废气采取相应的处理措施后</w:t>
            </w:r>
            <w:r>
              <w:rPr>
                <w:rFonts w:hint="eastAsia"/>
                <w:color w:val="auto"/>
                <w:sz w:val="24"/>
                <w:highlight w:val="none"/>
              </w:rPr>
              <w:t>均达标排放</w:t>
            </w:r>
            <w:r>
              <w:rPr>
                <w:color w:val="auto"/>
                <w:sz w:val="24"/>
                <w:highlight w:val="none"/>
              </w:rPr>
              <w:t>，</w:t>
            </w:r>
            <w:r>
              <w:rPr>
                <w:rFonts w:hint="eastAsia"/>
                <w:color w:val="auto"/>
                <w:sz w:val="24"/>
                <w:highlight w:val="none"/>
              </w:rPr>
              <w:t>污染物排放源强不大，均</w:t>
            </w:r>
            <w:r>
              <w:rPr>
                <w:color w:val="auto"/>
                <w:sz w:val="24"/>
                <w:highlight w:val="none"/>
              </w:rPr>
              <w:t>能达到相应排放标准要求</w:t>
            </w:r>
            <w:r>
              <w:rPr>
                <w:rFonts w:hint="eastAsia"/>
                <w:color w:val="auto"/>
                <w:sz w:val="24"/>
                <w:highlight w:val="none"/>
              </w:rPr>
              <w:t>。因此，本项目建成后对周边大气环境质量和环境保护目标影响较小。在非正常工况下，企业生产工序产生的废气未经处理对大气环境排放，对厂界周围环境保护目标及周围大气环境会造成一定影响，环评要求废气处理设施出现故障不能正常运行时，应立即停产进行维修，平时应加强废气处理设施检修，在采取上述措施情况下，可大大降低对周围大气环境的影响。</w:t>
            </w:r>
          </w:p>
          <w:p w14:paraId="292E50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color w:val="auto"/>
                <w:sz w:val="24"/>
                <w:szCs w:val="22"/>
                <w:lang w:val="en-US" w:eastAsia="zh-CN"/>
              </w:rPr>
              <w:t>4.2.2</w:t>
            </w:r>
            <w:r>
              <w:rPr>
                <w:rFonts w:hint="default" w:ascii="Times New Roman" w:hAnsi="Times New Roman" w:eastAsia="宋体" w:cs="Times New Roman"/>
                <w:b/>
                <w:color w:val="auto"/>
                <w:sz w:val="24"/>
                <w:szCs w:val="22"/>
              </w:rPr>
              <w:t>废水</w:t>
            </w:r>
          </w:p>
          <w:p w14:paraId="6D7D8967">
            <w:pPr>
              <w:spacing w:line="360" w:lineRule="auto"/>
              <w:textAlignment w:val="center"/>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4.2.2.1废水源强分析</w:t>
            </w:r>
          </w:p>
          <w:p w14:paraId="02757F12">
            <w:pPr>
              <w:spacing w:line="360" w:lineRule="auto"/>
              <w:ind w:firstLine="480" w:firstLineChars="200"/>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rPr>
              <w:t>①</w:t>
            </w:r>
            <w:r>
              <w:rPr>
                <w:rFonts w:hint="eastAsia" w:ascii="Times New Roman" w:hAnsi="Times New Roman" w:cs="Times New Roman"/>
                <w:b w:val="0"/>
                <w:bCs w:val="0"/>
                <w:color w:val="auto"/>
                <w:sz w:val="24"/>
                <w:szCs w:val="24"/>
                <w:highlight w:val="none"/>
                <w:lang w:val="en-US" w:eastAsia="zh-CN"/>
              </w:rPr>
              <w:t>生活污水</w:t>
            </w:r>
          </w:p>
          <w:p w14:paraId="47961D43">
            <w:pPr>
              <w:spacing w:line="360" w:lineRule="auto"/>
              <w:ind w:firstLine="480" w:firstLineChars="200"/>
              <w:rPr>
                <w:rFonts w:ascii="Times New Roman" w:hAnsi="Times New Roman"/>
                <w:b w:val="0"/>
                <w:bCs w:val="0"/>
                <w:color w:val="FF0000"/>
                <w:sz w:val="24"/>
                <w:szCs w:val="24"/>
                <w:highlight w:val="none"/>
              </w:rPr>
            </w:pPr>
            <w:r>
              <w:rPr>
                <w:rFonts w:ascii="Times New Roman" w:hAnsi="Times New Roman"/>
                <w:b w:val="0"/>
                <w:bCs w:val="0"/>
                <w:color w:val="auto"/>
                <w:sz w:val="24"/>
                <w:szCs w:val="24"/>
                <w:highlight w:val="none"/>
              </w:rPr>
              <w:t>本项目</w:t>
            </w:r>
            <w:r>
              <w:rPr>
                <w:rFonts w:hint="eastAsia" w:ascii="Times New Roman" w:hAnsi="Times New Roman"/>
                <w:b w:val="0"/>
                <w:bCs w:val="0"/>
                <w:color w:val="auto"/>
                <w:sz w:val="24"/>
                <w:szCs w:val="24"/>
                <w:highlight w:val="none"/>
                <w:lang w:val="en-US" w:eastAsia="zh-CN"/>
              </w:rPr>
              <w:t>新增员工32</w:t>
            </w:r>
            <w:r>
              <w:rPr>
                <w:rFonts w:ascii="Times New Roman" w:hAnsi="Times New Roman"/>
                <w:b w:val="0"/>
                <w:bCs w:val="0"/>
                <w:color w:val="auto"/>
                <w:sz w:val="24"/>
                <w:szCs w:val="24"/>
                <w:highlight w:val="none"/>
              </w:rPr>
              <w:t>人，厂区</w:t>
            </w:r>
            <w:r>
              <w:rPr>
                <w:rFonts w:hint="eastAsia" w:ascii="Times New Roman" w:hAnsi="Times New Roman"/>
                <w:b w:val="0"/>
                <w:bCs w:val="0"/>
                <w:color w:val="auto"/>
                <w:sz w:val="24"/>
                <w:szCs w:val="24"/>
                <w:highlight w:val="none"/>
                <w:lang w:val="en-US" w:eastAsia="zh-CN"/>
              </w:rPr>
              <w:t>设</w:t>
            </w:r>
            <w:r>
              <w:rPr>
                <w:rFonts w:ascii="Times New Roman" w:hAnsi="Times New Roman"/>
                <w:b w:val="0"/>
                <w:bCs w:val="0"/>
                <w:color w:val="auto"/>
                <w:sz w:val="24"/>
                <w:szCs w:val="24"/>
                <w:highlight w:val="none"/>
              </w:rPr>
              <w:t>食堂</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t>宿舍，实行</w:t>
            </w:r>
            <w:r>
              <w:rPr>
                <w:rFonts w:hint="eastAsia" w:ascii="Times New Roman" w:hAnsi="Times New Roman"/>
                <w:b w:val="0"/>
                <w:bCs w:val="0"/>
                <w:color w:val="auto"/>
                <w:sz w:val="24"/>
                <w:szCs w:val="24"/>
                <w:highlight w:val="none"/>
                <w:lang w:val="en-US" w:eastAsia="zh-CN"/>
              </w:rPr>
              <w:t>一</w:t>
            </w:r>
            <w:r>
              <w:rPr>
                <w:rFonts w:ascii="Times New Roman" w:hAnsi="Times New Roman"/>
                <w:b w:val="0"/>
                <w:bCs w:val="0"/>
                <w:color w:val="auto"/>
                <w:sz w:val="24"/>
                <w:szCs w:val="24"/>
                <w:highlight w:val="none"/>
              </w:rPr>
              <w:t>班制生产，员工生活用水量以每人每天</w:t>
            </w:r>
            <w:r>
              <w:rPr>
                <w:rFonts w:hint="eastAsia" w:ascii="Times New Roman" w:hAnsi="Times New Roman"/>
                <w:b w:val="0"/>
                <w:bCs w:val="0"/>
                <w:color w:val="auto"/>
                <w:sz w:val="24"/>
                <w:szCs w:val="24"/>
                <w:highlight w:val="none"/>
                <w:lang w:val="en-US" w:eastAsia="zh-CN"/>
              </w:rPr>
              <w:t>20</w:t>
            </w:r>
            <w:r>
              <w:rPr>
                <w:rFonts w:ascii="Times New Roman" w:hAnsi="Times New Roman"/>
                <w:b w:val="0"/>
                <w:bCs w:val="0"/>
                <w:color w:val="auto"/>
                <w:sz w:val="24"/>
                <w:szCs w:val="24"/>
                <w:highlight w:val="none"/>
              </w:rPr>
              <w:t>0L计，年生产天数为</w:t>
            </w:r>
            <w:r>
              <w:rPr>
                <w:rFonts w:hint="eastAsia" w:ascii="Times New Roman" w:hAnsi="Times New Roman"/>
                <w:b w:val="0"/>
                <w:bCs w:val="0"/>
                <w:color w:val="auto"/>
                <w:sz w:val="24"/>
                <w:szCs w:val="24"/>
                <w:highlight w:val="none"/>
                <w:lang w:eastAsia="zh-CN"/>
              </w:rPr>
              <w:t>3</w:t>
            </w:r>
            <w:r>
              <w:rPr>
                <w:rFonts w:hint="eastAsia" w:ascii="Times New Roman" w:hAnsi="Times New Roman"/>
                <w:b w:val="0"/>
                <w:bCs w:val="0"/>
                <w:color w:val="auto"/>
                <w:sz w:val="24"/>
                <w:szCs w:val="24"/>
                <w:highlight w:val="none"/>
                <w:lang w:val="en-US" w:eastAsia="zh-CN"/>
              </w:rPr>
              <w:t>0</w:t>
            </w:r>
            <w:r>
              <w:rPr>
                <w:rFonts w:hint="eastAsia" w:ascii="Times New Roman" w:hAnsi="Times New Roman"/>
                <w:b w:val="0"/>
                <w:bCs w:val="0"/>
                <w:color w:val="auto"/>
                <w:sz w:val="24"/>
                <w:szCs w:val="24"/>
                <w:highlight w:val="none"/>
                <w:lang w:eastAsia="zh-CN"/>
              </w:rPr>
              <w:t>0d</w:t>
            </w:r>
            <w:r>
              <w:rPr>
                <w:rFonts w:ascii="Times New Roman" w:hAnsi="Times New Roman"/>
                <w:b w:val="0"/>
                <w:bCs w:val="0"/>
                <w:color w:val="auto"/>
                <w:sz w:val="24"/>
                <w:szCs w:val="24"/>
                <w:highlight w:val="none"/>
              </w:rPr>
              <w:t>，则年用水量为</w:t>
            </w:r>
            <w:r>
              <w:rPr>
                <w:rFonts w:hint="eastAsia" w:ascii="Times New Roman" w:hAnsi="Times New Roman"/>
                <w:b w:val="0"/>
                <w:bCs w:val="0"/>
                <w:color w:val="auto"/>
                <w:sz w:val="24"/>
                <w:szCs w:val="24"/>
                <w:highlight w:val="none"/>
                <w:lang w:val="en-US" w:eastAsia="zh-CN"/>
              </w:rPr>
              <w:t>1920</w:t>
            </w:r>
            <w:r>
              <w:rPr>
                <w:rFonts w:ascii="Times New Roman" w:hAnsi="Times New Roman"/>
                <w:b w:val="0"/>
                <w:bCs w:val="0"/>
                <w:color w:val="auto"/>
                <w:sz w:val="24"/>
                <w:szCs w:val="24"/>
                <w:highlight w:val="none"/>
              </w:rPr>
              <w:t>t，排污系数取0.8，则生活污水产生量为</w:t>
            </w:r>
            <w:r>
              <w:rPr>
                <w:rFonts w:hint="eastAsia" w:ascii="Times New Roman" w:hAnsi="Times New Roman"/>
                <w:b w:val="0"/>
                <w:bCs w:val="0"/>
                <w:color w:val="auto"/>
                <w:sz w:val="24"/>
                <w:szCs w:val="24"/>
                <w:highlight w:val="none"/>
                <w:lang w:val="en-US" w:eastAsia="zh-CN"/>
              </w:rPr>
              <w:t>1536</w:t>
            </w:r>
            <w:r>
              <w:rPr>
                <w:rFonts w:ascii="Times New Roman" w:hAnsi="Times New Roman"/>
                <w:b w:val="0"/>
                <w:bCs w:val="0"/>
                <w:color w:val="auto"/>
                <w:sz w:val="24"/>
                <w:szCs w:val="24"/>
                <w:highlight w:val="none"/>
              </w:rPr>
              <w:t>t/a</w:t>
            </w:r>
            <w:r>
              <w:rPr>
                <w:rFonts w:hint="eastAsia" w:ascii="Times New Roman" w:hAnsi="Times New Roman"/>
                <w:b w:val="0"/>
                <w:bCs w:val="0"/>
                <w:color w:val="auto"/>
                <w:sz w:val="24"/>
                <w:szCs w:val="24"/>
                <w:highlight w:val="none"/>
                <w:lang w:val="en-US" w:eastAsia="zh-CN"/>
              </w:rPr>
              <w:t>。</w:t>
            </w:r>
            <w:r>
              <w:rPr>
                <w:rFonts w:ascii="Times New Roman" w:hAnsi="Times New Roman"/>
                <w:b w:val="0"/>
                <w:bCs w:val="0"/>
                <w:color w:val="auto"/>
                <w:sz w:val="24"/>
                <w:szCs w:val="24"/>
                <w:highlight w:val="none"/>
              </w:rPr>
              <w:t>生活污水的污染因子主要是COD</w:t>
            </w:r>
            <w:r>
              <w:rPr>
                <w:rFonts w:ascii="Times New Roman" w:hAnsi="Times New Roman"/>
                <w:b w:val="0"/>
                <w:bCs w:val="0"/>
                <w:color w:val="auto"/>
                <w:sz w:val="24"/>
                <w:szCs w:val="24"/>
                <w:highlight w:val="none"/>
                <w:vertAlign w:val="subscript"/>
              </w:rPr>
              <w:t>Cr</w:t>
            </w:r>
            <w:r>
              <w:rPr>
                <w:rFonts w:ascii="Times New Roman" w:hAnsi="Times New Roman"/>
                <w:b w:val="0"/>
                <w:bCs w:val="0"/>
                <w:color w:val="auto"/>
                <w:sz w:val="24"/>
                <w:szCs w:val="24"/>
                <w:highlight w:val="none"/>
              </w:rPr>
              <w:t>、NH</w:t>
            </w:r>
            <w:r>
              <w:rPr>
                <w:rFonts w:ascii="Times New Roman" w:hAnsi="Times New Roman"/>
                <w:b w:val="0"/>
                <w:bCs w:val="0"/>
                <w:color w:val="auto"/>
                <w:sz w:val="24"/>
                <w:szCs w:val="24"/>
                <w:highlight w:val="none"/>
                <w:vertAlign w:val="subscript"/>
              </w:rPr>
              <w:t>3</w:t>
            </w:r>
            <w:r>
              <w:rPr>
                <w:rFonts w:ascii="Times New Roman" w:hAnsi="Times New Roman"/>
                <w:b w:val="0"/>
                <w:bCs w:val="0"/>
                <w:color w:val="auto"/>
                <w:sz w:val="24"/>
                <w:szCs w:val="24"/>
                <w:highlight w:val="none"/>
              </w:rPr>
              <w:t>-N等，</w:t>
            </w:r>
            <w:r>
              <w:rPr>
                <w:rFonts w:hint="eastAsia" w:ascii="Times New Roman" w:hAnsi="Times New Roman"/>
                <w:b w:val="0"/>
                <w:bCs w:val="0"/>
                <w:color w:val="auto"/>
                <w:sz w:val="24"/>
                <w:szCs w:val="24"/>
                <w:highlight w:val="none"/>
                <w:lang w:val="en-US" w:eastAsia="zh-CN"/>
              </w:rPr>
              <w:t>其产生浓度分别为COD</w:t>
            </w:r>
            <w:r>
              <w:rPr>
                <w:rFonts w:hint="eastAsia" w:ascii="Times New Roman" w:hAnsi="Times New Roman"/>
                <w:b w:val="0"/>
                <w:bCs w:val="0"/>
                <w:color w:val="auto"/>
                <w:sz w:val="24"/>
                <w:szCs w:val="24"/>
                <w:highlight w:val="none"/>
                <w:vertAlign w:val="subscript"/>
                <w:lang w:val="en-US" w:eastAsia="zh-CN"/>
              </w:rPr>
              <w:t>Cr</w:t>
            </w:r>
            <w:r>
              <w:rPr>
                <w:rFonts w:hint="eastAsia" w:ascii="Times New Roman" w:hAnsi="Times New Roman"/>
                <w:b w:val="0"/>
                <w:bCs w:val="0"/>
                <w:color w:val="auto"/>
                <w:sz w:val="24"/>
                <w:szCs w:val="24"/>
                <w:highlight w:val="none"/>
                <w:lang w:val="en-US" w:eastAsia="zh-CN"/>
              </w:rPr>
              <w:t>：380mg/L、NH</w:t>
            </w:r>
            <w:r>
              <w:rPr>
                <w:rFonts w:hint="eastAsia" w:ascii="Times New Roman" w:hAnsi="Times New Roman"/>
                <w:b w:val="0"/>
                <w:bCs w:val="0"/>
                <w:color w:val="auto"/>
                <w:sz w:val="24"/>
                <w:szCs w:val="24"/>
                <w:highlight w:val="none"/>
                <w:vertAlign w:val="subscript"/>
                <w:lang w:val="en-US" w:eastAsia="zh-CN"/>
              </w:rPr>
              <w:t>3</w:t>
            </w:r>
            <w:r>
              <w:rPr>
                <w:rFonts w:hint="eastAsia" w:ascii="Times New Roman" w:hAnsi="Times New Roman"/>
                <w:b w:val="0"/>
                <w:bCs w:val="0"/>
                <w:color w:val="auto"/>
                <w:sz w:val="24"/>
                <w:szCs w:val="24"/>
                <w:highlight w:val="none"/>
                <w:lang w:val="en-US" w:eastAsia="zh-CN"/>
              </w:rPr>
              <w:t>-N：40mg/L、动植物油：50mg/L，则污染物产生量为COD</w:t>
            </w:r>
            <w:r>
              <w:rPr>
                <w:rFonts w:hint="eastAsia" w:ascii="Times New Roman" w:hAnsi="Times New Roman"/>
                <w:b w:val="0"/>
                <w:bCs w:val="0"/>
                <w:color w:val="auto"/>
                <w:sz w:val="24"/>
                <w:szCs w:val="24"/>
                <w:highlight w:val="none"/>
                <w:vertAlign w:val="subscript"/>
                <w:lang w:val="en-US" w:eastAsia="zh-CN"/>
              </w:rPr>
              <w:t>Cr</w:t>
            </w:r>
            <w:r>
              <w:rPr>
                <w:rFonts w:hint="eastAsia" w:ascii="Times New Roman" w:hAnsi="Times New Roman"/>
                <w:b w:val="0"/>
                <w:bCs w:val="0"/>
                <w:color w:val="auto"/>
                <w:sz w:val="24"/>
                <w:szCs w:val="24"/>
                <w:highlight w:val="none"/>
                <w:lang w:val="en-US" w:eastAsia="zh-CN"/>
              </w:rPr>
              <w:t>：0.584t/a、NH</w:t>
            </w:r>
            <w:r>
              <w:rPr>
                <w:rFonts w:hint="eastAsia" w:ascii="Times New Roman" w:hAnsi="Times New Roman"/>
                <w:b w:val="0"/>
                <w:bCs w:val="0"/>
                <w:color w:val="auto"/>
                <w:sz w:val="24"/>
                <w:szCs w:val="24"/>
                <w:highlight w:val="none"/>
                <w:vertAlign w:val="subscript"/>
                <w:lang w:val="en-US" w:eastAsia="zh-CN"/>
              </w:rPr>
              <w:t>3</w:t>
            </w:r>
            <w:r>
              <w:rPr>
                <w:rFonts w:hint="eastAsia" w:ascii="Times New Roman" w:hAnsi="Times New Roman"/>
                <w:b w:val="0"/>
                <w:bCs w:val="0"/>
                <w:color w:val="auto"/>
                <w:sz w:val="24"/>
                <w:szCs w:val="24"/>
                <w:highlight w:val="none"/>
                <w:lang w:val="en-US" w:eastAsia="zh-CN"/>
              </w:rPr>
              <w:t>-N：0.061t/a、动植物油：0.077t/a。</w:t>
            </w:r>
            <w:r>
              <w:rPr>
                <w:rFonts w:ascii="Times New Roman" w:hAnsi="Times New Roman"/>
                <w:b w:val="0"/>
                <w:bCs w:val="0"/>
                <w:color w:val="auto"/>
                <w:sz w:val="24"/>
                <w:szCs w:val="24"/>
                <w:highlight w:val="none"/>
              </w:rPr>
              <w:t>经</w:t>
            </w:r>
            <w:r>
              <w:rPr>
                <w:rFonts w:hint="eastAsia" w:ascii="Times New Roman" w:hAnsi="Times New Roman"/>
                <w:b w:val="0"/>
                <w:bCs w:val="0"/>
                <w:color w:val="auto"/>
                <w:sz w:val="24"/>
                <w:szCs w:val="24"/>
                <w:highlight w:val="none"/>
                <w:lang w:val="en-US" w:eastAsia="zh-CN"/>
              </w:rPr>
              <w:t>隔油池、</w:t>
            </w:r>
            <w:r>
              <w:rPr>
                <w:rFonts w:ascii="Times New Roman" w:hAnsi="Times New Roman"/>
                <w:b w:val="0"/>
                <w:bCs w:val="0"/>
                <w:color w:val="auto"/>
                <w:sz w:val="24"/>
                <w:szCs w:val="24"/>
                <w:highlight w:val="none"/>
              </w:rPr>
              <w:t>化粪池处理后，</w:t>
            </w:r>
            <w:r>
              <w:rPr>
                <w:rFonts w:hint="eastAsia" w:ascii="Times New Roman" w:hAnsi="Times New Roman"/>
                <w:b w:val="0"/>
                <w:bCs w:val="0"/>
                <w:color w:val="auto"/>
                <w:sz w:val="24"/>
                <w:szCs w:val="24"/>
                <w:highlight w:val="none"/>
              </w:rPr>
              <w:t>浓度分别为COD</w:t>
            </w:r>
            <w:r>
              <w:rPr>
                <w:rFonts w:hint="eastAsia" w:ascii="Times New Roman" w:hAnsi="Times New Roman"/>
                <w:b w:val="0"/>
                <w:bCs w:val="0"/>
                <w:color w:val="auto"/>
                <w:sz w:val="24"/>
                <w:szCs w:val="24"/>
                <w:highlight w:val="none"/>
                <w:vertAlign w:val="subscript"/>
              </w:rPr>
              <w:t>Cr</w:t>
            </w:r>
            <w:r>
              <w:rPr>
                <w:rFonts w:hint="eastAsia" w:ascii="Times New Roman" w:hAnsi="Times New Roman"/>
                <w:b w:val="0"/>
                <w:bCs w:val="0"/>
                <w:color w:val="auto"/>
                <w:sz w:val="24"/>
                <w:szCs w:val="24"/>
                <w:highlight w:val="none"/>
              </w:rPr>
              <w:t>：300mg/L、NH</w:t>
            </w:r>
            <w:r>
              <w:rPr>
                <w:rFonts w:hint="eastAsia" w:ascii="Times New Roman" w:hAnsi="Times New Roman"/>
                <w:b w:val="0"/>
                <w:bCs w:val="0"/>
                <w:color w:val="auto"/>
                <w:sz w:val="24"/>
                <w:szCs w:val="24"/>
                <w:highlight w:val="none"/>
                <w:vertAlign w:val="subscript"/>
              </w:rPr>
              <w:t>3</w:t>
            </w:r>
            <w:r>
              <w:rPr>
                <w:rFonts w:hint="eastAsia" w:ascii="Times New Roman" w:hAnsi="Times New Roman"/>
                <w:b w:val="0"/>
                <w:bCs w:val="0"/>
                <w:color w:val="auto"/>
                <w:sz w:val="24"/>
                <w:szCs w:val="24"/>
                <w:highlight w:val="none"/>
              </w:rPr>
              <w:t>-N：30mg/L、动植物油：25mg/L，则污染物的排放量分别为COD</w:t>
            </w:r>
            <w:r>
              <w:rPr>
                <w:rFonts w:hint="eastAsia" w:ascii="Times New Roman" w:hAnsi="Times New Roman"/>
                <w:b w:val="0"/>
                <w:bCs w:val="0"/>
                <w:color w:val="auto"/>
                <w:sz w:val="24"/>
                <w:szCs w:val="24"/>
                <w:highlight w:val="none"/>
                <w:vertAlign w:val="subscript"/>
              </w:rPr>
              <w:t>Cr</w:t>
            </w:r>
            <w:r>
              <w:rPr>
                <w:rFonts w:hint="eastAsia" w:ascii="Times New Roman" w:hAnsi="Times New Roman"/>
                <w:b w:val="0"/>
                <w:bCs w:val="0"/>
                <w:color w:val="auto"/>
                <w:sz w:val="24"/>
                <w:szCs w:val="24"/>
                <w:highlight w:val="none"/>
              </w:rPr>
              <w:t>：0.4</w:t>
            </w:r>
            <w:r>
              <w:rPr>
                <w:rFonts w:hint="eastAsia" w:ascii="Times New Roman" w:hAnsi="Times New Roman"/>
                <w:b w:val="0"/>
                <w:bCs w:val="0"/>
                <w:color w:val="auto"/>
                <w:sz w:val="24"/>
                <w:szCs w:val="24"/>
                <w:highlight w:val="none"/>
                <w:lang w:val="en-US" w:eastAsia="zh-CN"/>
              </w:rPr>
              <w:t>61</w:t>
            </w:r>
            <w:r>
              <w:rPr>
                <w:rFonts w:hint="eastAsia" w:ascii="Times New Roman" w:hAnsi="Times New Roman"/>
                <w:b w:val="0"/>
                <w:bCs w:val="0"/>
                <w:color w:val="auto"/>
                <w:sz w:val="24"/>
                <w:szCs w:val="24"/>
                <w:highlight w:val="none"/>
              </w:rPr>
              <w:t>t/a、NH</w:t>
            </w:r>
            <w:r>
              <w:rPr>
                <w:rFonts w:hint="eastAsia" w:ascii="Times New Roman" w:hAnsi="Times New Roman"/>
                <w:b w:val="0"/>
                <w:bCs w:val="0"/>
                <w:color w:val="auto"/>
                <w:sz w:val="24"/>
                <w:szCs w:val="24"/>
                <w:highlight w:val="none"/>
                <w:vertAlign w:val="subscript"/>
              </w:rPr>
              <w:t>3</w:t>
            </w:r>
            <w:r>
              <w:rPr>
                <w:rFonts w:hint="eastAsia" w:ascii="Times New Roman" w:hAnsi="Times New Roman"/>
                <w:b w:val="0"/>
                <w:bCs w:val="0"/>
                <w:color w:val="auto"/>
                <w:sz w:val="24"/>
                <w:szCs w:val="24"/>
                <w:highlight w:val="none"/>
              </w:rPr>
              <w:t>-N：0.04</w:t>
            </w:r>
            <w:r>
              <w:rPr>
                <w:rFonts w:hint="eastAsia" w:ascii="Times New Roman" w:hAnsi="Times New Roman"/>
                <w:b w:val="0"/>
                <w:bCs w:val="0"/>
                <w:color w:val="auto"/>
                <w:sz w:val="24"/>
                <w:szCs w:val="24"/>
                <w:highlight w:val="none"/>
                <w:lang w:val="en-US" w:eastAsia="zh-CN"/>
              </w:rPr>
              <w:t>6</w:t>
            </w:r>
            <w:r>
              <w:rPr>
                <w:rFonts w:hint="eastAsia" w:ascii="Times New Roman" w:hAnsi="Times New Roman"/>
                <w:b w:val="0"/>
                <w:bCs w:val="0"/>
                <w:color w:val="auto"/>
                <w:sz w:val="24"/>
                <w:szCs w:val="24"/>
                <w:highlight w:val="none"/>
              </w:rPr>
              <w:t>t/a、动植物油：0.03</w:t>
            </w:r>
            <w:r>
              <w:rPr>
                <w:rFonts w:hint="eastAsia" w:ascii="Times New Roman" w:hAnsi="Times New Roman"/>
                <w:b w:val="0"/>
                <w:bCs w:val="0"/>
                <w:color w:val="auto"/>
                <w:sz w:val="24"/>
                <w:szCs w:val="24"/>
                <w:highlight w:val="none"/>
                <w:lang w:val="en-US" w:eastAsia="zh-CN"/>
              </w:rPr>
              <w:t>8</w:t>
            </w:r>
            <w:r>
              <w:rPr>
                <w:rFonts w:hint="eastAsia" w:ascii="Times New Roman" w:hAnsi="Times New Roman"/>
                <w:b w:val="0"/>
                <w:bCs w:val="0"/>
                <w:color w:val="auto"/>
                <w:sz w:val="24"/>
                <w:szCs w:val="24"/>
                <w:highlight w:val="none"/>
              </w:rPr>
              <w:t>t/a，水质达到《污水综合排放标准》（GB8978-1996）中的三级标准，纳管至德清县恒丰污水处理有限公司及湖州碧水源环境科技有限公司，达标</w:t>
            </w:r>
            <w:r>
              <w:rPr>
                <w:rFonts w:hint="eastAsia" w:ascii="Times New Roman" w:hAnsi="Times New Roman"/>
                <w:b w:val="0"/>
                <w:bCs w:val="0"/>
                <w:color w:val="auto"/>
                <w:sz w:val="24"/>
                <w:szCs w:val="24"/>
                <w:highlight w:val="none"/>
                <w:lang w:val="en-US" w:eastAsia="zh-CN"/>
              </w:rPr>
              <w:t>排放。德清县恒丰污水处理有限公司及湖州碧水源环境科技有限公司尾水排放执行《城镇污水处理厂污染物排放标准》（GB18918-2002）一级A标准，其中化学需氧量、氨氮、总氮、总磷执行《城镇污水处理厂主要水污染排放标准》（DB33/2169-2018)中表1限值，则排入自然水体的主要污染物量约为COD</w:t>
            </w:r>
            <w:r>
              <w:rPr>
                <w:rFonts w:hint="eastAsia" w:ascii="Times New Roman" w:hAnsi="Times New Roman"/>
                <w:b w:val="0"/>
                <w:bCs w:val="0"/>
                <w:color w:val="auto"/>
                <w:sz w:val="24"/>
                <w:szCs w:val="24"/>
                <w:highlight w:val="none"/>
                <w:vertAlign w:val="subscript"/>
                <w:lang w:val="en-US" w:eastAsia="zh-CN"/>
              </w:rPr>
              <w:t>Cr</w:t>
            </w:r>
            <w:r>
              <w:rPr>
                <w:rFonts w:hint="eastAsia" w:ascii="Times New Roman" w:hAnsi="Times New Roman"/>
                <w:b w:val="0"/>
                <w:bCs w:val="0"/>
                <w:color w:val="auto"/>
                <w:sz w:val="24"/>
                <w:szCs w:val="24"/>
                <w:highlight w:val="none"/>
                <w:lang w:val="en-US" w:eastAsia="zh-CN"/>
              </w:rPr>
              <w:t>：0.061t/a、NH</w:t>
            </w:r>
            <w:r>
              <w:rPr>
                <w:rFonts w:hint="eastAsia" w:ascii="Times New Roman" w:hAnsi="Times New Roman"/>
                <w:b w:val="0"/>
                <w:bCs w:val="0"/>
                <w:color w:val="auto"/>
                <w:sz w:val="24"/>
                <w:szCs w:val="24"/>
                <w:highlight w:val="none"/>
                <w:vertAlign w:val="subscript"/>
                <w:lang w:val="en-US" w:eastAsia="zh-CN"/>
              </w:rPr>
              <w:t>3</w:t>
            </w:r>
            <w:r>
              <w:rPr>
                <w:rFonts w:hint="eastAsia" w:ascii="Times New Roman" w:hAnsi="Times New Roman"/>
                <w:b w:val="0"/>
                <w:bCs w:val="0"/>
                <w:color w:val="auto"/>
                <w:sz w:val="24"/>
                <w:szCs w:val="24"/>
                <w:highlight w:val="none"/>
                <w:lang w:val="en-US" w:eastAsia="zh-CN"/>
              </w:rPr>
              <w:t>-N：0.003t/a、动植物油：0.002t/a。</w:t>
            </w:r>
          </w:p>
          <w:p w14:paraId="08DD4CC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②</w:t>
            </w:r>
            <w:r>
              <w:rPr>
                <w:rFonts w:hint="eastAsia" w:ascii="Times New Roman" w:hAnsi="Times New Roman" w:eastAsia="宋体" w:cs="Times New Roman"/>
                <w:b w:val="0"/>
                <w:bCs w:val="0"/>
                <w:color w:val="auto"/>
                <w:sz w:val="24"/>
                <w:szCs w:val="24"/>
                <w:highlight w:val="none"/>
                <w:lang w:val="en-US" w:eastAsia="zh-CN"/>
              </w:rPr>
              <w:t>冷却水</w:t>
            </w:r>
          </w:p>
          <w:p w14:paraId="0202FCB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宋体" w:cs="Times New Roman"/>
                <w:b w:val="0"/>
                <w:bCs w:val="0"/>
                <w:color w:val="FF0000"/>
                <w:sz w:val="24"/>
                <w:szCs w:val="24"/>
                <w:lang w:val="en-US" w:eastAsia="zh-CN"/>
              </w:rPr>
            </w:pPr>
            <w:r>
              <w:rPr>
                <w:rFonts w:hint="eastAsia" w:ascii="Times New Roman" w:hAnsi="Times New Roman" w:eastAsia="宋体" w:cs="Times New Roman"/>
                <w:b w:val="0"/>
                <w:bCs w:val="0"/>
                <w:color w:val="auto"/>
                <w:sz w:val="24"/>
                <w:szCs w:val="24"/>
                <w:lang w:val="en-US" w:eastAsia="zh-CN"/>
              </w:rPr>
              <w:t>本项目营运期注塑机需用冷水进行冷却，冷却水循环使用不排放，只需定期补充损耗即可，年补充量为200t/a。</w:t>
            </w:r>
          </w:p>
          <w:p w14:paraId="4205DFAC">
            <w:pPr>
              <w:spacing w:line="500" w:lineRule="exact"/>
              <w:textAlignment w:val="cente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lang w:val="en-US" w:eastAsia="zh-CN"/>
              </w:rPr>
              <w:t>4.2.2.2排</w:t>
            </w:r>
            <w:r>
              <w:rPr>
                <w:rFonts w:hint="eastAsia" w:ascii="Times New Roman" w:hAnsi="Times New Roman" w:eastAsia="宋体" w:cs="Times New Roman"/>
                <w:b/>
                <w:bCs/>
                <w:color w:val="auto"/>
                <w:sz w:val="24"/>
                <w:szCs w:val="24"/>
                <w:highlight w:val="none"/>
                <w:lang w:val="en-US" w:eastAsia="zh-CN"/>
              </w:rPr>
              <w:t>污口设置及监测计划</w:t>
            </w:r>
          </w:p>
          <w:p w14:paraId="562BE3A3">
            <w:pPr>
              <w:pStyle w:val="7"/>
              <w:spacing w:line="460" w:lineRule="exact"/>
              <w:ind w:firstLine="480" w:firstLineChars="200"/>
              <w:jc w:val="both"/>
              <w:textAlignment w:val="center"/>
              <w:rPr>
                <w:rFonts w:hint="eastAsia" w:ascii="Times New Roman" w:hAnsi="Times New Roman" w:cs="Times New Roman"/>
                <w:color w:val="auto"/>
                <w:sz w:val="24"/>
                <w:szCs w:val="22"/>
                <w:lang w:val="en-US" w:eastAsia="zh-CN"/>
              </w:rPr>
            </w:pPr>
            <w:r>
              <w:rPr>
                <w:rFonts w:hint="default" w:ascii="Times New Roman" w:hAnsi="Times New Roman" w:eastAsia="宋体" w:cs="Times New Roman"/>
                <w:color w:val="auto"/>
                <w:sz w:val="24"/>
                <w:szCs w:val="22"/>
                <w:highlight w:val="none"/>
                <w:lang w:eastAsia="zh-CN"/>
              </w:rPr>
              <w:t>根据导则及《排污单位</w:t>
            </w:r>
            <w:r>
              <w:rPr>
                <w:rFonts w:hint="default" w:ascii="Times New Roman" w:hAnsi="Times New Roman" w:eastAsia="宋体" w:cs="Times New Roman"/>
                <w:color w:val="auto"/>
                <w:sz w:val="24"/>
                <w:szCs w:val="22"/>
                <w:lang w:eastAsia="zh-CN"/>
              </w:rPr>
              <w:t>自行监测技术指南</w:t>
            </w:r>
            <w:r>
              <w:rPr>
                <w:rFonts w:hint="eastAsia" w:ascii="Times New Roman" w:hAnsi="Times New Roman" w:eastAsia="宋体" w:cs="Times New Roman"/>
                <w:color w:val="auto"/>
                <w:sz w:val="24"/>
                <w:szCs w:val="22"/>
                <w:lang w:val="en-US" w:eastAsia="zh-CN"/>
              </w:rPr>
              <w:t xml:space="preserve"> </w:t>
            </w:r>
            <w:r>
              <w:rPr>
                <w:rFonts w:hint="default" w:ascii="Times New Roman" w:hAnsi="Times New Roman" w:eastAsia="宋体" w:cs="Times New Roman"/>
                <w:color w:val="auto"/>
                <w:sz w:val="24"/>
                <w:szCs w:val="22"/>
                <w:lang w:eastAsia="zh-CN"/>
              </w:rPr>
              <w:t>总则》（HJ819-2017）</w:t>
            </w:r>
            <w:r>
              <w:rPr>
                <w:rFonts w:hint="default" w:ascii="Times New Roman" w:hAnsi="Times New Roman" w:eastAsia="宋体" w:cs="Times New Roman"/>
                <w:color w:val="auto"/>
                <w:sz w:val="24"/>
                <w:szCs w:val="22"/>
                <w:highlight w:val="none"/>
                <w:lang w:eastAsia="zh-CN"/>
              </w:rPr>
              <w:t>要</w:t>
            </w:r>
            <w:r>
              <w:rPr>
                <w:rFonts w:hint="default" w:ascii="Times New Roman" w:hAnsi="Times New Roman" w:eastAsia="宋体" w:cs="Times New Roman"/>
                <w:color w:val="auto"/>
                <w:sz w:val="24"/>
                <w:szCs w:val="22"/>
                <w:lang w:eastAsia="zh-CN"/>
              </w:rPr>
              <w:t>求，本项目</w:t>
            </w:r>
            <w:r>
              <w:rPr>
                <w:rFonts w:hint="eastAsia" w:ascii="Times New Roman" w:hAnsi="Times New Roman" w:eastAsia="宋体" w:cs="Times New Roman"/>
                <w:color w:val="auto"/>
                <w:sz w:val="24"/>
                <w:szCs w:val="22"/>
                <w:lang w:eastAsia="zh-CN"/>
              </w:rPr>
              <w:t>水污染物</w:t>
            </w:r>
            <w:r>
              <w:rPr>
                <w:rFonts w:hint="default" w:ascii="Times New Roman" w:hAnsi="Times New Roman" w:eastAsia="宋体" w:cs="Times New Roman"/>
                <w:color w:val="auto"/>
                <w:sz w:val="24"/>
                <w:szCs w:val="22"/>
                <w:lang w:eastAsia="zh-CN"/>
              </w:rPr>
              <w:t>监测方案</w:t>
            </w:r>
            <w:r>
              <w:rPr>
                <w:rFonts w:hint="eastAsia" w:ascii="Times New Roman" w:hAnsi="Times New Roman" w:eastAsia="宋体" w:cs="Times New Roman"/>
                <w:color w:val="auto"/>
                <w:sz w:val="24"/>
                <w:szCs w:val="22"/>
                <w:lang w:eastAsia="zh-CN"/>
              </w:rPr>
              <w:t>如表</w:t>
            </w:r>
            <w:r>
              <w:rPr>
                <w:rFonts w:hint="eastAsia" w:ascii="Times New Roman" w:hAnsi="Times New Roman" w:eastAsia="宋体" w:cs="Times New Roman"/>
                <w:color w:val="auto"/>
                <w:sz w:val="24"/>
                <w:szCs w:val="22"/>
                <w:lang w:val="en-US" w:eastAsia="zh-CN"/>
              </w:rPr>
              <w:t>4-</w:t>
            </w:r>
            <w:r>
              <w:rPr>
                <w:rFonts w:hint="eastAsia" w:ascii="Times New Roman" w:hAnsi="Times New Roman" w:cs="Times New Roman"/>
                <w:color w:val="auto"/>
                <w:sz w:val="24"/>
                <w:szCs w:val="22"/>
                <w:lang w:val="en-US" w:eastAsia="zh-CN"/>
              </w:rPr>
              <w:t>9</w:t>
            </w:r>
            <w:r>
              <w:rPr>
                <w:rFonts w:hint="eastAsia" w:ascii="Times New Roman" w:hAnsi="Times New Roman" w:eastAsia="宋体" w:cs="Times New Roman"/>
                <w:color w:val="auto"/>
                <w:sz w:val="24"/>
                <w:szCs w:val="22"/>
                <w:lang w:val="en-US" w:eastAsia="zh-CN"/>
              </w:rPr>
              <w:t>所示</w:t>
            </w:r>
            <w:r>
              <w:rPr>
                <w:rFonts w:hint="eastAsia" w:ascii="Times New Roman" w:hAnsi="Times New Roman" w:cs="Times New Roman"/>
                <w:color w:val="auto"/>
                <w:sz w:val="24"/>
                <w:szCs w:val="22"/>
                <w:lang w:val="en-US" w:eastAsia="zh-CN"/>
              </w:rPr>
              <w:t>。</w:t>
            </w:r>
          </w:p>
          <w:p w14:paraId="45F100DC">
            <w:pPr>
              <w:rPr>
                <w:rFonts w:hint="eastAsia" w:ascii="Times New Roman" w:hAnsi="Times New Roman" w:cs="Times New Roman"/>
                <w:color w:val="FF0000"/>
                <w:sz w:val="24"/>
                <w:szCs w:val="22"/>
                <w:lang w:val="en-US" w:eastAsia="zh-CN"/>
              </w:rPr>
            </w:pPr>
          </w:p>
          <w:p w14:paraId="08333B27">
            <w:pPr>
              <w:pStyle w:val="7"/>
              <w:rPr>
                <w:rFonts w:hint="eastAsia" w:ascii="Times New Roman" w:hAnsi="Times New Roman" w:cs="Times New Roman"/>
                <w:color w:val="FF0000"/>
                <w:sz w:val="24"/>
                <w:szCs w:val="22"/>
                <w:lang w:val="en-US" w:eastAsia="zh-CN"/>
              </w:rPr>
            </w:pPr>
          </w:p>
          <w:p w14:paraId="14094673">
            <w:pPr>
              <w:rPr>
                <w:rFonts w:hint="eastAsia" w:ascii="Times New Roman" w:hAnsi="Times New Roman" w:cs="Times New Roman"/>
                <w:color w:val="FF0000"/>
                <w:sz w:val="24"/>
                <w:szCs w:val="22"/>
                <w:lang w:val="en-US" w:eastAsia="zh-CN"/>
              </w:rPr>
            </w:pPr>
          </w:p>
          <w:p w14:paraId="085B6E29">
            <w:pPr>
              <w:pStyle w:val="7"/>
              <w:rPr>
                <w:rFonts w:hint="eastAsia"/>
                <w:lang w:val="en-US" w:eastAsia="zh-CN"/>
              </w:rPr>
            </w:pPr>
          </w:p>
          <w:p w14:paraId="79EC0065">
            <w:pPr>
              <w:rPr>
                <w:rFonts w:hint="eastAsia" w:ascii="Times New Roman" w:hAnsi="Times New Roman" w:cs="Times New Roman"/>
                <w:color w:val="FF0000"/>
                <w:sz w:val="24"/>
                <w:szCs w:val="22"/>
                <w:lang w:val="en-US" w:eastAsia="zh-CN"/>
              </w:rPr>
            </w:pPr>
          </w:p>
          <w:p w14:paraId="3C80A50E">
            <w:pPr>
              <w:rPr>
                <w:rFonts w:hint="eastAsia" w:ascii="Times New Roman" w:hAnsi="Times New Roman" w:cs="Times New Roman"/>
                <w:color w:val="FF0000"/>
                <w:sz w:val="24"/>
                <w:szCs w:val="22"/>
                <w:lang w:val="en-US" w:eastAsia="zh-CN"/>
              </w:rPr>
            </w:pPr>
          </w:p>
          <w:p w14:paraId="41544382">
            <w:pPr>
              <w:rPr>
                <w:rFonts w:hint="eastAsia" w:ascii="Times New Roman" w:hAnsi="Times New Roman" w:cs="Times New Roman"/>
                <w:color w:val="FF0000"/>
                <w:sz w:val="24"/>
                <w:szCs w:val="22"/>
                <w:lang w:val="en-US" w:eastAsia="zh-CN"/>
              </w:rPr>
            </w:pPr>
          </w:p>
          <w:p w14:paraId="0671070A">
            <w:pPr>
              <w:rPr>
                <w:rFonts w:hint="eastAsia" w:ascii="Times New Roman" w:hAnsi="Times New Roman" w:cs="Times New Roman"/>
                <w:color w:val="FF0000"/>
                <w:sz w:val="24"/>
                <w:szCs w:val="22"/>
                <w:lang w:val="en-US" w:eastAsia="zh-CN"/>
              </w:rPr>
            </w:pPr>
          </w:p>
          <w:p w14:paraId="2555B3BF">
            <w:pPr>
              <w:rPr>
                <w:rFonts w:hint="eastAsia" w:ascii="Times New Roman" w:hAnsi="Times New Roman" w:cs="Times New Roman"/>
                <w:color w:val="FF0000"/>
                <w:sz w:val="24"/>
                <w:szCs w:val="22"/>
                <w:lang w:val="en-US" w:eastAsia="zh-CN"/>
              </w:rPr>
            </w:pPr>
          </w:p>
          <w:p w14:paraId="3407A8BB">
            <w:pPr>
              <w:rPr>
                <w:rFonts w:hint="eastAsia" w:ascii="Times New Roman" w:hAnsi="Times New Roman" w:cs="Times New Roman"/>
                <w:color w:val="FF0000"/>
                <w:sz w:val="24"/>
                <w:szCs w:val="22"/>
                <w:lang w:val="en-US" w:eastAsia="zh-CN"/>
              </w:rPr>
            </w:pPr>
          </w:p>
          <w:p w14:paraId="3EA70F7B">
            <w:pPr>
              <w:rPr>
                <w:rFonts w:hint="eastAsia" w:ascii="Times New Roman" w:hAnsi="Times New Roman" w:cs="Times New Roman"/>
                <w:color w:val="FF0000"/>
                <w:sz w:val="24"/>
                <w:szCs w:val="22"/>
                <w:lang w:val="en-US" w:eastAsia="zh-CN"/>
              </w:rPr>
            </w:pPr>
          </w:p>
          <w:p w14:paraId="40F0D467">
            <w:pPr>
              <w:rPr>
                <w:rFonts w:hint="default" w:ascii="Times New Roman" w:hAnsi="Times New Roman" w:cs="Times New Roman"/>
                <w:color w:val="FF0000"/>
                <w:sz w:val="24"/>
                <w:szCs w:val="22"/>
                <w:lang w:val="en-US" w:eastAsia="zh-CN"/>
              </w:rPr>
            </w:pPr>
          </w:p>
        </w:tc>
      </w:tr>
    </w:tbl>
    <w:p w14:paraId="4AC8667B">
      <w:pPr>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40"/>
      </w:tblGrid>
      <w:tr w14:paraId="7D3B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9" w:hRule="atLeast"/>
          <w:jc w:val="center"/>
        </w:trPr>
        <w:tc>
          <w:tcPr>
            <w:tcW w:w="14740" w:type="dxa"/>
            <w:tcBorders>
              <w:tl2br w:val="nil"/>
              <w:tr2bl w:val="nil"/>
            </w:tcBorders>
            <w:tcMar>
              <w:top w:w="0" w:type="dxa"/>
              <w:left w:w="28" w:type="dxa"/>
              <w:bottom w:w="0" w:type="dxa"/>
              <w:right w:w="28" w:type="dxa"/>
            </w:tcMar>
            <w:vAlign w:val="top"/>
          </w:tcPr>
          <w:p w14:paraId="54EA4B30">
            <w:pPr>
              <w:pStyle w:val="7"/>
              <w:spacing w:line="460" w:lineRule="exact"/>
              <w:ind w:firstLine="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4</w:t>
            </w:r>
            <w:r>
              <w:rPr>
                <w:rFonts w:hint="default"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9</w:t>
            </w:r>
            <w:r>
              <w:rPr>
                <w:rFonts w:hint="default" w:ascii="Times New Roman" w:hAnsi="Times New Roman" w:cs="Times New Roman"/>
                <w:b/>
                <w:bCs/>
                <w:color w:val="auto"/>
                <w:szCs w:val="21"/>
              </w:rPr>
              <w:t xml:space="preserve">  项目排污口设置及水污染物监测计划</w:t>
            </w:r>
          </w:p>
          <w:tbl>
            <w:tblPr>
              <w:tblStyle w:val="23"/>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936"/>
              <w:gridCol w:w="757"/>
              <w:gridCol w:w="1693"/>
              <w:gridCol w:w="760"/>
              <w:gridCol w:w="787"/>
              <w:gridCol w:w="1043"/>
              <w:gridCol w:w="1600"/>
              <w:gridCol w:w="933"/>
              <w:gridCol w:w="1450"/>
              <w:gridCol w:w="1310"/>
              <w:gridCol w:w="2047"/>
            </w:tblGrid>
            <w:tr w14:paraId="74DF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vMerge w:val="restart"/>
                  <w:noWrap w:val="0"/>
                  <w:vAlign w:val="center"/>
                </w:tcPr>
                <w:p w14:paraId="4F960048">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污染源类别</w:t>
                  </w:r>
                </w:p>
              </w:tc>
              <w:tc>
                <w:tcPr>
                  <w:tcW w:w="936" w:type="dxa"/>
                  <w:vMerge w:val="restart"/>
                  <w:noWrap w:val="0"/>
                  <w:vAlign w:val="center"/>
                </w:tcPr>
                <w:p w14:paraId="67369149">
                  <w:pPr>
                    <w:widowControl/>
                    <w:tabs>
                      <w:tab w:val="left" w:pos="195"/>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w:t>
                  </w:r>
                </w:p>
                <w:p w14:paraId="52F5F4C3">
                  <w:pPr>
                    <w:widowControl/>
                    <w:tabs>
                      <w:tab w:val="left" w:pos="195"/>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口编</w:t>
                  </w:r>
                </w:p>
                <w:p w14:paraId="5A8D7774">
                  <w:pPr>
                    <w:widowControl/>
                    <w:tabs>
                      <w:tab w:val="left" w:pos="195"/>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号</w:t>
                  </w:r>
                </w:p>
              </w:tc>
              <w:tc>
                <w:tcPr>
                  <w:tcW w:w="757" w:type="dxa"/>
                  <w:vMerge w:val="restart"/>
                  <w:noWrap w:val="0"/>
                  <w:vAlign w:val="center"/>
                </w:tcPr>
                <w:p w14:paraId="7B5D79BA">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排放方式</w:t>
                  </w:r>
                </w:p>
              </w:tc>
              <w:tc>
                <w:tcPr>
                  <w:tcW w:w="2453" w:type="dxa"/>
                  <w:gridSpan w:val="2"/>
                  <w:vMerge w:val="restart"/>
                  <w:noWrap w:val="0"/>
                  <w:vAlign w:val="center"/>
                </w:tcPr>
                <w:p w14:paraId="16667A55">
                  <w:pPr>
                    <w:widowControl/>
                    <w:tabs>
                      <w:tab w:val="left" w:pos="195"/>
                    </w:tabs>
                    <w:jc w:val="center"/>
                    <w:rPr>
                      <w:rFonts w:hint="eastAsia" w:ascii="Times New Roman" w:hAnsi="Times New Roman" w:cs="Times New Roman" w:eastAsiaTheme="minorEastAsia"/>
                      <w:b/>
                      <w:bCs/>
                      <w:color w:val="auto"/>
                      <w:spacing w:val="-8"/>
                      <w:szCs w:val="21"/>
                      <w:lang w:eastAsia="zh-CN"/>
                    </w:rPr>
                  </w:pPr>
                  <w:r>
                    <w:rPr>
                      <w:rFonts w:hint="default" w:ascii="Times New Roman" w:hAnsi="Times New Roman" w:cs="Times New Roman"/>
                      <w:b/>
                      <w:bCs/>
                      <w:color w:val="auto"/>
                      <w:spacing w:val="-8"/>
                      <w:szCs w:val="21"/>
                    </w:rPr>
                    <w:t>排放口</w:t>
                  </w:r>
                  <w:r>
                    <w:rPr>
                      <w:rFonts w:hint="eastAsia" w:ascii="Times New Roman" w:hAnsi="Times New Roman" w:cs="Times New Roman"/>
                      <w:b/>
                      <w:bCs/>
                      <w:color w:val="auto"/>
                      <w:spacing w:val="-8"/>
                      <w:szCs w:val="21"/>
                      <w:lang w:eastAsia="zh-CN"/>
                    </w:rPr>
                    <w:t>情况</w:t>
                  </w:r>
                </w:p>
              </w:tc>
              <w:tc>
                <w:tcPr>
                  <w:tcW w:w="787" w:type="dxa"/>
                  <w:vMerge w:val="restart"/>
                  <w:noWrap w:val="0"/>
                  <w:vAlign w:val="center"/>
                </w:tcPr>
                <w:p w14:paraId="293F9659">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排放方式</w:t>
                  </w:r>
                </w:p>
              </w:tc>
              <w:tc>
                <w:tcPr>
                  <w:tcW w:w="1043" w:type="dxa"/>
                  <w:vMerge w:val="restart"/>
                  <w:noWrap w:val="0"/>
                  <w:vAlign w:val="center"/>
                </w:tcPr>
                <w:p w14:paraId="1A08707B">
                  <w:pPr>
                    <w:widowControl/>
                    <w:tabs>
                      <w:tab w:val="left" w:pos="195"/>
                    </w:tabs>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排放去向</w:t>
                  </w:r>
                </w:p>
              </w:tc>
              <w:tc>
                <w:tcPr>
                  <w:tcW w:w="1600" w:type="dxa"/>
                  <w:vMerge w:val="restart"/>
                  <w:noWrap w:val="0"/>
                  <w:vAlign w:val="center"/>
                </w:tcPr>
                <w:p w14:paraId="3550410B">
                  <w:pPr>
                    <w:widowControl/>
                    <w:tabs>
                      <w:tab w:val="left" w:pos="195"/>
                    </w:tabs>
                    <w:jc w:val="center"/>
                    <w:rPr>
                      <w:rFonts w:hint="eastAsia" w:ascii="Times New Roman" w:hAnsi="Times New Roman" w:cs="Times New Roman" w:eastAsiaTheme="minorEastAsia"/>
                      <w:b/>
                      <w:bCs/>
                      <w:color w:val="auto"/>
                      <w:szCs w:val="21"/>
                      <w:lang w:eastAsia="zh-CN"/>
                    </w:rPr>
                  </w:pPr>
                  <w:r>
                    <w:rPr>
                      <w:rFonts w:hint="default" w:ascii="Times New Roman" w:hAnsi="Times New Roman" w:cs="Times New Roman"/>
                      <w:b/>
                      <w:bCs/>
                      <w:color w:val="auto"/>
                      <w:szCs w:val="21"/>
                    </w:rPr>
                    <w:t>排放规律</w:t>
                  </w:r>
                </w:p>
              </w:tc>
              <w:tc>
                <w:tcPr>
                  <w:tcW w:w="3693" w:type="dxa"/>
                  <w:gridSpan w:val="3"/>
                  <w:noWrap w:val="0"/>
                  <w:vAlign w:val="center"/>
                </w:tcPr>
                <w:p w14:paraId="318CDBD1">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检测要求</w:t>
                  </w:r>
                </w:p>
              </w:tc>
              <w:tc>
                <w:tcPr>
                  <w:tcW w:w="2047" w:type="dxa"/>
                  <w:noWrap w:val="0"/>
                  <w:vAlign w:val="center"/>
                </w:tcPr>
                <w:p w14:paraId="52DD2AA3">
                  <w:pPr>
                    <w:widowControl/>
                    <w:tabs>
                      <w:tab w:val="left" w:pos="195"/>
                    </w:tabs>
                    <w:jc w:val="center"/>
                    <w:rPr>
                      <w:rFonts w:hint="eastAsia" w:ascii="Times New Roman" w:hAnsi="Times New Roman" w:cs="Times New Roman"/>
                      <w:b/>
                      <w:bCs/>
                      <w:color w:val="auto"/>
                      <w:szCs w:val="21"/>
                      <w:lang w:eastAsia="zh-CN"/>
                    </w:rPr>
                  </w:pPr>
                  <w:r>
                    <w:rPr>
                      <w:rFonts w:hint="eastAsia" w:ascii="Times New Roman" w:hAnsi="Times New Roman" w:cs="Times New Roman"/>
                      <w:b/>
                      <w:bCs/>
                      <w:color w:val="auto"/>
                      <w:szCs w:val="21"/>
                      <w:lang w:eastAsia="zh-CN"/>
                    </w:rPr>
                    <w:t>排放标准</w:t>
                  </w:r>
                </w:p>
              </w:tc>
            </w:tr>
            <w:tr w14:paraId="4C99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vMerge w:val="continue"/>
                  <w:noWrap w:val="0"/>
                  <w:vAlign w:val="center"/>
                </w:tcPr>
                <w:p w14:paraId="045F69CF">
                  <w:pPr>
                    <w:widowControl/>
                    <w:tabs>
                      <w:tab w:val="left" w:pos="195"/>
                    </w:tabs>
                    <w:jc w:val="center"/>
                    <w:rPr>
                      <w:rFonts w:hint="default" w:ascii="Times New Roman" w:hAnsi="Times New Roman" w:cs="Times New Roman"/>
                      <w:b/>
                      <w:bCs/>
                      <w:color w:val="auto"/>
                      <w:szCs w:val="21"/>
                    </w:rPr>
                  </w:pPr>
                </w:p>
              </w:tc>
              <w:tc>
                <w:tcPr>
                  <w:tcW w:w="936" w:type="dxa"/>
                  <w:vMerge w:val="continue"/>
                  <w:noWrap w:val="0"/>
                  <w:vAlign w:val="center"/>
                </w:tcPr>
                <w:p w14:paraId="70C61C86">
                  <w:pPr>
                    <w:widowControl/>
                    <w:tabs>
                      <w:tab w:val="left" w:pos="195"/>
                    </w:tabs>
                    <w:jc w:val="center"/>
                    <w:rPr>
                      <w:rFonts w:hint="default" w:ascii="Times New Roman" w:hAnsi="Times New Roman" w:cs="Times New Roman"/>
                      <w:b/>
                      <w:bCs/>
                      <w:color w:val="auto"/>
                      <w:szCs w:val="21"/>
                    </w:rPr>
                  </w:pPr>
                </w:p>
              </w:tc>
              <w:tc>
                <w:tcPr>
                  <w:tcW w:w="757" w:type="dxa"/>
                  <w:vMerge w:val="continue"/>
                  <w:noWrap w:val="0"/>
                  <w:vAlign w:val="center"/>
                </w:tcPr>
                <w:p w14:paraId="0277D70B">
                  <w:pPr>
                    <w:widowControl/>
                    <w:tabs>
                      <w:tab w:val="left" w:pos="195"/>
                    </w:tabs>
                    <w:jc w:val="center"/>
                    <w:rPr>
                      <w:rFonts w:hint="default" w:ascii="Times New Roman" w:hAnsi="Times New Roman" w:cs="Times New Roman"/>
                      <w:b/>
                      <w:bCs/>
                      <w:color w:val="auto"/>
                      <w:szCs w:val="21"/>
                    </w:rPr>
                  </w:pPr>
                </w:p>
              </w:tc>
              <w:tc>
                <w:tcPr>
                  <w:tcW w:w="2453" w:type="dxa"/>
                  <w:gridSpan w:val="2"/>
                  <w:vMerge w:val="continue"/>
                  <w:noWrap w:val="0"/>
                  <w:vAlign w:val="center"/>
                </w:tcPr>
                <w:p w14:paraId="367C6A5C">
                  <w:pPr>
                    <w:widowControl/>
                    <w:tabs>
                      <w:tab w:val="left" w:pos="195"/>
                    </w:tabs>
                    <w:jc w:val="center"/>
                    <w:rPr>
                      <w:rFonts w:hint="default" w:ascii="Times New Roman" w:hAnsi="Times New Roman" w:cs="Times New Roman"/>
                      <w:b/>
                      <w:bCs/>
                      <w:color w:val="auto"/>
                      <w:szCs w:val="21"/>
                    </w:rPr>
                  </w:pPr>
                </w:p>
              </w:tc>
              <w:tc>
                <w:tcPr>
                  <w:tcW w:w="787" w:type="dxa"/>
                  <w:vMerge w:val="continue"/>
                  <w:noWrap w:val="0"/>
                  <w:vAlign w:val="center"/>
                </w:tcPr>
                <w:p w14:paraId="417C9B2B">
                  <w:pPr>
                    <w:widowControl/>
                    <w:tabs>
                      <w:tab w:val="left" w:pos="195"/>
                    </w:tabs>
                    <w:jc w:val="center"/>
                    <w:rPr>
                      <w:rFonts w:hint="default" w:ascii="Times New Roman" w:hAnsi="Times New Roman" w:cs="Times New Roman"/>
                      <w:b/>
                      <w:bCs/>
                      <w:color w:val="auto"/>
                      <w:szCs w:val="21"/>
                    </w:rPr>
                  </w:pPr>
                </w:p>
              </w:tc>
              <w:tc>
                <w:tcPr>
                  <w:tcW w:w="1043" w:type="dxa"/>
                  <w:vMerge w:val="continue"/>
                  <w:noWrap w:val="0"/>
                  <w:vAlign w:val="center"/>
                </w:tcPr>
                <w:p w14:paraId="7639D456">
                  <w:pPr>
                    <w:widowControl/>
                    <w:tabs>
                      <w:tab w:val="left" w:pos="195"/>
                    </w:tabs>
                    <w:jc w:val="center"/>
                    <w:rPr>
                      <w:rFonts w:hint="default" w:ascii="Times New Roman" w:hAnsi="Times New Roman" w:cs="Times New Roman"/>
                      <w:b/>
                      <w:bCs/>
                      <w:color w:val="auto"/>
                      <w:szCs w:val="21"/>
                    </w:rPr>
                  </w:pPr>
                </w:p>
              </w:tc>
              <w:tc>
                <w:tcPr>
                  <w:tcW w:w="1600" w:type="dxa"/>
                  <w:vMerge w:val="continue"/>
                  <w:noWrap w:val="0"/>
                  <w:vAlign w:val="center"/>
                </w:tcPr>
                <w:p w14:paraId="7633D84D">
                  <w:pPr>
                    <w:widowControl/>
                    <w:tabs>
                      <w:tab w:val="left" w:pos="195"/>
                    </w:tabs>
                    <w:jc w:val="center"/>
                    <w:rPr>
                      <w:rFonts w:hint="default" w:ascii="Times New Roman" w:hAnsi="Times New Roman" w:cs="Times New Roman"/>
                      <w:b/>
                      <w:bCs/>
                      <w:color w:val="auto"/>
                      <w:szCs w:val="21"/>
                    </w:rPr>
                  </w:pPr>
                </w:p>
              </w:tc>
              <w:tc>
                <w:tcPr>
                  <w:tcW w:w="933" w:type="dxa"/>
                  <w:vMerge w:val="restart"/>
                  <w:noWrap w:val="0"/>
                  <w:vAlign w:val="center"/>
                </w:tcPr>
                <w:p w14:paraId="02B19639">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监测点位</w:t>
                  </w:r>
                </w:p>
              </w:tc>
              <w:tc>
                <w:tcPr>
                  <w:tcW w:w="1450" w:type="dxa"/>
                  <w:vMerge w:val="restart"/>
                  <w:noWrap w:val="0"/>
                  <w:vAlign w:val="center"/>
                </w:tcPr>
                <w:p w14:paraId="5E6D7898">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监测因子</w:t>
                  </w:r>
                </w:p>
              </w:tc>
              <w:tc>
                <w:tcPr>
                  <w:tcW w:w="1310" w:type="dxa"/>
                  <w:vMerge w:val="restart"/>
                  <w:noWrap w:val="0"/>
                  <w:vAlign w:val="center"/>
                </w:tcPr>
                <w:p w14:paraId="1D551500">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监测频次</w:t>
                  </w:r>
                </w:p>
              </w:tc>
              <w:tc>
                <w:tcPr>
                  <w:tcW w:w="2047" w:type="dxa"/>
                  <w:vMerge w:val="restart"/>
                  <w:noWrap w:val="0"/>
                  <w:vAlign w:val="center"/>
                </w:tcPr>
                <w:p w14:paraId="13FF0A20">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浓度限值（</w:t>
                  </w:r>
                  <w:r>
                    <w:rPr>
                      <w:rFonts w:hint="default" w:ascii="Times New Roman" w:hAnsi="Times New Roman" w:cs="Times New Roman"/>
                      <w:b/>
                      <w:bCs/>
                      <w:color w:val="auto"/>
                    </w:rPr>
                    <w:t>mg/L</w:t>
                  </w:r>
                  <w:r>
                    <w:rPr>
                      <w:rFonts w:hint="eastAsia" w:ascii="Times New Roman" w:hAnsi="Times New Roman" w:cs="Times New Roman"/>
                      <w:b/>
                      <w:bCs/>
                      <w:color w:val="auto"/>
                      <w:szCs w:val="21"/>
                      <w:lang w:eastAsia="zh-CN"/>
                    </w:rPr>
                    <w:t>）</w:t>
                  </w:r>
                </w:p>
              </w:tc>
            </w:tr>
            <w:tr w14:paraId="418D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vMerge w:val="continue"/>
                  <w:noWrap w:val="0"/>
                  <w:vAlign w:val="center"/>
                </w:tcPr>
                <w:p w14:paraId="682A1870">
                  <w:pPr>
                    <w:widowControl/>
                    <w:tabs>
                      <w:tab w:val="left" w:pos="195"/>
                    </w:tabs>
                    <w:jc w:val="center"/>
                    <w:rPr>
                      <w:rFonts w:hint="default" w:ascii="Times New Roman" w:hAnsi="Times New Roman" w:cs="Times New Roman"/>
                      <w:color w:val="auto"/>
                      <w:szCs w:val="21"/>
                    </w:rPr>
                  </w:pPr>
                </w:p>
              </w:tc>
              <w:tc>
                <w:tcPr>
                  <w:tcW w:w="936" w:type="dxa"/>
                  <w:vMerge w:val="continue"/>
                  <w:noWrap w:val="0"/>
                  <w:vAlign w:val="center"/>
                </w:tcPr>
                <w:p w14:paraId="32DD774A">
                  <w:pPr>
                    <w:widowControl/>
                    <w:tabs>
                      <w:tab w:val="left" w:pos="195"/>
                    </w:tabs>
                    <w:jc w:val="center"/>
                    <w:rPr>
                      <w:rFonts w:hint="default" w:ascii="Times New Roman" w:hAnsi="Times New Roman" w:cs="Times New Roman"/>
                      <w:color w:val="auto"/>
                      <w:szCs w:val="21"/>
                    </w:rPr>
                  </w:pPr>
                </w:p>
              </w:tc>
              <w:tc>
                <w:tcPr>
                  <w:tcW w:w="757" w:type="dxa"/>
                  <w:vMerge w:val="continue"/>
                  <w:noWrap w:val="0"/>
                  <w:vAlign w:val="center"/>
                </w:tcPr>
                <w:p w14:paraId="6CA98594">
                  <w:pPr>
                    <w:widowControl/>
                    <w:tabs>
                      <w:tab w:val="left" w:pos="195"/>
                    </w:tabs>
                    <w:jc w:val="center"/>
                    <w:rPr>
                      <w:rFonts w:hint="default" w:ascii="Times New Roman" w:hAnsi="Times New Roman" w:cs="Times New Roman"/>
                      <w:color w:val="auto"/>
                      <w:szCs w:val="21"/>
                    </w:rPr>
                  </w:pPr>
                </w:p>
              </w:tc>
              <w:tc>
                <w:tcPr>
                  <w:tcW w:w="1693" w:type="dxa"/>
                  <w:noWrap w:val="0"/>
                  <w:vAlign w:val="center"/>
                </w:tcPr>
                <w:p w14:paraId="50F8C894">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坐标</w:t>
                  </w:r>
                </w:p>
              </w:tc>
              <w:tc>
                <w:tcPr>
                  <w:tcW w:w="760" w:type="dxa"/>
                  <w:noWrap w:val="0"/>
                  <w:vAlign w:val="center"/>
                </w:tcPr>
                <w:p w14:paraId="14787433">
                  <w:pPr>
                    <w:widowControl/>
                    <w:tabs>
                      <w:tab w:val="left" w:pos="195"/>
                    </w:tabs>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类型</w:t>
                  </w:r>
                </w:p>
              </w:tc>
              <w:tc>
                <w:tcPr>
                  <w:tcW w:w="787" w:type="dxa"/>
                  <w:vMerge w:val="continue"/>
                  <w:noWrap w:val="0"/>
                  <w:vAlign w:val="center"/>
                </w:tcPr>
                <w:p w14:paraId="49D1A453">
                  <w:pPr>
                    <w:widowControl/>
                    <w:tabs>
                      <w:tab w:val="left" w:pos="195"/>
                    </w:tabs>
                    <w:jc w:val="center"/>
                    <w:rPr>
                      <w:rFonts w:hint="default" w:ascii="Times New Roman" w:hAnsi="Times New Roman" w:cs="Times New Roman"/>
                      <w:color w:val="FF0000"/>
                      <w:szCs w:val="21"/>
                    </w:rPr>
                  </w:pPr>
                </w:p>
              </w:tc>
              <w:tc>
                <w:tcPr>
                  <w:tcW w:w="1043" w:type="dxa"/>
                  <w:vMerge w:val="continue"/>
                  <w:noWrap w:val="0"/>
                  <w:vAlign w:val="center"/>
                </w:tcPr>
                <w:p w14:paraId="7E4C3233">
                  <w:pPr>
                    <w:widowControl/>
                    <w:tabs>
                      <w:tab w:val="left" w:pos="195"/>
                    </w:tabs>
                    <w:jc w:val="center"/>
                    <w:rPr>
                      <w:rFonts w:hint="default" w:ascii="Times New Roman" w:hAnsi="Times New Roman" w:cs="Times New Roman"/>
                      <w:color w:val="auto"/>
                      <w:szCs w:val="21"/>
                    </w:rPr>
                  </w:pPr>
                </w:p>
              </w:tc>
              <w:tc>
                <w:tcPr>
                  <w:tcW w:w="1600" w:type="dxa"/>
                  <w:vMerge w:val="continue"/>
                  <w:noWrap w:val="0"/>
                  <w:vAlign w:val="center"/>
                </w:tcPr>
                <w:p w14:paraId="363985A7">
                  <w:pPr>
                    <w:widowControl/>
                    <w:tabs>
                      <w:tab w:val="left" w:pos="195"/>
                    </w:tabs>
                    <w:jc w:val="center"/>
                    <w:rPr>
                      <w:rFonts w:hint="default" w:ascii="Times New Roman" w:hAnsi="Times New Roman" w:cs="Times New Roman"/>
                      <w:color w:val="auto"/>
                      <w:szCs w:val="21"/>
                    </w:rPr>
                  </w:pPr>
                </w:p>
              </w:tc>
              <w:tc>
                <w:tcPr>
                  <w:tcW w:w="933" w:type="dxa"/>
                  <w:vMerge w:val="continue"/>
                  <w:noWrap w:val="0"/>
                  <w:vAlign w:val="center"/>
                </w:tcPr>
                <w:p w14:paraId="4CD4C71B">
                  <w:pPr>
                    <w:widowControl/>
                    <w:tabs>
                      <w:tab w:val="left" w:pos="195"/>
                    </w:tabs>
                    <w:jc w:val="center"/>
                    <w:rPr>
                      <w:rFonts w:hint="default" w:ascii="Times New Roman" w:hAnsi="Times New Roman" w:cs="Times New Roman"/>
                      <w:color w:val="FF0000"/>
                      <w:szCs w:val="21"/>
                    </w:rPr>
                  </w:pPr>
                </w:p>
              </w:tc>
              <w:tc>
                <w:tcPr>
                  <w:tcW w:w="1450" w:type="dxa"/>
                  <w:vMerge w:val="continue"/>
                  <w:noWrap w:val="0"/>
                  <w:vAlign w:val="center"/>
                </w:tcPr>
                <w:p w14:paraId="7465B82E">
                  <w:pPr>
                    <w:widowControl/>
                    <w:tabs>
                      <w:tab w:val="left" w:pos="195"/>
                    </w:tabs>
                    <w:jc w:val="center"/>
                    <w:rPr>
                      <w:rFonts w:hint="default" w:ascii="Times New Roman" w:hAnsi="Times New Roman" w:cs="Times New Roman"/>
                      <w:color w:val="FF0000"/>
                      <w:szCs w:val="21"/>
                    </w:rPr>
                  </w:pPr>
                </w:p>
              </w:tc>
              <w:tc>
                <w:tcPr>
                  <w:tcW w:w="1310" w:type="dxa"/>
                  <w:vMerge w:val="continue"/>
                  <w:noWrap w:val="0"/>
                  <w:vAlign w:val="center"/>
                </w:tcPr>
                <w:p w14:paraId="1ABCE255">
                  <w:pPr>
                    <w:widowControl/>
                    <w:tabs>
                      <w:tab w:val="left" w:pos="195"/>
                    </w:tabs>
                    <w:jc w:val="center"/>
                    <w:rPr>
                      <w:rFonts w:hint="default" w:ascii="Times New Roman" w:hAnsi="Times New Roman" w:cs="Times New Roman"/>
                      <w:color w:val="FF0000"/>
                      <w:szCs w:val="21"/>
                    </w:rPr>
                  </w:pPr>
                </w:p>
              </w:tc>
              <w:tc>
                <w:tcPr>
                  <w:tcW w:w="2047" w:type="dxa"/>
                  <w:vMerge w:val="continue"/>
                  <w:noWrap w:val="0"/>
                  <w:vAlign w:val="center"/>
                </w:tcPr>
                <w:p w14:paraId="78D2AD09">
                  <w:pPr>
                    <w:widowControl/>
                    <w:tabs>
                      <w:tab w:val="left" w:pos="195"/>
                    </w:tabs>
                    <w:jc w:val="center"/>
                    <w:rPr>
                      <w:rFonts w:hint="default" w:ascii="Times New Roman" w:hAnsi="Times New Roman" w:cs="Times New Roman"/>
                      <w:color w:val="FF0000"/>
                      <w:szCs w:val="21"/>
                    </w:rPr>
                  </w:pPr>
                </w:p>
              </w:tc>
            </w:tr>
            <w:tr w14:paraId="26ED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vMerge w:val="restart"/>
                  <w:noWrap w:val="0"/>
                  <w:vAlign w:val="center"/>
                </w:tcPr>
                <w:p w14:paraId="470A75AB">
                  <w:pPr>
                    <w:widowControl/>
                    <w:tabs>
                      <w:tab w:val="left" w:pos="195"/>
                    </w:tabs>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废水</w:t>
                  </w:r>
                </w:p>
              </w:tc>
              <w:tc>
                <w:tcPr>
                  <w:tcW w:w="936" w:type="dxa"/>
                  <w:vMerge w:val="restart"/>
                  <w:noWrap w:val="0"/>
                  <w:vAlign w:val="center"/>
                </w:tcPr>
                <w:p w14:paraId="78B82883">
                  <w:pPr>
                    <w:widowControl/>
                    <w:tabs>
                      <w:tab w:val="left" w:pos="195"/>
                    </w:tabs>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DW001</w:t>
                  </w:r>
                </w:p>
              </w:tc>
              <w:tc>
                <w:tcPr>
                  <w:tcW w:w="757" w:type="dxa"/>
                  <w:vMerge w:val="restart"/>
                  <w:noWrap w:val="0"/>
                  <w:vAlign w:val="center"/>
                </w:tcPr>
                <w:p w14:paraId="71B2EA09">
                  <w:pPr>
                    <w:widowControl/>
                    <w:tabs>
                      <w:tab w:val="left" w:pos="195"/>
                    </w:tabs>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间接排放</w:t>
                  </w:r>
                </w:p>
              </w:tc>
              <w:tc>
                <w:tcPr>
                  <w:tcW w:w="1693" w:type="dxa"/>
                  <w:vMerge w:val="restart"/>
                  <w:noWrap w:val="0"/>
                  <w:vAlign w:val="center"/>
                </w:tcPr>
                <w:p w14:paraId="0678951E">
                  <w:pPr>
                    <w:widowControl/>
                    <w:tabs>
                      <w:tab w:val="left" w:pos="195"/>
                    </w:tabs>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Cs w:val="21"/>
                      <w:lang w:val="en-US" w:eastAsia="zh-CN"/>
                    </w:rPr>
                    <w:t>E</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19</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59</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52.481</w:t>
                  </w:r>
                  <w:r>
                    <w:rPr>
                      <w:rFonts w:hint="default" w:ascii="Times New Roman" w:hAnsi="Times New Roman" w:eastAsia="宋体" w:cs="Times New Roman"/>
                      <w:color w:val="auto"/>
                      <w:sz w:val="21"/>
                      <w:szCs w:val="21"/>
                      <w:highlight w:val="none"/>
                    </w:rPr>
                    <w:t>″</w:t>
                  </w:r>
                </w:p>
                <w:p w14:paraId="624873D7">
                  <w:pPr>
                    <w:widowControl/>
                    <w:tabs>
                      <w:tab w:val="left" w:pos="195"/>
                    </w:tabs>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 xml:space="preserve">N </w:t>
                  </w:r>
                  <w:r>
                    <w:rPr>
                      <w:rFonts w:hint="default" w:ascii="Times New Roman" w:hAnsi="Times New Roman" w:eastAsia="宋体" w:cs="Times New Roman"/>
                      <w:color w:val="auto"/>
                      <w:sz w:val="21"/>
                      <w:szCs w:val="21"/>
                      <w:highlight w:val="none"/>
                    </w:rPr>
                    <w:t>30°</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55.663</w:t>
                  </w:r>
                  <w:r>
                    <w:rPr>
                      <w:rFonts w:hint="default" w:ascii="Times New Roman" w:hAnsi="Times New Roman" w:eastAsia="宋体" w:cs="Times New Roman"/>
                      <w:color w:val="auto"/>
                      <w:sz w:val="21"/>
                      <w:szCs w:val="21"/>
                      <w:highlight w:val="none"/>
                    </w:rPr>
                    <w:t>″</w:t>
                  </w:r>
                </w:p>
              </w:tc>
              <w:tc>
                <w:tcPr>
                  <w:tcW w:w="760" w:type="dxa"/>
                  <w:vMerge w:val="restart"/>
                  <w:noWrap w:val="0"/>
                  <w:vAlign w:val="center"/>
                </w:tcPr>
                <w:p w14:paraId="03EF8D05">
                  <w:pPr>
                    <w:widowControl/>
                    <w:tabs>
                      <w:tab w:val="left" w:pos="195"/>
                    </w:tabs>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一般排放口</w:t>
                  </w:r>
                </w:p>
              </w:tc>
              <w:tc>
                <w:tcPr>
                  <w:tcW w:w="787" w:type="dxa"/>
                  <w:vMerge w:val="restart"/>
                  <w:noWrap w:val="0"/>
                  <w:vAlign w:val="center"/>
                </w:tcPr>
                <w:p w14:paraId="5FEB6ACE">
                  <w:pPr>
                    <w:widowControl/>
                    <w:tabs>
                      <w:tab w:val="left" w:pos="195"/>
                    </w:tabs>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间接排放</w:t>
                  </w:r>
                </w:p>
              </w:tc>
              <w:tc>
                <w:tcPr>
                  <w:tcW w:w="1043" w:type="dxa"/>
                  <w:vMerge w:val="restart"/>
                  <w:noWrap w:val="0"/>
                  <w:vAlign w:val="center"/>
                </w:tcPr>
                <w:p w14:paraId="78A8FE78">
                  <w:pPr>
                    <w:widowControl/>
                    <w:tabs>
                      <w:tab w:val="left" w:pos="195"/>
                    </w:tabs>
                    <w:jc w:val="center"/>
                    <w:rPr>
                      <w:rFonts w:hint="default" w:ascii="Times New Roman" w:hAnsi="Times New Roman" w:cs="Times New Roman" w:eastAsiaTheme="minorEastAsia"/>
                      <w:color w:val="auto"/>
                      <w:spacing w:val="-6"/>
                      <w:szCs w:val="21"/>
                      <w:lang w:val="en-US" w:eastAsia="zh-CN"/>
                    </w:rPr>
                  </w:pPr>
                  <w:r>
                    <w:rPr>
                      <w:rFonts w:hint="eastAsia" w:ascii="Times New Roman" w:hAnsi="Times New Roman" w:cs="Times New Roman"/>
                      <w:color w:val="auto"/>
                      <w:spacing w:val="-6"/>
                      <w:szCs w:val="21"/>
                      <w:lang w:val="en-US" w:eastAsia="zh-CN"/>
                    </w:rPr>
                    <w:t>进入城镇污水处理厂</w:t>
                  </w:r>
                </w:p>
              </w:tc>
              <w:tc>
                <w:tcPr>
                  <w:tcW w:w="1600" w:type="dxa"/>
                  <w:vMerge w:val="restart"/>
                  <w:noWrap w:val="0"/>
                  <w:vAlign w:val="center"/>
                </w:tcPr>
                <w:p w14:paraId="43E42359">
                  <w:pPr>
                    <w:widowControl/>
                    <w:tabs>
                      <w:tab w:val="left" w:pos="195"/>
                    </w:tabs>
                    <w:jc w:val="center"/>
                    <w:rPr>
                      <w:rFonts w:hint="default" w:ascii="Times New Roman" w:hAnsi="Times New Roman" w:cs="Times New Roman"/>
                      <w:color w:val="auto"/>
                      <w:szCs w:val="21"/>
                    </w:rPr>
                  </w:pPr>
                  <w:r>
                    <w:rPr>
                      <w:rFonts w:hint="default" w:ascii="Times New Roman" w:hAnsi="Times New Roman" w:cs="Times New Roman"/>
                      <w:color w:val="auto"/>
                      <w:szCs w:val="21"/>
                    </w:rPr>
                    <w:t>间断排放，排放期间流量不稳定且无规律，但不属于冲击型排放</w:t>
                  </w:r>
                </w:p>
              </w:tc>
              <w:tc>
                <w:tcPr>
                  <w:tcW w:w="933" w:type="dxa"/>
                  <w:vMerge w:val="restart"/>
                  <w:noWrap w:val="0"/>
                  <w:vAlign w:val="center"/>
                </w:tcPr>
                <w:p w14:paraId="262C9674">
                  <w:pPr>
                    <w:widowControl/>
                    <w:tabs>
                      <w:tab w:val="left" w:pos="195"/>
                    </w:tabs>
                    <w:jc w:val="center"/>
                    <w:rPr>
                      <w:rFonts w:hint="eastAsia" w:ascii="Times New Roman" w:hAnsi="Times New Roman" w:cs="Times New Roman" w:eastAsiaTheme="minorEastAsia"/>
                      <w:color w:val="FF0000"/>
                      <w:spacing w:val="-10"/>
                      <w:szCs w:val="21"/>
                      <w:lang w:eastAsia="zh-CN"/>
                    </w:rPr>
                  </w:pPr>
                  <w:r>
                    <w:rPr>
                      <w:rFonts w:hint="eastAsia" w:ascii="Times New Roman" w:hAnsi="Times New Roman" w:cs="Times New Roman"/>
                      <w:color w:val="auto"/>
                      <w:spacing w:val="-10"/>
                      <w:szCs w:val="21"/>
                      <w:lang w:eastAsia="zh-CN"/>
                    </w:rPr>
                    <w:t>废水总排口</w:t>
                  </w:r>
                </w:p>
              </w:tc>
              <w:tc>
                <w:tcPr>
                  <w:tcW w:w="1450" w:type="dxa"/>
                  <w:noWrap w:val="0"/>
                  <w:vAlign w:val="center"/>
                </w:tcPr>
                <w:p w14:paraId="3A00B061">
                  <w:pPr>
                    <w:widowControl/>
                    <w:tabs>
                      <w:tab w:val="left" w:pos="195"/>
                    </w:tabs>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COD</w:t>
                  </w:r>
                  <w:r>
                    <w:rPr>
                      <w:rFonts w:hint="default" w:ascii="Times New Roman" w:hAnsi="Times New Roman" w:cs="Times New Roman"/>
                      <w:color w:val="auto"/>
                      <w:szCs w:val="21"/>
                      <w:vertAlign w:val="subscript"/>
                    </w:rPr>
                    <w:t>Cr</w:t>
                  </w:r>
                </w:p>
              </w:tc>
              <w:tc>
                <w:tcPr>
                  <w:tcW w:w="1310" w:type="dxa"/>
                  <w:noWrap w:val="0"/>
                  <w:vAlign w:val="center"/>
                </w:tcPr>
                <w:p w14:paraId="5531A9CA">
                  <w:pPr>
                    <w:tabs>
                      <w:tab w:val="left" w:pos="195"/>
                    </w:tabs>
                    <w:jc w:val="center"/>
                    <w:rPr>
                      <w:rFonts w:hint="default"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年</w:t>
                  </w:r>
                </w:p>
              </w:tc>
              <w:tc>
                <w:tcPr>
                  <w:tcW w:w="2047" w:type="dxa"/>
                  <w:noWrap w:val="0"/>
                  <w:vAlign w:val="center"/>
                </w:tcPr>
                <w:p w14:paraId="4F7B3A52">
                  <w:pPr>
                    <w:tabs>
                      <w:tab w:val="left" w:pos="195"/>
                    </w:tabs>
                    <w:jc w:val="center"/>
                    <w:rPr>
                      <w:rFonts w:hint="eastAsia" w:ascii="Times New Roman" w:hAnsi="Times New Roman" w:cs="Times New Roman" w:eastAsiaTheme="minorEastAsia"/>
                      <w:color w:val="auto"/>
                      <w:kern w:val="2"/>
                      <w:sz w:val="21"/>
                      <w:szCs w:val="22"/>
                      <w:highlight w:val="none"/>
                      <w:lang w:val="en-US" w:eastAsia="zh-CN" w:bidi="ar-SA"/>
                    </w:rPr>
                  </w:pPr>
                  <w:r>
                    <w:rPr>
                      <w:rFonts w:hint="eastAsia" w:ascii="Times New Roman" w:hAnsi="Times New Roman" w:cs="Times New Roman"/>
                      <w:color w:val="auto"/>
                      <w:highlight w:val="none"/>
                      <w:lang w:val="en-US" w:eastAsia="zh-CN"/>
                    </w:rPr>
                    <w:t>500</w:t>
                  </w:r>
                  <w:r>
                    <w:rPr>
                      <w:rFonts w:hint="default" w:ascii="Times New Roman" w:hAnsi="Times New Roman" w:cs="Times New Roman"/>
                      <w:color w:val="auto"/>
                      <w:highlight w:val="none"/>
                    </w:rPr>
                    <w:t>mg/L</w:t>
                  </w:r>
                </w:p>
              </w:tc>
            </w:tr>
            <w:tr w14:paraId="0CA3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Merge w:val="continue"/>
                  <w:noWrap w:val="0"/>
                  <w:vAlign w:val="center"/>
                </w:tcPr>
                <w:p w14:paraId="6C12C62D">
                  <w:pPr>
                    <w:widowControl/>
                    <w:tabs>
                      <w:tab w:val="left" w:pos="195"/>
                    </w:tabs>
                    <w:jc w:val="center"/>
                    <w:rPr>
                      <w:rFonts w:hint="default" w:ascii="Times New Roman" w:hAnsi="Times New Roman" w:cs="Times New Roman"/>
                      <w:color w:val="FF0000"/>
                      <w:szCs w:val="21"/>
                    </w:rPr>
                  </w:pPr>
                </w:p>
              </w:tc>
              <w:tc>
                <w:tcPr>
                  <w:tcW w:w="936" w:type="dxa"/>
                  <w:vMerge w:val="continue"/>
                  <w:noWrap w:val="0"/>
                  <w:vAlign w:val="center"/>
                </w:tcPr>
                <w:p w14:paraId="2A9EF773">
                  <w:pPr>
                    <w:widowControl/>
                    <w:tabs>
                      <w:tab w:val="left" w:pos="195"/>
                    </w:tabs>
                    <w:jc w:val="center"/>
                    <w:rPr>
                      <w:rFonts w:hint="default" w:ascii="Times New Roman" w:hAnsi="Times New Roman" w:cs="Times New Roman"/>
                      <w:color w:val="FF0000"/>
                      <w:szCs w:val="21"/>
                    </w:rPr>
                  </w:pPr>
                </w:p>
              </w:tc>
              <w:tc>
                <w:tcPr>
                  <w:tcW w:w="757" w:type="dxa"/>
                  <w:vMerge w:val="continue"/>
                  <w:noWrap w:val="0"/>
                  <w:vAlign w:val="center"/>
                </w:tcPr>
                <w:p w14:paraId="27FC7939">
                  <w:pPr>
                    <w:widowControl/>
                    <w:tabs>
                      <w:tab w:val="left" w:pos="195"/>
                    </w:tabs>
                    <w:jc w:val="center"/>
                    <w:rPr>
                      <w:rFonts w:hint="default" w:ascii="Times New Roman" w:hAnsi="Times New Roman" w:cs="Times New Roman"/>
                      <w:color w:val="FF0000"/>
                      <w:szCs w:val="21"/>
                    </w:rPr>
                  </w:pPr>
                </w:p>
              </w:tc>
              <w:tc>
                <w:tcPr>
                  <w:tcW w:w="1693" w:type="dxa"/>
                  <w:vMerge w:val="continue"/>
                  <w:noWrap w:val="0"/>
                  <w:vAlign w:val="center"/>
                </w:tcPr>
                <w:p w14:paraId="37E8D1A9">
                  <w:pPr>
                    <w:widowControl/>
                    <w:tabs>
                      <w:tab w:val="left" w:pos="195"/>
                    </w:tabs>
                    <w:jc w:val="center"/>
                    <w:rPr>
                      <w:rFonts w:hint="default" w:ascii="Times New Roman" w:hAnsi="Times New Roman" w:cs="Times New Roman"/>
                      <w:color w:val="FF0000"/>
                      <w:szCs w:val="21"/>
                    </w:rPr>
                  </w:pPr>
                </w:p>
              </w:tc>
              <w:tc>
                <w:tcPr>
                  <w:tcW w:w="760" w:type="dxa"/>
                  <w:vMerge w:val="continue"/>
                  <w:noWrap w:val="0"/>
                  <w:vAlign w:val="center"/>
                </w:tcPr>
                <w:p w14:paraId="1FFE510D">
                  <w:pPr>
                    <w:widowControl/>
                    <w:tabs>
                      <w:tab w:val="left" w:pos="195"/>
                    </w:tabs>
                    <w:jc w:val="center"/>
                    <w:rPr>
                      <w:rFonts w:hint="default" w:ascii="Times New Roman" w:hAnsi="Times New Roman" w:cs="Times New Roman"/>
                      <w:color w:val="FF0000"/>
                      <w:szCs w:val="21"/>
                    </w:rPr>
                  </w:pPr>
                </w:p>
              </w:tc>
              <w:tc>
                <w:tcPr>
                  <w:tcW w:w="787" w:type="dxa"/>
                  <w:vMerge w:val="continue"/>
                  <w:noWrap w:val="0"/>
                  <w:vAlign w:val="center"/>
                </w:tcPr>
                <w:p w14:paraId="6CD8F2FD">
                  <w:pPr>
                    <w:widowControl/>
                    <w:tabs>
                      <w:tab w:val="left" w:pos="195"/>
                    </w:tabs>
                    <w:jc w:val="center"/>
                    <w:rPr>
                      <w:rFonts w:hint="default" w:ascii="Times New Roman" w:hAnsi="Times New Roman" w:cs="Times New Roman"/>
                      <w:color w:val="FF0000"/>
                      <w:szCs w:val="21"/>
                    </w:rPr>
                  </w:pPr>
                </w:p>
              </w:tc>
              <w:tc>
                <w:tcPr>
                  <w:tcW w:w="1043" w:type="dxa"/>
                  <w:vMerge w:val="continue"/>
                  <w:noWrap w:val="0"/>
                  <w:vAlign w:val="center"/>
                </w:tcPr>
                <w:p w14:paraId="77402D90">
                  <w:pPr>
                    <w:widowControl/>
                    <w:tabs>
                      <w:tab w:val="left" w:pos="195"/>
                    </w:tabs>
                    <w:jc w:val="center"/>
                    <w:rPr>
                      <w:rFonts w:hint="default" w:ascii="Times New Roman" w:hAnsi="Times New Roman" w:cs="Times New Roman"/>
                      <w:color w:val="FF0000"/>
                      <w:szCs w:val="21"/>
                    </w:rPr>
                  </w:pPr>
                </w:p>
              </w:tc>
              <w:tc>
                <w:tcPr>
                  <w:tcW w:w="1600" w:type="dxa"/>
                  <w:vMerge w:val="continue"/>
                  <w:noWrap w:val="0"/>
                  <w:vAlign w:val="center"/>
                </w:tcPr>
                <w:p w14:paraId="3DA95740">
                  <w:pPr>
                    <w:widowControl/>
                    <w:tabs>
                      <w:tab w:val="left" w:pos="195"/>
                    </w:tabs>
                    <w:jc w:val="center"/>
                    <w:rPr>
                      <w:rFonts w:hint="default" w:ascii="Times New Roman" w:hAnsi="Times New Roman" w:cs="Times New Roman"/>
                      <w:color w:val="FF0000"/>
                      <w:szCs w:val="21"/>
                    </w:rPr>
                  </w:pPr>
                </w:p>
              </w:tc>
              <w:tc>
                <w:tcPr>
                  <w:tcW w:w="933" w:type="dxa"/>
                  <w:vMerge w:val="continue"/>
                  <w:noWrap w:val="0"/>
                  <w:vAlign w:val="center"/>
                </w:tcPr>
                <w:p w14:paraId="2B23F975">
                  <w:pPr>
                    <w:widowControl/>
                    <w:tabs>
                      <w:tab w:val="left" w:pos="195"/>
                    </w:tabs>
                    <w:jc w:val="center"/>
                    <w:rPr>
                      <w:rFonts w:hint="default" w:ascii="Times New Roman" w:hAnsi="Times New Roman" w:cs="Times New Roman"/>
                      <w:color w:val="FF0000"/>
                      <w:szCs w:val="21"/>
                    </w:rPr>
                  </w:pPr>
                </w:p>
              </w:tc>
              <w:tc>
                <w:tcPr>
                  <w:tcW w:w="1450" w:type="dxa"/>
                  <w:noWrap w:val="0"/>
                  <w:vAlign w:val="center"/>
                </w:tcPr>
                <w:p w14:paraId="1C567CAE">
                  <w:pPr>
                    <w:widowControl/>
                    <w:tabs>
                      <w:tab w:val="left" w:pos="195"/>
                    </w:tabs>
                    <w:jc w:val="center"/>
                    <w:rPr>
                      <w:rFonts w:hint="default" w:ascii="Times New Roman" w:hAnsi="Times New Roman" w:cs="Times New Roman"/>
                      <w:color w:val="auto"/>
                      <w:szCs w:val="21"/>
                    </w:rPr>
                  </w:pP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p>
              </w:tc>
              <w:tc>
                <w:tcPr>
                  <w:tcW w:w="1310" w:type="dxa"/>
                  <w:noWrap w:val="0"/>
                  <w:vAlign w:val="center"/>
                </w:tcPr>
                <w:p w14:paraId="6E7640DC">
                  <w:pPr>
                    <w:tabs>
                      <w:tab w:val="left" w:pos="195"/>
                    </w:tabs>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年</w:t>
                  </w:r>
                </w:p>
              </w:tc>
              <w:tc>
                <w:tcPr>
                  <w:tcW w:w="2047" w:type="dxa"/>
                  <w:noWrap w:val="0"/>
                  <w:vAlign w:val="center"/>
                </w:tcPr>
                <w:p w14:paraId="66E4F1F1">
                  <w:pPr>
                    <w:tabs>
                      <w:tab w:val="left" w:pos="195"/>
                    </w:tabs>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35</w:t>
                  </w:r>
                  <w:r>
                    <w:rPr>
                      <w:rFonts w:hint="default" w:ascii="Times New Roman" w:hAnsi="Times New Roman" w:cs="Times New Roman"/>
                      <w:color w:val="auto"/>
                      <w:highlight w:val="none"/>
                    </w:rPr>
                    <w:t>mg/L</w:t>
                  </w:r>
                </w:p>
              </w:tc>
            </w:tr>
            <w:tr w14:paraId="221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7" w:type="dxa"/>
                  <w:vMerge w:val="continue"/>
                  <w:noWrap w:val="0"/>
                  <w:vAlign w:val="center"/>
                </w:tcPr>
                <w:p w14:paraId="5E61ED00">
                  <w:pPr>
                    <w:widowControl/>
                    <w:tabs>
                      <w:tab w:val="left" w:pos="195"/>
                    </w:tabs>
                    <w:jc w:val="center"/>
                    <w:rPr>
                      <w:rFonts w:hint="default" w:ascii="Times New Roman" w:hAnsi="Times New Roman" w:cs="Times New Roman"/>
                      <w:color w:val="FF0000"/>
                      <w:szCs w:val="21"/>
                    </w:rPr>
                  </w:pPr>
                </w:p>
              </w:tc>
              <w:tc>
                <w:tcPr>
                  <w:tcW w:w="936" w:type="dxa"/>
                  <w:vMerge w:val="continue"/>
                  <w:noWrap w:val="0"/>
                  <w:vAlign w:val="center"/>
                </w:tcPr>
                <w:p w14:paraId="1630CD08">
                  <w:pPr>
                    <w:widowControl/>
                    <w:tabs>
                      <w:tab w:val="left" w:pos="195"/>
                    </w:tabs>
                    <w:jc w:val="center"/>
                    <w:rPr>
                      <w:rFonts w:hint="default" w:ascii="Times New Roman" w:hAnsi="Times New Roman" w:cs="Times New Roman"/>
                      <w:color w:val="FF0000"/>
                      <w:szCs w:val="21"/>
                    </w:rPr>
                  </w:pPr>
                </w:p>
              </w:tc>
              <w:tc>
                <w:tcPr>
                  <w:tcW w:w="757" w:type="dxa"/>
                  <w:vMerge w:val="continue"/>
                  <w:noWrap w:val="0"/>
                  <w:vAlign w:val="center"/>
                </w:tcPr>
                <w:p w14:paraId="07531301">
                  <w:pPr>
                    <w:widowControl/>
                    <w:tabs>
                      <w:tab w:val="left" w:pos="195"/>
                    </w:tabs>
                    <w:jc w:val="center"/>
                    <w:rPr>
                      <w:rFonts w:hint="default" w:ascii="Times New Roman" w:hAnsi="Times New Roman" w:cs="Times New Roman"/>
                      <w:color w:val="FF0000"/>
                      <w:szCs w:val="21"/>
                    </w:rPr>
                  </w:pPr>
                </w:p>
              </w:tc>
              <w:tc>
                <w:tcPr>
                  <w:tcW w:w="1693" w:type="dxa"/>
                  <w:vMerge w:val="continue"/>
                  <w:noWrap w:val="0"/>
                  <w:vAlign w:val="center"/>
                </w:tcPr>
                <w:p w14:paraId="044D8F13">
                  <w:pPr>
                    <w:widowControl/>
                    <w:tabs>
                      <w:tab w:val="left" w:pos="195"/>
                    </w:tabs>
                    <w:jc w:val="center"/>
                    <w:rPr>
                      <w:rFonts w:hint="default" w:ascii="Times New Roman" w:hAnsi="Times New Roman" w:cs="Times New Roman"/>
                      <w:color w:val="FF0000"/>
                      <w:szCs w:val="21"/>
                    </w:rPr>
                  </w:pPr>
                </w:p>
              </w:tc>
              <w:tc>
                <w:tcPr>
                  <w:tcW w:w="760" w:type="dxa"/>
                  <w:vMerge w:val="continue"/>
                  <w:noWrap w:val="0"/>
                  <w:vAlign w:val="center"/>
                </w:tcPr>
                <w:p w14:paraId="405A08D6">
                  <w:pPr>
                    <w:widowControl/>
                    <w:tabs>
                      <w:tab w:val="left" w:pos="195"/>
                    </w:tabs>
                    <w:jc w:val="center"/>
                    <w:rPr>
                      <w:rFonts w:hint="default" w:ascii="Times New Roman" w:hAnsi="Times New Roman" w:cs="Times New Roman"/>
                      <w:color w:val="FF0000"/>
                      <w:szCs w:val="21"/>
                    </w:rPr>
                  </w:pPr>
                </w:p>
              </w:tc>
              <w:tc>
                <w:tcPr>
                  <w:tcW w:w="787" w:type="dxa"/>
                  <w:vMerge w:val="continue"/>
                  <w:noWrap w:val="0"/>
                  <w:vAlign w:val="center"/>
                </w:tcPr>
                <w:p w14:paraId="5DB1FB9B">
                  <w:pPr>
                    <w:widowControl/>
                    <w:tabs>
                      <w:tab w:val="left" w:pos="195"/>
                    </w:tabs>
                    <w:jc w:val="center"/>
                    <w:rPr>
                      <w:rFonts w:hint="default" w:ascii="Times New Roman" w:hAnsi="Times New Roman" w:cs="Times New Roman"/>
                      <w:color w:val="FF0000"/>
                      <w:szCs w:val="21"/>
                    </w:rPr>
                  </w:pPr>
                </w:p>
              </w:tc>
              <w:tc>
                <w:tcPr>
                  <w:tcW w:w="1043" w:type="dxa"/>
                  <w:vMerge w:val="continue"/>
                  <w:noWrap w:val="0"/>
                  <w:vAlign w:val="center"/>
                </w:tcPr>
                <w:p w14:paraId="4BCB6DEE">
                  <w:pPr>
                    <w:widowControl/>
                    <w:tabs>
                      <w:tab w:val="left" w:pos="195"/>
                    </w:tabs>
                    <w:jc w:val="center"/>
                    <w:rPr>
                      <w:rFonts w:hint="default" w:ascii="Times New Roman" w:hAnsi="Times New Roman" w:cs="Times New Roman"/>
                      <w:color w:val="FF0000"/>
                      <w:szCs w:val="21"/>
                    </w:rPr>
                  </w:pPr>
                </w:p>
              </w:tc>
              <w:tc>
                <w:tcPr>
                  <w:tcW w:w="1600" w:type="dxa"/>
                  <w:vMerge w:val="continue"/>
                  <w:noWrap w:val="0"/>
                  <w:vAlign w:val="center"/>
                </w:tcPr>
                <w:p w14:paraId="71A775A7">
                  <w:pPr>
                    <w:widowControl/>
                    <w:tabs>
                      <w:tab w:val="left" w:pos="195"/>
                    </w:tabs>
                    <w:jc w:val="center"/>
                    <w:rPr>
                      <w:rFonts w:hint="default" w:ascii="Times New Roman" w:hAnsi="Times New Roman" w:cs="Times New Roman"/>
                      <w:color w:val="FF0000"/>
                      <w:szCs w:val="21"/>
                    </w:rPr>
                  </w:pPr>
                </w:p>
              </w:tc>
              <w:tc>
                <w:tcPr>
                  <w:tcW w:w="933" w:type="dxa"/>
                  <w:vMerge w:val="continue"/>
                  <w:noWrap w:val="0"/>
                  <w:vAlign w:val="center"/>
                </w:tcPr>
                <w:p w14:paraId="1B962981">
                  <w:pPr>
                    <w:widowControl/>
                    <w:tabs>
                      <w:tab w:val="left" w:pos="195"/>
                    </w:tabs>
                    <w:jc w:val="center"/>
                    <w:rPr>
                      <w:rFonts w:hint="default" w:ascii="Times New Roman" w:hAnsi="Times New Roman" w:cs="Times New Roman"/>
                      <w:color w:val="FF0000"/>
                      <w:szCs w:val="21"/>
                    </w:rPr>
                  </w:pPr>
                </w:p>
              </w:tc>
              <w:tc>
                <w:tcPr>
                  <w:tcW w:w="1450" w:type="dxa"/>
                  <w:noWrap w:val="0"/>
                  <w:vAlign w:val="center"/>
                </w:tcPr>
                <w:p w14:paraId="0803A651">
                  <w:pPr>
                    <w:widowControl/>
                    <w:tabs>
                      <w:tab w:val="left" w:pos="195"/>
                    </w:tabs>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动植物油</w:t>
                  </w:r>
                </w:p>
              </w:tc>
              <w:tc>
                <w:tcPr>
                  <w:tcW w:w="1310" w:type="dxa"/>
                  <w:noWrap w:val="0"/>
                  <w:vAlign w:val="center"/>
                </w:tcPr>
                <w:p w14:paraId="6AC4EDAE">
                  <w:pPr>
                    <w:tabs>
                      <w:tab w:val="left" w:pos="195"/>
                    </w:tabs>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年</w:t>
                  </w:r>
                </w:p>
              </w:tc>
              <w:tc>
                <w:tcPr>
                  <w:tcW w:w="2047" w:type="dxa"/>
                  <w:noWrap w:val="0"/>
                  <w:vAlign w:val="center"/>
                </w:tcPr>
                <w:p w14:paraId="093E4C1C">
                  <w:pPr>
                    <w:tabs>
                      <w:tab w:val="left" w:pos="195"/>
                    </w:tabs>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mg/L</w:t>
                  </w:r>
                </w:p>
              </w:tc>
            </w:tr>
          </w:tbl>
          <w:p w14:paraId="08EC6760">
            <w:pPr>
              <w:keepNext w:val="0"/>
              <w:keepLines w:val="0"/>
              <w:pageBreakBefore w:val="0"/>
              <w:widowControl w:val="0"/>
              <w:kinsoku/>
              <w:wordWrap/>
              <w:overflowPunct/>
              <w:topLinePunct w:val="0"/>
              <w:autoSpaceDE/>
              <w:autoSpaceDN/>
              <w:bidi w:val="0"/>
              <w:adjustRightInd/>
              <w:snapToGrid/>
              <w:spacing w:before="157" w:beforeLines="50" w:line="500" w:lineRule="exact"/>
              <w:jc w:val="both"/>
              <w:textAlignment w:val="center"/>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4.2.2.3废水污染源源强核算</w:t>
            </w:r>
          </w:p>
          <w:p w14:paraId="474B14F8">
            <w:pPr>
              <w:widowControl w:val="0"/>
              <w:spacing w:line="460" w:lineRule="exact"/>
              <w:jc w:val="center"/>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1"/>
                <w:szCs w:val="21"/>
              </w:rPr>
              <w:t>表</w:t>
            </w:r>
            <w:r>
              <w:rPr>
                <w:rFonts w:hint="eastAsia" w:ascii="Times New Roman" w:hAnsi="Times New Roman" w:eastAsia="宋体" w:cs="Times New Roman"/>
                <w:b/>
                <w:color w:val="auto"/>
                <w:kern w:val="0"/>
                <w:sz w:val="21"/>
                <w:szCs w:val="21"/>
                <w:lang w:val="en-US" w:eastAsia="zh-CN"/>
              </w:rPr>
              <w:t xml:space="preserve">4-10 </w:t>
            </w:r>
            <w:r>
              <w:rPr>
                <w:rFonts w:ascii="Times New Roman" w:hAnsi="Times New Roman" w:eastAsia="宋体" w:cs="Times New Roman"/>
                <w:b/>
                <w:color w:val="auto"/>
                <w:kern w:val="0"/>
                <w:sz w:val="21"/>
                <w:szCs w:val="21"/>
              </w:rPr>
              <w:t xml:space="preserve"> 工序/生产线产生废水污染源源强核算结果及相关参数一览表</w:t>
            </w:r>
          </w:p>
          <w:tbl>
            <w:tblPr>
              <w:tblStyle w:val="23"/>
              <w:tblW w:w="1417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8"/>
              <w:gridCol w:w="797"/>
              <w:gridCol w:w="1016"/>
              <w:gridCol w:w="984"/>
              <w:gridCol w:w="703"/>
              <w:gridCol w:w="906"/>
              <w:gridCol w:w="797"/>
              <w:gridCol w:w="859"/>
              <w:gridCol w:w="1359"/>
              <w:gridCol w:w="703"/>
              <w:gridCol w:w="938"/>
              <w:gridCol w:w="734"/>
              <w:gridCol w:w="1000"/>
              <w:gridCol w:w="844"/>
              <w:gridCol w:w="906"/>
              <w:gridCol w:w="779"/>
            </w:tblGrid>
            <w:tr w14:paraId="2DE22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8" w:type="dxa"/>
                  <w:vMerge w:val="restart"/>
                  <w:tcBorders>
                    <w:right w:val="single" w:color="auto" w:sz="4" w:space="0"/>
                  </w:tcBorders>
                  <w:vAlign w:val="center"/>
                </w:tcPr>
                <w:p w14:paraId="13F53F5B">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工艺/</w:t>
                  </w:r>
                </w:p>
                <w:p w14:paraId="68D4123D">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生产线</w:t>
                  </w:r>
                </w:p>
              </w:tc>
              <w:tc>
                <w:tcPr>
                  <w:tcW w:w="797" w:type="dxa"/>
                  <w:vMerge w:val="restart"/>
                  <w:tcBorders>
                    <w:left w:val="single" w:color="auto" w:sz="4" w:space="0"/>
                    <w:right w:val="single" w:color="auto" w:sz="4" w:space="0"/>
                  </w:tcBorders>
                  <w:vAlign w:val="center"/>
                </w:tcPr>
                <w:p w14:paraId="6C806ED3">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装置</w:t>
                  </w:r>
                </w:p>
              </w:tc>
              <w:tc>
                <w:tcPr>
                  <w:tcW w:w="1016" w:type="dxa"/>
                  <w:vMerge w:val="restart"/>
                  <w:tcBorders>
                    <w:left w:val="single" w:color="auto" w:sz="4" w:space="0"/>
                    <w:right w:val="single" w:color="auto" w:sz="4" w:space="0"/>
                  </w:tcBorders>
                  <w:vAlign w:val="center"/>
                </w:tcPr>
                <w:p w14:paraId="4601E772">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污染源</w:t>
                  </w:r>
                </w:p>
              </w:tc>
              <w:tc>
                <w:tcPr>
                  <w:tcW w:w="984" w:type="dxa"/>
                  <w:vMerge w:val="restart"/>
                  <w:tcBorders>
                    <w:left w:val="single" w:color="auto" w:sz="4" w:space="0"/>
                    <w:right w:val="single" w:color="auto" w:sz="4" w:space="0"/>
                  </w:tcBorders>
                  <w:vAlign w:val="center"/>
                </w:tcPr>
                <w:p w14:paraId="54B2EEE7">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污染物</w:t>
                  </w:r>
                </w:p>
              </w:tc>
              <w:tc>
                <w:tcPr>
                  <w:tcW w:w="3265" w:type="dxa"/>
                  <w:gridSpan w:val="4"/>
                  <w:tcBorders>
                    <w:left w:val="single" w:color="auto" w:sz="4" w:space="0"/>
                    <w:right w:val="single" w:color="auto" w:sz="4" w:space="0"/>
                  </w:tcBorders>
                  <w:vAlign w:val="center"/>
                </w:tcPr>
                <w:p w14:paraId="504936BA">
                  <w:pPr>
                    <w:jc w:val="center"/>
                    <w:rPr>
                      <w:rFonts w:ascii="Times New Roman" w:hAnsi="Times New Roman" w:cs="Times New Roman"/>
                      <w:b/>
                      <w:bCs/>
                      <w:color w:val="auto"/>
                      <w:kern w:val="28"/>
                      <w:highlight w:val="none"/>
                    </w:rPr>
                  </w:pPr>
                  <w:r>
                    <w:rPr>
                      <w:rFonts w:ascii="Times New Roman" w:hAnsi="Times New Roman" w:cs="Times New Roman"/>
                      <w:b/>
                      <w:bCs/>
                      <w:color w:val="auto"/>
                      <w:kern w:val="28"/>
                      <w:highlight w:val="none"/>
                    </w:rPr>
                    <w:t>污染物产生</w:t>
                  </w:r>
                </w:p>
              </w:tc>
              <w:tc>
                <w:tcPr>
                  <w:tcW w:w="3000" w:type="dxa"/>
                  <w:gridSpan w:val="3"/>
                  <w:tcBorders>
                    <w:left w:val="single" w:color="auto" w:sz="4" w:space="0"/>
                    <w:right w:val="single" w:color="auto" w:sz="4" w:space="0"/>
                  </w:tcBorders>
                  <w:vAlign w:val="center"/>
                </w:tcPr>
                <w:p w14:paraId="24957E3B">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治理措施</w:t>
                  </w:r>
                </w:p>
              </w:tc>
              <w:tc>
                <w:tcPr>
                  <w:tcW w:w="3484" w:type="dxa"/>
                  <w:gridSpan w:val="4"/>
                  <w:tcBorders>
                    <w:left w:val="single" w:color="auto" w:sz="4" w:space="0"/>
                    <w:right w:val="single" w:color="auto" w:sz="4" w:space="0"/>
                  </w:tcBorders>
                  <w:vAlign w:val="center"/>
                </w:tcPr>
                <w:p w14:paraId="6DA085B9">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污染物排放</w:t>
                  </w:r>
                </w:p>
              </w:tc>
              <w:tc>
                <w:tcPr>
                  <w:tcW w:w="779" w:type="dxa"/>
                  <w:vMerge w:val="restart"/>
                  <w:tcBorders>
                    <w:left w:val="single" w:color="auto" w:sz="4" w:space="0"/>
                    <w:right w:val="single" w:color="auto" w:sz="4" w:space="0"/>
                  </w:tcBorders>
                  <w:vAlign w:val="center"/>
                </w:tcPr>
                <w:p w14:paraId="2071AD1E">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排放</w:t>
                  </w:r>
                </w:p>
                <w:p w14:paraId="14109721">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时间/h</w:t>
                  </w:r>
                </w:p>
              </w:tc>
            </w:tr>
            <w:tr w14:paraId="62003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8" w:type="dxa"/>
                  <w:vMerge w:val="continue"/>
                  <w:tcBorders>
                    <w:right w:val="single" w:color="auto" w:sz="4" w:space="0"/>
                  </w:tcBorders>
                  <w:vAlign w:val="center"/>
                </w:tcPr>
                <w:p w14:paraId="5CF86535">
                  <w:pPr>
                    <w:jc w:val="center"/>
                    <w:rPr>
                      <w:rFonts w:ascii="Times New Roman" w:hAnsi="Times New Roman" w:cs="Times New Roman"/>
                      <w:bCs/>
                      <w:color w:val="auto"/>
                      <w:highlight w:val="none"/>
                    </w:rPr>
                  </w:pPr>
                </w:p>
              </w:tc>
              <w:tc>
                <w:tcPr>
                  <w:tcW w:w="797" w:type="dxa"/>
                  <w:vMerge w:val="continue"/>
                  <w:tcBorders>
                    <w:left w:val="single" w:color="auto" w:sz="4" w:space="0"/>
                    <w:right w:val="single" w:color="auto" w:sz="4" w:space="0"/>
                  </w:tcBorders>
                  <w:vAlign w:val="center"/>
                </w:tcPr>
                <w:p w14:paraId="03565CE4">
                  <w:pPr>
                    <w:jc w:val="center"/>
                    <w:rPr>
                      <w:rFonts w:ascii="Times New Roman" w:hAnsi="Times New Roman" w:cs="Times New Roman"/>
                      <w:bCs/>
                      <w:color w:val="auto"/>
                      <w:highlight w:val="none"/>
                    </w:rPr>
                  </w:pPr>
                </w:p>
              </w:tc>
              <w:tc>
                <w:tcPr>
                  <w:tcW w:w="1016" w:type="dxa"/>
                  <w:vMerge w:val="continue"/>
                  <w:tcBorders>
                    <w:left w:val="single" w:color="auto" w:sz="4" w:space="0"/>
                    <w:right w:val="single" w:color="auto" w:sz="4" w:space="0"/>
                  </w:tcBorders>
                  <w:vAlign w:val="center"/>
                </w:tcPr>
                <w:p w14:paraId="5C6CE665">
                  <w:pPr>
                    <w:jc w:val="center"/>
                    <w:rPr>
                      <w:rFonts w:ascii="Times New Roman" w:hAnsi="Times New Roman" w:cs="Times New Roman"/>
                      <w:bCs/>
                      <w:color w:val="auto"/>
                      <w:highlight w:val="none"/>
                    </w:rPr>
                  </w:pPr>
                </w:p>
              </w:tc>
              <w:tc>
                <w:tcPr>
                  <w:tcW w:w="984" w:type="dxa"/>
                  <w:vMerge w:val="continue"/>
                  <w:tcBorders>
                    <w:left w:val="single" w:color="auto" w:sz="4" w:space="0"/>
                    <w:right w:val="single" w:color="auto" w:sz="4" w:space="0"/>
                  </w:tcBorders>
                  <w:vAlign w:val="center"/>
                </w:tcPr>
                <w:p w14:paraId="155A2AD6">
                  <w:pPr>
                    <w:jc w:val="center"/>
                    <w:rPr>
                      <w:rFonts w:ascii="Times New Roman" w:hAnsi="Times New Roman" w:cs="Times New Roman"/>
                      <w:bCs/>
                      <w:color w:val="auto"/>
                      <w:highlight w:val="none"/>
                    </w:rPr>
                  </w:pPr>
                </w:p>
              </w:tc>
              <w:tc>
                <w:tcPr>
                  <w:tcW w:w="703" w:type="dxa"/>
                  <w:tcBorders>
                    <w:left w:val="single" w:color="auto" w:sz="4" w:space="0"/>
                    <w:right w:val="single" w:color="auto" w:sz="4" w:space="0"/>
                  </w:tcBorders>
                  <w:vAlign w:val="center"/>
                </w:tcPr>
                <w:p w14:paraId="6E5E52C7">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核算</w:t>
                  </w:r>
                </w:p>
                <w:p w14:paraId="2D182D92">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方法</w:t>
                  </w:r>
                </w:p>
              </w:tc>
              <w:tc>
                <w:tcPr>
                  <w:tcW w:w="906" w:type="dxa"/>
                  <w:tcBorders>
                    <w:left w:val="single" w:color="auto" w:sz="4" w:space="0"/>
                    <w:right w:val="single" w:color="auto" w:sz="4" w:space="0"/>
                  </w:tcBorders>
                  <w:vAlign w:val="center"/>
                </w:tcPr>
                <w:p w14:paraId="61937568">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废水</w:t>
                  </w:r>
                </w:p>
                <w:p w14:paraId="54164CD7">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产生量m</w:t>
                  </w:r>
                  <w:r>
                    <w:rPr>
                      <w:rFonts w:ascii="Times New Roman" w:hAnsi="Times New Roman" w:cs="Times New Roman"/>
                      <w:b/>
                      <w:bCs w:val="0"/>
                      <w:color w:val="auto"/>
                      <w:highlight w:val="none"/>
                      <w:vertAlign w:val="superscript"/>
                    </w:rPr>
                    <w:t>3</w:t>
                  </w:r>
                  <w:r>
                    <w:rPr>
                      <w:rFonts w:ascii="Times New Roman" w:hAnsi="Times New Roman" w:cs="Times New Roman"/>
                      <w:b/>
                      <w:bCs w:val="0"/>
                      <w:color w:val="auto"/>
                      <w:highlight w:val="none"/>
                    </w:rPr>
                    <w:t>/h</w:t>
                  </w:r>
                </w:p>
              </w:tc>
              <w:tc>
                <w:tcPr>
                  <w:tcW w:w="797" w:type="dxa"/>
                  <w:tcBorders>
                    <w:left w:val="single" w:color="auto" w:sz="4" w:space="0"/>
                  </w:tcBorders>
                  <w:vAlign w:val="center"/>
                </w:tcPr>
                <w:p w14:paraId="4A6B097C">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产生浓度</w:t>
                  </w:r>
                </w:p>
                <w:p w14:paraId="04AFA92B">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mg/L</w:t>
                  </w:r>
                </w:p>
              </w:tc>
              <w:tc>
                <w:tcPr>
                  <w:tcW w:w="859" w:type="dxa"/>
                  <w:tcBorders>
                    <w:right w:val="single" w:color="auto" w:sz="4" w:space="0"/>
                  </w:tcBorders>
                  <w:vAlign w:val="center"/>
                </w:tcPr>
                <w:p w14:paraId="465E1C1C">
                  <w:pPr>
                    <w:jc w:val="center"/>
                    <w:rPr>
                      <w:rFonts w:ascii="Times New Roman" w:hAnsi="Times New Roman" w:cs="Times New Roman"/>
                      <w:b/>
                      <w:bCs w:val="0"/>
                      <w:color w:val="auto"/>
                      <w:kern w:val="28"/>
                      <w:highlight w:val="none"/>
                    </w:rPr>
                  </w:pPr>
                  <w:r>
                    <w:rPr>
                      <w:rFonts w:ascii="Times New Roman" w:hAnsi="Times New Roman" w:cs="Times New Roman"/>
                      <w:b/>
                      <w:bCs w:val="0"/>
                      <w:color w:val="auto"/>
                      <w:kern w:val="28"/>
                      <w:highlight w:val="none"/>
                    </w:rPr>
                    <w:t>产生量</w:t>
                  </w:r>
                </w:p>
                <w:p w14:paraId="2F04E183">
                  <w:pPr>
                    <w:jc w:val="center"/>
                    <w:rPr>
                      <w:rFonts w:ascii="Times New Roman" w:hAnsi="Times New Roman" w:cs="Times New Roman"/>
                      <w:b/>
                      <w:bCs w:val="0"/>
                      <w:color w:val="auto"/>
                      <w:kern w:val="28"/>
                      <w:highlight w:val="none"/>
                    </w:rPr>
                  </w:pPr>
                  <w:r>
                    <w:rPr>
                      <w:rFonts w:ascii="Times New Roman" w:hAnsi="Times New Roman" w:cs="Times New Roman"/>
                      <w:b/>
                      <w:bCs w:val="0"/>
                      <w:color w:val="auto"/>
                      <w:kern w:val="28"/>
                      <w:highlight w:val="none"/>
                    </w:rPr>
                    <w:t>kg/h</w:t>
                  </w:r>
                </w:p>
              </w:tc>
              <w:tc>
                <w:tcPr>
                  <w:tcW w:w="1359" w:type="dxa"/>
                  <w:tcBorders>
                    <w:left w:val="single" w:color="auto" w:sz="4" w:space="0"/>
                  </w:tcBorders>
                  <w:vAlign w:val="center"/>
                </w:tcPr>
                <w:p w14:paraId="727F8C6B">
                  <w:pPr>
                    <w:jc w:val="center"/>
                    <w:rPr>
                      <w:rFonts w:ascii="Times New Roman" w:hAnsi="Times New Roman" w:cs="Times New Roman"/>
                      <w:b/>
                      <w:bCs w:val="0"/>
                      <w:color w:val="auto"/>
                      <w:kern w:val="28"/>
                      <w:highlight w:val="none"/>
                    </w:rPr>
                  </w:pPr>
                  <w:r>
                    <w:rPr>
                      <w:rFonts w:ascii="Times New Roman" w:hAnsi="Times New Roman" w:cs="Times New Roman"/>
                      <w:b/>
                      <w:bCs w:val="0"/>
                      <w:color w:val="auto"/>
                      <w:kern w:val="28"/>
                      <w:highlight w:val="none"/>
                    </w:rPr>
                    <w:t>工艺</w:t>
                  </w:r>
                </w:p>
              </w:tc>
              <w:tc>
                <w:tcPr>
                  <w:tcW w:w="703" w:type="dxa"/>
                  <w:tcBorders>
                    <w:right w:val="single" w:color="auto" w:sz="4" w:space="0"/>
                  </w:tcBorders>
                  <w:vAlign w:val="center"/>
                </w:tcPr>
                <w:p w14:paraId="1B8403B7">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效率</w:t>
                  </w:r>
                </w:p>
                <w:p w14:paraId="0E0E8349">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w:t>
                  </w:r>
                </w:p>
              </w:tc>
              <w:tc>
                <w:tcPr>
                  <w:tcW w:w="938" w:type="dxa"/>
                  <w:tcBorders>
                    <w:right w:val="single" w:color="auto" w:sz="4" w:space="0"/>
                  </w:tcBorders>
                  <w:vAlign w:val="center"/>
                </w:tcPr>
                <w:p w14:paraId="60DF95DC">
                  <w:pPr>
                    <w:jc w:val="center"/>
                    <w:rPr>
                      <w:rFonts w:ascii="Times New Roman" w:hAnsi="Times New Roman" w:cs="Times New Roman"/>
                      <w:b/>
                      <w:bCs w:val="0"/>
                      <w:color w:val="auto"/>
                      <w:highlight w:val="none"/>
                    </w:rPr>
                  </w:pPr>
                  <w:r>
                    <w:rPr>
                      <w:rFonts w:hint="eastAsia" w:ascii="Times New Roman" w:hAnsi="Times New Roman" w:eastAsia="宋体C...." w:cs="Times New Roman"/>
                      <w:b/>
                      <w:bCs w:val="0"/>
                      <w:color w:val="auto"/>
                      <w:szCs w:val="21"/>
                      <w:highlight w:val="none"/>
                    </w:rPr>
                    <w:t>是否为可行技术</w:t>
                  </w:r>
                </w:p>
              </w:tc>
              <w:tc>
                <w:tcPr>
                  <w:tcW w:w="734" w:type="dxa"/>
                  <w:tcBorders>
                    <w:left w:val="single" w:color="auto" w:sz="4" w:space="0"/>
                  </w:tcBorders>
                  <w:vAlign w:val="center"/>
                </w:tcPr>
                <w:p w14:paraId="19C42031">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核算</w:t>
                  </w:r>
                </w:p>
                <w:p w14:paraId="7097880F">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方法</w:t>
                  </w:r>
                </w:p>
              </w:tc>
              <w:tc>
                <w:tcPr>
                  <w:tcW w:w="1000" w:type="dxa"/>
                  <w:tcBorders>
                    <w:right w:val="single" w:color="auto" w:sz="4" w:space="0"/>
                  </w:tcBorders>
                  <w:vAlign w:val="center"/>
                </w:tcPr>
                <w:p w14:paraId="68038F87">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废水</w:t>
                  </w:r>
                </w:p>
                <w:p w14:paraId="18DD8B7D">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排放量m</w:t>
                  </w:r>
                  <w:r>
                    <w:rPr>
                      <w:rFonts w:ascii="Times New Roman" w:hAnsi="Times New Roman" w:cs="Times New Roman"/>
                      <w:b/>
                      <w:bCs w:val="0"/>
                      <w:color w:val="auto"/>
                      <w:highlight w:val="none"/>
                      <w:vertAlign w:val="superscript"/>
                    </w:rPr>
                    <w:t>3</w:t>
                  </w:r>
                  <w:r>
                    <w:rPr>
                      <w:rFonts w:ascii="Times New Roman" w:hAnsi="Times New Roman" w:cs="Times New Roman"/>
                      <w:b/>
                      <w:bCs w:val="0"/>
                      <w:color w:val="auto"/>
                      <w:highlight w:val="none"/>
                    </w:rPr>
                    <w:t>/h</w:t>
                  </w:r>
                </w:p>
              </w:tc>
              <w:tc>
                <w:tcPr>
                  <w:tcW w:w="844" w:type="dxa"/>
                  <w:tcBorders>
                    <w:left w:val="single" w:color="auto" w:sz="4" w:space="0"/>
                    <w:right w:val="single" w:color="auto" w:sz="4" w:space="0"/>
                  </w:tcBorders>
                  <w:vAlign w:val="center"/>
                </w:tcPr>
                <w:p w14:paraId="3616B04D">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排放浓度</w:t>
                  </w:r>
                </w:p>
                <w:p w14:paraId="0F59F9A6">
                  <w:pPr>
                    <w:jc w:val="center"/>
                    <w:rPr>
                      <w:rFonts w:ascii="Times New Roman" w:hAnsi="Times New Roman" w:cs="Times New Roman"/>
                      <w:b/>
                      <w:bCs w:val="0"/>
                      <w:color w:val="auto"/>
                      <w:highlight w:val="none"/>
                    </w:rPr>
                  </w:pPr>
                  <w:r>
                    <w:rPr>
                      <w:rFonts w:ascii="Times New Roman" w:hAnsi="Times New Roman" w:cs="Times New Roman"/>
                      <w:b/>
                      <w:bCs w:val="0"/>
                      <w:color w:val="auto"/>
                      <w:highlight w:val="none"/>
                    </w:rPr>
                    <w:t>mg/L</w:t>
                  </w:r>
                </w:p>
              </w:tc>
              <w:tc>
                <w:tcPr>
                  <w:tcW w:w="906" w:type="dxa"/>
                  <w:tcBorders>
                    <w:left w:val="single" w:color="auto" w:sz="4" w:space="0"/>
                    <w:right w:val="single" w:color="auto" w:sz="4" w:space="0"/>
                  </w:tcBorders>
                  <w:vAlign w:val="center"/>
                </w:tcPr>
                <w:p w14:paraId="54222724">
                  <w:pPr>
                    <w:jc w:val="center"/>
                    <w:rPr>
                      <w:rFonts w:ascii="Times New Roman" w:hAnsi="Times New Roman" w:cs="Times New Roman"/>
                      <w:b/>
                      <w:bCs w:val="0"/>
                      <w:color w:val="auto"/>
                      <w:kern w:val="28"/>
                      <w:highlight w:val="none"/>
                    </w:rPr>
                  </w:pPr>
                  <w:r>
                    <w:rPr>
                      <w:rFonts w:ascii="Times New Roman" w:hAnsi="Times New Roman" w:cs="Times New Roman"/>
                      <w:b/>
                      <w:bCs w:val="0"/>
                      <w:color w:val="auto"/>
                      <w:kern w:val="28"/>
                      <w:highlight w:val="none"/>
                    </w:rPr>
                    <w:t>排放量kg/h</w:t>
                  </w:r>
                </w:p>
              </w:tc>
              <w:tc>
                <w:tcPr>
                  <w:tcW w:w="779" w:type="dxa"/>
                  <w:vMerge w:val="continue"/>
                  <w:tcBorders>
                    <w:left w:val="single" w:color="auto" w:sz="4" w:space="0"/>
                    <w:right w:val="single" w:color="auto" w:sz="4" w:space="0"/>
                  </w:tcBorders>
                  <w:vAlign w:val="center"/>
                </w:tcPr>
                <w:p w14:paraId="7A86D090">
                  <w:pPr>
                    <w:jc w:val="center"/>
                    <w:rPr>
                      <w:rFonts w:ascii="Times New Roman" w:hAnsi="Times New Roman" w:cs="Times New Roman"/>
                      <w:bCs/>
                      <w:color w:val="auto"/>
                      <w:highlight w:val="none"/>
                    </w:rPr>
                  </w:pPr>
                </w:p>
              </w:tc>
            </w:tr>
            <w:tr w14:paraId="60B0D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8" w:type="dxa"/>
                  <w:vMerge w:val="restart"/>
                  <w:tcBorders>
                    <w:right w:val="single" w:color="auto" w:sz="4" w:space="0"/>
                  </w:tcBorders>
                  <w:vAlign w:val="center"/>
                </w:tcPr>
                <w:p w14:paraId="16432B17">
                  <w:pPr>
                    <w:jc w:val="center"/>
                    <w:rPr>
                      <w:rFonts w:hint="default" w:ascii="Times New Roman" w:hAnsi="Times New Roman" w:cs="Times New Roman" w:eastAsiaTheme="minorEastAsia"/>
                      <w:bCs/>
                      <w:color w:val="FF0000"/>
                      <w:highlight w:val="none"/>
                      <w:lang w:val="en-US" w:eastAsia="zh-CN"/>
                    </w:rPr>
                  </w:pPr>
                  <w:r>
                    <w:rPr>
                      <w:rFonts w:hint="default" w:ascii="Times New Roman" w:hAnsi="Times New Roman" w:cs="Times New Roman" w:eastAsiaTheme="minorEastAsia"/>
                      <w:bCs/>
                      <w:color w:val="auto"/>
                      <w:highlight w:val="none"/>
                      <w:lang w:val="en-US" w:eastAsia="zh-CN"/>
                    </w:rPr>
                    <w:t>生活污水</w:t>
                  </w:r>
                </w:p>
              </w:tc>
              <w:tc>
                <w:tcPr>
                  <w:tcW w:w="797" w:type="dxa"/>
                  <w:vMerge w:val="restart"/>
                  <w:tcBorders>
                    <w:left w:val="single" w:color="auto" w:sz="4" w:space="0"/>
                    <w:right w:val="single" w:color="auto" w:sz="4" w:space="0"/>
                  </w:tcBorders>
                  <w:vAlign w:val="center"/>
                </w:tcPr>
                <w:p w14:paraId="31944D7B">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隔油池、化粪池</w:t>
                  </w:r>
                </w:p>
              </w:tc>
              <w:tc>
                <w:tcPr>
                  <w:tcW w:w="1016" w:type="dxa"/>
                  <w:vMerge w:val="restart"/>
                  <w:tcBorders>
                    <w:left w:val="single" w:color="auto" w:sz="4" w:space="0"/>
                    <w:right w:val="single" w:color="auto" w:sz="4" w:space="0"/>
                  </w:tcBorders>
                  <w:vAlign w:val="center"/>
                </w:tcPr>
                <w:p w14:paraId="1CC6F401">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生活</w:t>
                  </w:r>
                </w:p>
              </w:tc>
              <w:tc>
                <w:tcPr>
                  <w:tcW w:w="984" w:type="dxa"/>
                  <w:tcBorders>
                    <w:left w:val="single" w:color="auto" w:sz="4" w:space="0"/>
                    <w:right w:val="single" w:color="auto" w:sz="4" w:space="0"/>
                  </w:tcBorders>
                  <w:vAlign w:val="center"/>
                </w:tcPr>
                <w:p w14:paraId="5E9CCB88">
                  <w:pPr>
                    <w:widowControl/>
                    <w:tabs>
                      <w:tab w:val="left" w:pos="195"/>
                    </w:tabs>
                    <w:jc w:val="center"/>
                    <w:rPr>
                      <w:rFonts w:ascii="Times New Roman" w:hAnsi="Times New Roman" w:cs="Times New Roman"/>
                      <w:color w:val="auto"/>
                      <w:highlight w:val="none"/>
                    </w:rPr>
                  </w:pPr>
                  <w:r>
                    <w:rPr>
                      <w:rFonts w:hint="default" w:ascii="Times New Roman" w:hAnsi="Times New Roman" w:cs="Times New Roman"/>
                      <w:color w:val="auto"/>
                      <w:szCs w:val="21"/>
                    </w:rPr>
                    <w:t>COD</w:t>
                  </w:r>
                  <w:r>
                    <w:rPr>
                      <w:rFonts w:hint="default" w:ascii="Times New Roman" w:hAnsi="Times New Roman" w:cs="Times New Roman"/>
                      <w:color w:val="auto"/>
                      <w:szCs w:val="21"/>
                      <w:vertAlign w:val="subscript"/>
                    </w:rPr>
                    <w:t>Cr</w:t>
                  </w:r>
                </w:p>
              </w:tc>
              <w:tc>
                <w:tcPr>
                  <w:tcW w:w="703" w:type="dxa"/>
                  <w:vMerge w:val="restart"/>
                  <w:tcBorders>
                    <w:left w:val="single" w:color="auto" w:sz="4" w:space="0"/>
                    <w:right w:val="single" w:color="auto" w:sz="4" w:space="0"/>
                  </w:tcBorders>
                  <w:vAlign w:val="center"/>
                </w:tcPr>
                <w:p w14:paraId="67976E23">
                  <w:pPr>
                    <w:jc w:val="center"/>
                    <w:rPr>
                      <w:rFonts w:ascii="Times New Roman" w:hAnsi="Times New Roman" w:cs="Times New Roman"/>
                      <w:bCs/>
                      <w:color w:val="FF0000"/>
                      <w:highlight w:val="none"/>
                    </w:rPr>
                  </w:pPr>
                  <w:r>
                    <w:rPr>
                      <w:rFonts w:ascii="Times New Roman" w:hAnsi="Times New Roman" w:cs="Times New Roman"/>
                      <w:bCs/>
                      <w:color w:val="auto"/>
                      <w:highlight w:val="none"/>
                    </w:rPr>
                    <w:t>类比法</w:t>
                  </w:r>
                </w:p>
              </w:tc>
              <w:tc>
                <w:tcPr>
                  <w:tcW w:w="906" w:type="dxa"/>
                  <w:vMerge w:val="restart"/>
                  <w:tcBorders>
                    <w:left w:val="single" w:color="auto" w:sz="4" w:space="0"/>
                    <w:right w:val="single" w:color="auto" w:sz="4" w:space="0"/>
                  </w:tcBorders>
                  <w:vAlign w:val="center"/>
                </w:tcPr>
                <w:p w14:paraId="330BE393">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0.64</w:t>
                  </w:r>
                </w:p>
              </w:tc>
              <w:tc>
                <w:tcPr>
                  <w:tcW w:w="797" w:type="dxa"/>
                  <w:tcBorders>
                    <w:left w:val="single" w:color="auto" w:sz="4" w:space="0"/>
                  </w:tcBorders>
                  <w:vAlign w:val="center"/>
                </w:tcPr>
                <w:p w14:paraId="793E1EE4">
                  <w:pPr>
                    <w:widowControl w:val="0"/>
                    <w:adjustRightInd w:val="0"/>
                    <w:snapToGrid w:val="0"/>
                    <w:spacing w:line="240" w:lineRule="auto"/>
                    <w:jc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val="0"/>
                      <w:color w:val="auto"/>
                      <w:highlight w:val="none"/>
                      <w:lang w:val="en-US" w:eastAsia="zh-CN"/>
                    </w:rPr>
                    <w:t>380</w:t>
                  </w:r>
                </w:p>
              </w:tc>
              <w:tc>
                <w:tcPr>
                  <w:tcW w:w="859" w:type="dxa"/>
                  <w:tcBorders>
                    <w:right w:val="single" w:color="auto" w:sz="4" w:space="0"/>
                  </w:tcBorders>
                  <w:vAlign w:val="center"/>
                </w:tcPr>
                <w:p w14:paraId="7B113866">
                  <w:pPr>
                    <w:jc w:val="center"/>
                    <w:rPr>
                      <w:rFonts w:hint="default" w:ascii="Times New Roman" w:hAnsi="Times New Roman" w:cs="Times New Roman" w:eastAsiaTheme="minorEastAsia"/>
                      <w:bCs/>
                      <w:color w:val="auto"/>
                      <w:kern w:val="28"/>
                      <w:highlight w:val="none"/>
                      <w:lang w:val="en-US" w:eastAsia="zh-CN"/>
                    </w:rPr>
                  </w:pPr>
                  <w:r>
                    <w:rPr>
                      <w:rFonts w:hint="eastAsia" w:ascii="Times New Roman" w:hAnsi="Times New Roman" w:cs="Times New Roman"/>
                      <w:bCs/>
                      <w:color w:val="auto"/>
                      <w:kern w:val="28"/>
                      <w:highlight w:val="none"/>
                      <w:lang w:val="en-US" w:eastAsia="zh-CN"/>
                    </w:rPr>
                    <w:t>0.243</w:t>
                  </w:r>
                </w:p>
              </w:tc>
              <w:tc>
                <w:tcPr>
                  <w:tcW w:w="1359" w:type="dxa"/>
                  <w:vMerge w:val="restart"/>
                  <w:tcBorders>
                    <w:left w:val="single" w:color="auto" w:sz="4" w:space="0"/>
                  </w:tcBorders>
                  <w:vAlign w:val="center"/>
                </w:tcPr>
                <w:p w14:paraId="458ABE75">
                  <w:pPr>
                    <w:jc w:val="center"/>
                    <w:rPr>
                      <w:rFonts w:hint="default" w:ascii="Times New Roman" w:hAnsi="Times New Roman" w:cs="Times New Roman" w:eastAsiaTheme="minorEastAsia"/>
                      <w:bCs/>
                      <w:color w:val="auto"/>
                      <w:kern w:val="28"/>
                      <w:highlight w:val="none"/>
                      <w:lang w:val="en-US" w:eastAsia="zh-CN"/>
                    </w:rPr>
                  </w:pPr>
                  <w:r>
                    <w:rPr>
                      <w:rFonts w:hint="eastAsia" w:ascii="Times New Roman" w:hAnsi="Times New Roman" w:cs="Times New Roman"/>
                      <w:bCs/>
                      <w:color w:val="auto"/>
                      <w:kern w:val="28"/>
                      <w:highlight w:val="none"/>
                      <w:lang w:val="en-US" w:eastAsia="zh-CN"/>
                    </w:rPr>
                    <w:t>化粪池预处理</w:t>
                  </w:r>
                </w:p>
              </w:tc>
              <w:tc>
                <w:tcPr>
                  <w:tcW w:w="703" w:type="dxa"/>
                  <w:tcBorders>
                    <w:right w:val="single" w:color="auto" w:sz="4" w:space="0"/>
                  </w:tcBorders>
                  <w:shd w:val="clear" w:color="auto" w:fill="auto"/>
                  <w:vAlign w:val="center"/>
                </w:tcPr>
                <w:p w14:paraId="7F3EF337">
                  <w:pPr>
                    <w:jc w:val="center"/>
                    <w:rPr>
                      <w:rFonts w:hint="default" w:ascii="Times New Roman" w:hAnsi="Times New Roman" w:cs="Times New Roman"/>
                      <w:bCs/>
                      <w:color w:val="auto"/>
                      <w:highlight w:val="none"/>
                      <w:lang w:val="en-US" w:eastAsia="zh-CN"/>
                    </w:rPr>
                  </w:pPr>
                  <w:r>
                    <w:rPr>
                      <w:rFonts w:hint="eastAsia" w:ascii="Times New Roman" w:hAnsi="Times New Roman" w:cs="Times New Roman"/>
                      <w:bCs/>
                      <w:color w:val="auto"/>
                      <w:highlight w:val="none"/>
                      <w:lang w:val="en-US" w:eastAsia="zh-CN"/>
                    </w:rPr>
                    <w:t>21</w:t>
                  </w:r>
                </w:p>
              </w:tc>
              <w:tc>
                <w:tcPr>
                  <w:tcW w:w="938" w:type="dxa"/>
                  <w:vMerge w:val="restart"/>
                  <w:tcBorders>
                    <w:right w:val="single" w:color="auto" w:sz="4" w:space="0"/>
                  </w:tcBorders>
                  <w:vAlign w:val="center"/>
                </w:tcPr>
                <w:p w14:paraId="16A7CE3F">
                  <w:pPr>
                    <w:jc w:val="center"/>
                    <w:rPr>
                      <w:rFonts w:hint="eastAsia"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是</w:t>
                  </w:r>
                </w:p>
              </w:tc>
              <w:tc>
                <w:tcPr>
                  <w:tcW w:w="734" w:type="dxa"/>
                  <w:vMerge w:val="restart"/>
                  <w:tcBorders>
                    <w:left w:val="single" w:color="auto" w:sz="4" w:space="0"/>
                  </w:tcBorders>
                  <w:vAlign w:val="center"/>
                </w:tcPr>
                <w:p w14:paraId="7B33DB8C">
                  <w:pPr>
                    <w:jc w:val="center"/>
                    <w:rPr>
                      <w:rFonts w:ascii="Times New Roman" w:hAnsi="Times New Roman" w:cs="Times New Roman"/>
                      <w:bCs/>
                      <w:color w:val="auto"/>
                      <w:highlight w:val="none"/>
                    </w:rPr>
                  </w:pPr>
                  <w:r>
                    <w:rPr>
                      <w:rFonts w:ascii="Times New Roman" w:hAnsi="Times New Roman" w:cs="Times New Roman"/>
                      <w:bCs/>
                      <w:color w:val="auto"/>
                      <w:highlight w:val="none"/>
                    </w:rPr>
                    <w:t>物料衡算法</w:t>
                  </w:r>
                </w:p>
              </w:tc>
              <w:tc>
                <w:tcPr>
                  <w:tcW w:w="1000" w:type="dxa"/>
                  <w:vMerge w:val="restart"/>
                  <w:tcBorders>
                    <w:right w:val="single" w:color="auto" w:sz="4" w:space="0"/>
                  </w:tcBorders>
                  <w:vAlign w:val="center"/>
                </w:tcPr>
                <w:p w14:paraId="3FAA7967">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0.64</w:t>
                  </w:r>
                </w:p>
              </w:tc>
              <w:tc>
                <w:tcPr>
                  <w:tcW w:w="844" w:type="dxa"/>
                  <w:tcBorders>
                    <w:left w:val="single" w:color="auto" w:sz="4" w:space="0"/>
                    <w:right w:val="single" w:color="auto" w:sz="4" w:space="0"/>
                  </w:tcBorders>
                  <w:vAlign w:val="center"/>
                </w:tcPr>
                <w:p w14:paraId="128E656E">
                  <w:pPr>
                    <w:widowControl w:val="0"/>
                    <w:adjustRightInd w:val="0"/>
                    <w:snapToGrid w:val="0"/>
                    <w:spacing w:line="240" w:lineRule="auto"/>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eastAsia="宋体" w:cs="Times New Roman"/>
                      <w:b w:val="0"/>
                      <w:bCs w:val="0"/>
                      <w:color w:val="auto"/>
                      <w:highlight w:val="none"/>
                      <w:lang w:val="en-US" w:eastAsia="zh-CN"/>
                    </w:rPr>
                    <w:t>300</w:t>
                  </w:r>
                </w:p>
              </w:tc>
              <w:tc>
                <w:tcPr>
                  <w:tcW w:w="906" w:type="dxa"/>
                  <w:tcBorders>
                    <w:left w:val="single" w:color="auto" w:sz="4" w:space="0"/>
                    <w:right w:val="single" w:color="auto" w:sz="4" w:space="0"/>
                  </w:tcBorders>
                  <w:vAlign w:val="center"/>
                </w:tcPr>
                <w:p w14:paraId="42DA5AA4">
                  <w:pPr>
                    <w:widowControl w:val="0"/>
                    <w:adjustRightInd w:val="0"/>
                    <w:snapToGrid w:val="0"/>
                    <w:spacing w:line="240" w:lineRule="auto"/>
                    <w:jc w:val="center"/>
                    <w:rPr>
                      <w:rFonts w:hint="default" w:ascii="Times New Roman" w:hAnsi="Times New Roman" w:cs="Times New Roman" w:eastAsiaTheme="minorEastAsia"/>
                      <w:bCs/>
                      <w:color w:val="auto"/>
                      <w:kern w:val="28"/>
                      <w:highlight w:val="none"/>
                      <w:lang w:val="en-US" w:eastAsia="zh-CN"/>
                    </w:rPr>
                  </w:pPr>
                  <w:r>
                    <w:rPr>
                      <w:rFonts w:hint="eastAsia" w:ascii="Times New Roman" w:hAnsi="Times New Roman" w:eastAsia="宋体" w:cs="Times New Roman"/>
                      <w:b w:val="0"/>
                      <w:bCs w:val="0"/>
                      <w:color w:val="auto"/>
                      <w:highlight w:val="none"/>
                      <w:lang w:val="en-US" w:eastAsia="zh-CN"/>
                    </w:rPr>
                    <w:t>0.192</w:t>
                  </w:r>
                </w:p>
              </w:tc>
              <w:tc>
                <w:tcPr>
                  <w:tcW w:w="779" w:type="dxa"/>
                  <w:vMerge w:val="restart"/>
                  <w:tcBorders>
                    <w:left w:val="single" w:color="auto" w:sz="4" w:space="0"/>
                    <w:right w:val="single" w:color="auto" w:sz="4" w:space="0"/>
                  </w:tcBorders>
                  <w:vAlign w:val="center"/>
                </w:tcPr>
                <w:p w14:paraId="463692D8">
                  <w:pPr>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Cs/>
                      <w:color w:val="auto"/>
                      <w:highlight w:val="none"/>
                      <w:lang w:val="en-US" w:eastAsia="zh-CN"/>
                    </w:rPr>
                    <w:t>2400</w:t>
                  </w:r>
                </w:p>
              </w:tc>
            </w:tr>
            <w:tr w14:paraId="1C815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8" w:type="dxa"/>
                  <w:vMerge w:val="continue"/>
                  <w:tcBorders>
                    <w:right w:val="single" w:color="auto" w:sz="4" w:space="0"/>
                  </w:tcBorders>
                  <w:vAlign w:val="center"/>
                </w:tcPr>
                <w:p w14:paraId="4F09CE8F">
                  <w:pPr>
                    <w:jc w:val="center"/>
                    <w:rPr>
                      <w:rFonts w:ascii="Times New Roman" w:hAnsi="Times New Roman" w:cs="Times New Roman"/>
                      <w:bCs/>
                      <w:color w:val="FF0000"/>
                      <w:highlight w:val="none"/>
                    </w:rPr>
                  </w:pPr>
                </w:p>
              </w:tc>
              <w:tc>
                <w:tcPr>
                  <w:tcW w:w="797" w:type="dxa"/>
                  <w:vMerge w:val="continue"/>
                  <w:tcBorders>
                    <w:left w:val="single" w:color="auto" w:sz="4" w:space="0"/>
                    <w:right w:val="single" w:color="auto" w:sz="4" w:space="0"/>
                  </w:tcBorders>
                  <w:vAlign w:val="center"/>
                </w:tcPr>
                <w:p w14:paraId="35E974F6">
                  <w:pPr>
                    <w:jc w:val="center"/>
                    <w:rPr>
                      <w:rFonts w:ascii="Times New Roman" w:hAnsi="Times New Roman" w:cs="Times New Roman"/>
                      <w:bCs/>
                      <w:color w:val="FF0000"/>
                      <w:highlight w:val="none"/>
                    </w:rPr>
                  </w:pPr>
                </w:p>
              </w:tc>
              <w:tc>
                <w:tcPr>
                  <w:tcW w:w="1016" w:type="dxa"/>
                  <w:vMerge w:val="continue"/>
                  <w:tcBorders>
                    <w:left w:val="single" w:color="auto" w:sz="4" w:space="0"/>
                    <w:right w:val="single" w:color="auto" w:sz="4" w:space="0"/>
                  </w:tcBorders>
                  <w:vAlign w:val="center"/>
                </w:tcPr>
                <w:p w14:paraId="25E971A7">
                  <w:pPr>
                    <w:jc w:val="center"/>
                    <w:rPr>
                      <w:rFonts w:ascii="Times New Roman" w:hAnsi="Times New Roman" w:cs="Times New Roman"/>
                      <w:bCs/>
                      <w:color w:val="FF0000"/>
                      <w:highlight w:val="none"/>
                    </w:rPr>
                  </w:pPr>
                </w:p>
              </w:tc>
              <w:tc>
                <w:tcPr>
                  <w:tcW w:w="984" w:type="dxa"/>
                  <w:tcBorders>
                    <w:left w:val="single" w:color="auto" w:sz="4" w:space="0"/>
                    <w:right w:val="single" w:color="auto" w:sz="4" w:space="0"/>
                  </w:tcBorders>
                  <w:vAlign w:val="center"/>
                </w:tcPr>
                <w:p w14:paraId="227F7FC5">
                  <w:pPr>
                    <w:widowControl/>
                    <w:tabs>
                      <w:tab w:val="left" w:pos="195"/>
                    </w:tabs>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p>
              </w:tc>
              <w:tc>
                <w:tcPr>
                  <w:tcW w:w="703" w:type="dxa"/>
                  <w:vMerge w:val="continue"/>
                  <w:tcBorders>
                    <w:left w:val="single" w:color="auto" w:sz="4" w:space="0"/>
                    <w:right w:val="single" w:color="auto" w:sz="4" w:space="0"/>
                  </w:tcBorders>
                  <w:vAlign w:val="center"/>
                </w:tcPr>
                <w:p w14:paraId="1AB8B616">
                  <w:pPr>
                    <w:jc w:val="center"/>
                    <w:rPr>
                      <w:rFonts w:ascii="Times New Roman" w:hAnsi="Times New Roman" w:cs="Times New Roman"/>
                      <w:bCs/>
                      <w:color w:val="FF0000"/>
                      <w:highlight w:val="none"/>
                    </w:rPr>
                  </w:pPr>
                </w:p>
              </w:tc>
              <w:tc>
                <w:tcPr>
                  <w:tcW w:w="906" w:type="dxa"/>
                  <w:vMerge w:val="continue"/>
                  <w:tcBorders>
                    <w:left w:val="single" w:color="auto" w:sz="4" w:space="0"/>
                    <w:right w:val="single" w:color="auto" w:sz="4" w:space="0"/>
                  </w:tcBorders>
                  <w:vAlign w:val="center"/>
                </w:tcPr>
                <w:p w14:paraId="69EE432C">
                  <w:pPr>
                    <w:jc w:val="center"/>
                    <w:rPr>
                      <w:rFonts w:ascii="Times New Roman" w:hAnsi="Times New Roman" w:cs="Times New Roman"/>
                      <w:bCs/>
                      <w:color w:val="FF0000"/>
                      <w:highlight w:val="none"/>
                    </w:rPr>
                  </w:pPr>
                </w:p>
              </w:tc>
              <w:tc>
                <w:tcPr>
                  <w:tcW w:w="797" w:type="dxa"/>
                  <w:tcBorders>
                    <w:left w:val="single" w:color="auto" w:sz="4" w:space="0"/>
                  </w:tcBorders>
                  <w:vAlign w:val="center"/>
                </w:tcPr>
                <w:p w14:paraId="0D17C7E8">
                  <w:pPr>
                    <w:widowControl w:val="0"/>
                    <w:adjustRightInd w:val="0"/>
                    <w:snapToGrid w:val="0"/>
                    <w:spacing w:line="240" w:lineRule="auto"/>
                    <w:jc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val="0"/>
                      <w:color w:val="auto"/>
                      <w:highlight w:val="none"/>
                      <w:lang w:val="en-US" w:eastAsia="zh-CN"/>
                    </w:rPr>
                    <w:t>40</w:t>
                  </w:r>
                </w:p>
              </w:tc>
              <w:tc>
                <w:tcPr>
                  <w:tcW w:w="859" w:type="dxa"/>
                  <w:tcBorders>
                    <w:right w:val="single" w:color="auto" w:sz="4" w:space="0"/>
                  </w:tcBorders>
                  <w:vAlign w:val="center"/>
                </w:tcPr>
                <w:p w14:paraId="2C5A18C1">
                  <w:pPr>
                    <w:jc w:val="center"/>
                    <w:rPr>
                      <w:rFonts w:hint="default" w:ascii="Times New Roman" w:hAnsi="Times New Roman" w:cs="Times New Roman" w:eastAsiaTheme="minorEastAsia"/>
                      <w:bCs/>
                      <w:color w:val="auto"/>
                      <w:kern w:val="28"/>
                      <w:highlight w:val="none"/>
                      <w:lang w:val="en-US" w:eastAsia="zh-CN"/>
                    </w:rPr>
                  </w:pPr>
                  <w:r>
                    <w:rPr>
                      <w:rFonts w:hint="eastAsia" w:ascii="Times New Roman" w:hAnsi="Times New Roman" w:cs="Times New Roman"/>
                      <w:bCs/>
                      <w:color w:val="auto"/>
                      <w:kern w:val="28"/>
                      <w:highlight w:val="none"/>
                      <w:lang w:val="en-US" w:eastAsia="zh-CN"/>
                    </w:rPr>
                    <w:t>0.025</w:t>
                  </w:r>
                </w:p>
              </w:tc>
              <w:tc>
                <w:tcPr>
                  <w:tcW w:w="1359" w:type="dxa"/>
                  <w:vMerge w:val="continue"/>
                  <w:tcBorders>
                    <w:left w:val="single" w:color="auto" w:sz="4" w:space="0"/>
                  </w:tcBorders>
                  <w:vAlign w:val="center"/>
                </w:tcPr>
                <w:p w14:paraId="36BF24E7">
                  <w:pPr>
                    <w:jc w:val="center"/>
                    <w:rPr>
                      <w:rFonts w:ascii="Times New Roman" w:hAnsi="Times New Roman" w:cs="Times New Roman"/>
                      <w:bCs/>
                      <w:color w:val="FF0000"/>
                      <w:kern w:val="28"/>
                      <w:highlight w:val="none"/>
                    </w:rPr>
                  </w:pPr>
                </w:p>
              </w:tc>
              <w:tc>
                <w:tcPr>
                  <w:tcW w:w="703" w:type="dxa"/>
                  <w:tcBorders>
                    <w:right w:val="single" w:color="auto" w:sz="4" w:space="0"/>
                  </w:tcBorders>
                  <w:shd w:val="clear" w:color="auto" w:fill="auto"/>
                  <w:vAlign w:val="center"/>
                </w:tcPr>
                <w:p w14:paraId="6C4D896A">
                  <w:pPr>
                    <w:jc w:val="center"/>
                    <w:rPr>
                      <w:rFonts w:hint="default" w:ascii="Times New Roman" w:hAnsi="Times New Roman" w:cs="Times New Roman"/>
                      <w:bCs/>
                      <w:color w:val="auto"/>
                      <w:highlight w:val="none"/>
                      <w:lang w:val="en-US" w:eastAsia="zh-CN"/>
                    </w:rPr>
                  </w:pPr>
                  <w:r>
                    <w:rPr>
                      <w:rFonts w:hint="eastAsia" w:ascii="Times New Roman" w:hAnsi="Times New Roman" w:cs="Times New Roman"/>
                      <w:bCs/>
                      <w:color w:val="auto"/>
                      <w:highlight w:val="none"/>
                      <w:lang w:val="en-US" w:eastAsia="zh-CN"/>
                    </w:rPr>
                    <w:t>25</w:t>
                  </w:r>
                </w:p>
              </w:tc>
              <w:tc>
                <w:tcPr>
                  <w:tcW w:w="938" w:type="dxa"/>
                  <w:vMerge w:val="continue"/>
                  <w:tcBorders>
                    <w:right w:val="single" w:color="auto" w:sz="4" w:space="0"/>
                  </w:tcBorders>
                  <w:vAlign w:val="center"/>
                </w:tcPr>
                <w:p w14:paraId="32529587">
                  <w:pPr>
                    <w:jc w:val="center"/>
                    <w:rPr>
                      <w:rFonts w:ascii="Times New Roman" w:hAnsi="Times New Roman" w:cs="Times New Roman"/>
                      <w:bCs/>
                      <w:color w:val="FF0000"/>
                      <w:highlight w:val="none"/>
                    </w:rPr>
                  </w:pPr>
                </w:p>
              </w:tc>
              <w:tc>
                <w:tcPr>
                  <w:tcW w:w="734" w:type="dxa"/>
                  <w:vMerge w:val="continue"/>
                  <w:tcBorders>
                    <w:left w:val="single" w:color="auto" w:sz="4" w:space="0"/>
                  </w:tcBorders>
                  <w:vAlign w:val="center"/>
                </w:tcPr>
                <w:p w14:paraId="742C5874">
                  <w:pPr>
                    <w:jc w:val="center"/>
                    <w:rPr>
                      <w:rFonts w:ascii="Times New Roman" w:hAnsi="Times New Roman" w:cs="Times New Roman"/>
                      <w:bCs/>
                      <w:color w:val="FF0000"/>
                      <w:highlight w:val="none"/>
                    </w:rPr>
                  </w:pPr>
                </w:p>
              </w:tc>
              <w:tc>
                <w:tcPr>
                  <w:tcW w:w="1000" w:type="dxa"/>
                  <w:vMerge w:val="continue"/>
                  <w:tcBorders>
                    <w:right w:val="single" w:color="auto" w:sz="4" w:space="0"/>
                  </w:tcBorders>
                  <w:vAlign w:val="center"/>
                </w:tcPr>
                <w:p w14:paraId="455D7FFF">
                  <w:pPr>
                    <w:jc w:val="center"/>
                    <w:rPr>
                      <w:rFonts w:ascii="Times New Roman" w:hAnsi="Times New Roman" w:cs="Times New Roman"/>
                      <w:bCs/>
                      <w:color w:val="FF0000"/>
                      <w:highlight w:val="none"/>
                    </w:rPr>
                  </w:pPr>
                </w:p>
              </w:tc>
              <w:tc>
                <w:tcPr>
                  <w:tcW w:w="844" w:type="dxa"/>
                  <w:tcBorders>
                    <w:left w:val="single" w:color="auto" w:sz="4" w:space="0"/>
                    <w:right w:val="single" w:color="auto" w:sz="4" w:space="0"/>
                  </w:tcBorders>
                  <w:vAlign w:val="center"/>
                </w:tcPr>
                <w:p w14:paraId="49BD87AF">
                  <w:pPr>
                    <w:widowControl w:val="0"/>
                    <w:adjustRightInd w:val="0"/>
                    <w:snapToGrid w:val="0"/>
                    <w:spacing w:line="240" w:lineRule="auto"/>
                    <w:jc w:val="center"/>
                    <w:rPr>
                      <w:rFonts w:hint="default" w:ascii="Times New Roman" w:hAnsi="Times New Roman" w:cs="Times New Roman" w:eastAsiaTheme="minorEastAsia"/>
                      <w:bCs/>
                      <w:color w:val="auto"/>
                      <w:highlight w:val="none"/>
                      <w:lang w:val="en-US" w:eastAsia="zh-CN"/>
                    </w:rPr>
                  </w:pPr>
                  <w:r>
                    <w:rPr>
                      <w:rFonts w:hint="eastAsia" w:ascii="Times New Roman" w:hAnsi="Times New Roman" w:eastAsia="宋体" w:cs="Times New Roman"/>
                      <w:b w:val="0"/>
                      <w:bCs w:val="0"/>
                      <w:color w:val="auto"/>
                      <w:highlight w:val="none"/>
                      <w:lang w:val="en-US" w:eastAsia="zh-CN"/>
                    </w:rPr>
                    <w:t>30</w:t>
                  </w:r>
                </w:p>
              </w:tc>
              <w:tc>
                <w:tcPr>
                  <w:tcW w:w="906" w:type="dxa"/>
                  <w:tcBorders>
                    <w:left w:val="single" w:color="auto" w:sz="4" w:space="0"/>
                    <w:right w:val="single" w:color="auto" w:sz="4" w:space="0"/>
                  </w:tcBorders>
                  <w:vAlign w:val="center"/>
                </w:tcPr>
                <w:p w14:paraId="2608E1E0">
                  <w:pPr>
                    <w:widowControl w:val="0"/>
                    <w:adjustRightInd w:val="0"/>
                    <w:snapToGrid w:val="0"/>
                    <w:spacing w:line="240" w:lineRule="auto"/>
                    <w:jc w:val="center"/>
                    <w:rPr>
                      <w:rFonts w:hint="default" w:ascii="Times New Roman" w:hAnsi="Times New Roman" w:cs="Times New Roman" w:eastAsiaTheme="minorEastAsia"/>
                      <w:bCs/>
                      <w:color w:val="auto"/>
                      <w:kern w:val="28"/>
                      <w:highlight w:val="none"/>
                      <w:lang w:val="en-US" w:eastAsia="zh-CN"/>
                    </w:rPr>
                  </w:pPr>
                  <w:r>
                    <w:rPr>
                      <w:rFonts w:hint="eastAsia" w:ascii="Times New Roman" w:hAnsi="Times New Roman" w:eastAsia="宋体" w:cs="Times New Roman"/>
                      <w:b w:val="0"/>
                      <w:bCs w:val="0"/>
                      <w:color w:val="auto"/>
                      <w:highlight w:val="none"/>
                      <w:lang w:val="en-US" w:eastAsia="zh-CN"/>
                    </w:rPr>
                    <w:t>0.019</w:t>
                  </w:r>
                </w:p>
              </w:tc>
              <w:tc>
                <w:tcPr>
                  <w:tcW w:w="779" w:type="dxa"/>
                  <w:vMerge w:val="continue"/>
                  <w:tcBorders>
                    <w:left w:val="single" w:color="auto" w:sz="4" w:space="0"/>
                    <w:right w:val="single" w:color="auto" w:sz="4" w:space="0"/>
                  </w:tcBorders>
                  <w:vAlign w:val="center"/>
                </w:tcPr>
                <w:p w14:paraId="1FCF2C25">
                  <w:pPr>
                    <w:jc w:val="center"/>
                    <w:rPr>
                      <w:rFonts w:ascii="Times New Roman" w:hAnsi="Times New Roman" w:cs="Times New Roman"/>
                      <w:bCs/>
                      <w:color w:val="FF0000"/>
                      <w:highlight w:val="none"/>
                    </w:rPr>
                  </w:pPr>
                </w:p>
              </w:tc>
            </w:tr>
            <w:tr w14:paraId="2271F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8" w:type="dxa"/>
                  <w:vMerge w:val="continue"/>
                  <w:tcBorders>
                    <w:right w:val="single" w:color="auto" w:sz="4" w:space="0"/>
                  </w:tcBorders>
                  <w:vAlign w:val="center"/>
                </w:tcPr>
                <w:p w14:paraId="71BF663A">
                  <w:pPr>
                    <w:jc w:val="center"/>
                    <w:rPr>
                      <w:rFonts w:ascii="Times New Roman" w:hAnsi="Times New Roman" w:cs="Times New Roman"/>
                      <w:bCs/>
                      <w:color w:val="FF0000"/>
                      <w:highlight w:val="none"/>
                    </w:rPr>
                  </w:pPr>
                </w:p>
              </w:tc>
              <w:tc>
                <w:tcPr>
                  <w:tcW w:w="797" w:type="dxa"/>
                  <w:vMerge w:val="continue"/>
                  <w:tcBorders>
                    <w:left w:val="single" w:color="auto" w:sz="4" w:space="0"/>
                    <w:right w:val="single" w:color="auto" w:sz="4" w:space="0"/>
                  </w:tcBorders>
                  <w:vAlign w:val="center"/>
                </w:tcPr>
                <w:p w14:paraId="0878BC76">
                  <w:pPr>
                    <w:jc w:val="center"/>
                    <w:rPr>
                      <w:rFonts w:ascii="Times New Roman" w:hAnsi="Times New Roman" w:cs="Times New Roman"/>
                      <w:bCs/>
                      <w:color w:val="FF0000"/>
                      <w:highlight w:val="none"/>
                    </w:rPr>
                  </w:pPr>
                </w:p>
              </w:tc>
              <w:tc>
                <w:tcPr>
                  <w:tcW w:w="1016" w:type="dxa"/>
                  <w:vMerge w:val="continue"/>
                  <w:tcBorders>
                    <w:left w:val="single" w:color="auto" w:sz="4" w:space="0"/>
                    <w:right w:val="single" w:color="auto" w:sz="4" w:space="0"/>
                  </w:tcBorders>
                  <w:vAlign w:val="center"/>
                </w:tcPr>
                <w:p w14:paraId="7BD33674">
                  <w:pPr>
                    <w:jc w:val="center"/>
                    <w:rPr>
                      <w:rFonts w:ascii="Times New Roman" w:hAnsi="Times New Roman" w:cs="Times New Roman"/>
                      <w:bCs/>
                      <w:color w:val="FF0000"/>
                      <w:highlight w:val="none"/>
                    </w:rPr>
                  </w:pPr>
                </w:p>
              </w:tc>
              <w:tc>
                <w:tcPr>
                  <w:tcW w:w="984" w:type="dxa"/>
                  <w:tcBorders>
                    <w:left w:val="single" w:color="auto" w:sz="4" w:space="0"/>
                    <w:right w:val="single" w:color="auto" w:sz="4" w:space="0"/>
                  </w:tcBorders>
                  <w:vAlign w:val="center"/>
                </w:tcPr>
                <w:p w14:paraId="5E5D1CD0">
                  <w:pPr>
                    <w:widowControl/>
                    <w:tabs>
                      <w:tab w:val="left" w:pos="195"/>
                    </w:tabs>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动植物油</w:t>
                  </w:r>
                </w:p>
              </w:tc>
              <w:tc>
                <w:tcPr>
                  <w:tcW w:w="703" w:type="dxa"/>
                  <w:vMerge w:val="continue"/>
                  <w:tcBorders>
                    <w:left w:val="single" w:color="auto" w:sz="4" w:space="0"/>
                    <w:right w:val="single" w:color="auto" w:sz="4" w:space="0"/>
                  </w:tcBorders>
                  <w:vAlign w:val="center"/>
                </w:tcPr>
                <w:p w14:paraId="363D7A8B">
                  <w:pPr>
                    <w:jc w:val="center"/>
                    <w:rPr>
                      <w:rFonts w:ascii="Times New Roman" w:hAnsi="Times New Roman" w:cs="Times New Roman"/>
                      <w:bCs/>
                      <w:color w:val="FF0000"/>
                      <w:highlight w:val="none"/>
                    </w:rPr>
                  </w:pPr>
                </w:p>
              </w:tc>
              <w:tc>
                <w:tcPr>
                  <w:tcW w:w="906" w:type="dxa"/>
                  <w:vMerge w:val="continue"/>
                  <w:tcBorders>
                    <w:left w:val="single" w:color="auto" w:sz="4" w:space="0"/>
                    <w:right w:val="single" w:color="auto" w:sz="4" w:space="0"/>
                  </w:tcBorders>
                  <w:vAlign w:val="center"/>
                </w:tcPr>
                <w:p w14:paraId="2FEA5FB1">
                  <w:pPr>
                    <w:jc w:val="center"/>
                    <w:rPr>
                      <w:rFonts w:ascii="Times New Roman" w:hAnsi="Times New Roman" w:cs="Times New Roman"/>
                      <w:bCs/>
                      <w:color w:val="FF0000"/>
                      <w:highlight w:val="none"/>
                    </w:rPr>
                  </w:pPr>
                </w:p>
              </w:tc>
              <w:tc>
                <w:tcPr>
                  <w:tcW w:w="797" w:type="dxa"/>
                  <w:tcBorders>
                    <w:left w:val="single" w:color="auto" w:sz="4" w:space="0"/>
                  </w:tcBorders>
                  <w:vAlign w:val="center"/>
                </w:tcPr>
                <w:p w14:paraId="3B3D7239">
                  <w:pPr>
                    <w:widowControl w:val="0"/>
                    <w:adjustRightInd w:val="0"/>
                    <w:snapToGrid w:val="0"/>
                    <w:spacing w:line="240" w:lineRule="auto"/>
                    <w:jc w:val="center"/>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50</w:t>
                  </w:r>
                </w:p>
              </w:tc>
              <w:tc>
                <w:tcPr>
                  <w:tcW w:w="859" w:type="dxa"/>
                  <w:tcBorders>
                    <w:right w:val="single" w:color="auto" w:sz="4" w:space="0"/>
                  </w:tcBorders>
                  <w:vAlign w:val="center"/>
                </w:tcPr>
                <w:p w14:paraId="3355CAF4">
                  <w:pPr>
                    <w:jc w:val="center"/>
                    <w:rPr>
                      <w:rFonts w:hint="default" w:ascii="Times New Roman" w:hAnsi="Times New Roman" w:cs="Times New Roman"/>
                      <w:bCs/>
                      <w:color w:val="auto"/>
                      <w:kern w:val="28"/>
                      <w:highlight w:val="none"/>
                      <w:lang w:val="en-US" w:eastAsia="zh-CN"/>
                    </w:rPr>
                  </w:pPr>
                  <w:r>
                    <w:rPr>
                      <w:rFonts w:hint="eastAsia" w:ascii="Times New Roman" w:hAnsi="Times New Roman" w:cs="Times New Roman"/>
                      <w:bCs/>
                      <w:color w:val="auto"/>
                      <w:kern w:val="28"/>
                      <w:highlight w:val="none"/>
                      <w:lang w:val="en-US" w:eastAsia="zh-CN"/>
                    </w:rPr>
                    <w:t>0.032</w:t>
                  </w:r>
                </w:p>
              </w:tc>
              <w:tc>
                <w:tcPr>
                  <w:tcW w:w="1359" w:type="dxa"/>
                  <w:vMerge w:val="continue"/>
                  <w:tcBorders>
                    <w:left w:val="single" w:color="auto" w:sz="4" w:space="0"/>
                  </w:tcBorders>
                  <w:vAlign w:val="center"/>
                </w:tcPr>
                <w:p w14:paraId="533ADA09">
                  <w:pPr>
                    <w:jc w:val="center"/>
                    <w:rPr>
                      <w:rFonts w:ascii="Times New Roman" w:hAnsi="Times New Roman" w:cs="Times New Roman"/>
                      <w:bCs/>
                      <w:color w:val="FF0000"/>
                      <w:kern w:val="28"/>
                      <w:highlight w:val="none"/>
                    </w:rPr>
                  </w:pPr>
                </w:p>
              </w:tc>
              <w:tc>
                <w:tcPr>
                  <w:tcW w:w="703" w:type="dxa"/>
                  <w:tcBorders>
                    <w:right w:val="single" w:color="auto" w:sz="4" w:space="0"/>
                  </w:tcBorders>
                  <w:shd w:val="clear" w:color="auto" w:fill="auto"/>
                  <w:vAlign w:val="center"/>
                </w:tcPr>
                <w:p w14:paraId="750CA2DE">
                  <w:pPr>
                    <w:jc w:val="center"/>
                    <w:rPr>
                      <w:rFonts w:hint="default" w:ascii="Times New Roman" w:hAnsi="Times New Roman" w:cs="Times New Roman"/>
                      <w:bCs/>
                      <w:color w:val="auto"/>
                      <w:highlight w:val="none"/>
                      <w:lang w:val="en-US" w:eastAsia="zh-CN"/>
                    </w:rPr>
                  </w:pPr>
                  <w:r>
                    <w:rPr>
                      <w:rFonts w:hint="eastAsia" w:ascii="Times New Roman" w:hAnsi="Times New Roman" w:cs="Times New Roman"/>
                      <w:bCs/>
                      <w:color w:val="auto"/>
                      <w:highlight w:val="none"/>
                      <w:lang w:val="en-US" w:eastAsia="zh-CN"/>
                    </w:rPr>
                    <w:t>50</w:t>
                  </w:r>
                </w:p>
              </w:tc>
              <w:tc>
                <w:tcPr>
                  <w:tcW w:w="938" w:type="dxa"/>
                  <w:vMerge w:val="continue"/>
                  <w:tcBorders>
                    <w:right w:val="single" w:color="auto" w:sz="4" w:space="0"/>
                  </w:tcBorders>
                  <w:vAlign w:val="center"/>
                </w:tcPr>
                <w:p w14:paraId="4DA7CCF3">
                  <w:pPr>
                    <w:jc w:val="center"/>
                    <w:rPr>
                      <w:rFonts w:ascii="Times New Roman" w:hAnsi="Times New Roman" w:cs="Times New Roman"/>
                      <w:bCs/>
                      <w:color w:val="FF0000"/>
                      <w:highlight w:val="none"/>
                    </w:rPr>
                  </w:pPr>
                </w:p>
              </w:tc>
              <w:tc>
                <w:tcPr>
                  <w:tcW w:w="734" w:type="dxa"/>
                  <w:vMerge w:val="continue"/>
                  <w:tcBorders>
                    <w:left w:val="single" w:color="auto" w:sz="4" w:space="0"/>
                  </w:tcBorders>
                  <w:vAlign w:val="center"/>
                </w:tcPr>
                <w:p w14:paraId="4D1A2079">
                  <w:pPr>
                    <w:jc w:val="center"/>
                    <w:rPr>
                      <w:rFonts w:ascii="Times New Roman" w:hAnsi="Times New Roman" w:cs="Times New Roman"/>
                      <w:bCs/>
                      <w:color w:val="FF0000"/>
                      <w:highlight w:val="none"/>
                    </w:rPr>
                  </w:pPr>
                </w:p>
              </w:tc>
              <w:tc>
                <w:tcPr>
                  <w:tcW w:w="1000" w:type="dxa"/>
                  <w:vMerge w:val="continue"/>
                  <w:tcBorders>
                    <w:right w:val="single" w:color="auto" w:sz="4" w:space="0"/>
                  </w:tcBorders>
                  <w:vAlign w:val="center"/>
                </w:tcPr>
                <w:p w14:paraId="71954D7C">
                  <w:pPr>
                    <w:jc w:val="center"/>
                    <w:rPr>
                      <w:rFonts w:ascii="Times New Roman" w:hAnsi="Times New Roman" w:cs="Times New Roman"/>
                      <w:bCs/>
                      <w:color w:val="FF0000"/>
                      <w:highlight w:val="none"/>
                    </w:rPr>
                  </w:pPr>
                </w:p>
              </w:tc>
              <w:tc>
                <w:tcPr>
                  <w:tcW w:w="844" w:type="dxa"/>
                  <w:tcBorders>
                    <w:left w:val="single" w:color="auto" w:sz="4" w:space="0"/>
                    <w:right w:val="single" w:color="auto" w:sz="4" w:space="0"/>
                  </w:tcBorders>
                  <w:vAlign w:val="center"/>
                </w:tcPr>
                <w:p w14:paraId="3F508C22">
                  <w:pPr>
                    <w:widowControl w:val="0"/>
                    <w:adjustRightInd w:val="0"/>
                    <w:snapToGrid w:val="0"/>
                    <w:spacing w:line="240" w:lineRule="auto"/>
                    <w:jc w:val="center"/>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25</w:t>
                  </w:r>
                </w:p>
              </w:tc>
              <w:tc>
                <w:tcPr>
                  <w:tcW w:w="906" w:type="dxa"/>
                  <w:tcBorders>
                    <w:left w:val="single" w:color="auto" w:sz="4" w:space="0"/>
                    <w:right w:val="single" w:color="auto" w:sz="4" w:space="0"/>
                  </w:tcBorders>
                  <w:vAlign w:val="center"/>
                </w:tcPr>
                <w:p w14:paraId="3A99701D">
                  <w:pPr>
                    <w:widowControl w:val="0"/>
                    <w:adjustRightInd w:val="0"/>
                    <w:snapToGrid w:val="0"/>
                    <w:spacing w:line="240" w:lineRule="auto"/>
                    <w:jc w:val="center"/>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0.016</w:t>
                  </w:r>
                </w:p>
              </w:tc>
              <w:tc>
                <w:tcPr>
                  <w:tcW w:w="779" w:type="dxa"/>
                  <w:vMerge w:val="continue"/>
                  <w:tcBorders>
                    <w:left w:val="single" w:color="auto" w:sz="4" w:space="0"/>
                    <w:right w:val="single" w:color="auto" w:sz="4" w:space="0"/>
                  </w:tcBorders>
                  <w:vAlign w:val="center"/>
                </w:tcPr>
                <w:p w14:paraId="4FDA183B">
                  <w:pPr>
                    <w:jc w:val="center"/>
                    <w:rPr>
                      <w:rFonts w:ascii="Times New Roman" w:hAnsi="Times New Roman" w:cs="Times New Roman"/>
                      <w:bCs/>
                      <w:color w:val="FF0000"/>
                      <w:highlight w:val="none"/>
                    </w:rPr>
                  </w:pPr>
                </w:p>
              </w:tc>
            </w:tr>
          </w:tbl>
          <w:p w14:paraId="5083FE62">
            <w:pPr>
              <w:keepNext w:val="0"/>
              <w:keepLines w:val="0"/>
              <w:pageBreakBefore w:val="0"/>
              <w:widowControl w:val="0"/>
              <w:kinsoku/>
              <w:wordWrap/>
              <w:overflowPunct/>
              <w:topLinePunct w:val="0"/>
              <w:autoSpaceDE/>
              <w:autoSpaceDN/>
              <w:bidi w:val="0"/>
              <w:adjustRightInd/>
              <w:snapToGrid w:val="0"/>
              <w:spacing w:line="500" w:lineRule="exact"/>
              <w:jc w:val="both"/>
              <w:textAlignment w:val="center"/>
              <w:outlineLvl w:val="9"/>
              <w:rPr>
                <w:rFonts w:ascii="Times New Roman" w:hAnsi="Times New Roman" w:eastAsia="宋体" w:cs="Times New Roman"/>
                <w:color w:val="FF0000"/>
                <w:kern w:val="0"/>
                <w:szCs w:val="21"/>
              </w:rPr>
            </w:pPr>
          </w:p>
        </w:tc>
      </w:tr>
    </w:tbl>
    <w:p w14:paraId="4DDA03BC">
      <w:pPr>
        <w:pStyle w:val="4"/>
        <w:rPr>
          <w:rFonts w:hint="eastAsia"/>
          <w:color w:val="FF000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9071" w:type="dxa"/>
        <w:jc w:val="center"/>
        <w:tblLayout w:type="fixed"/>
        <w:tblCellMar>
          <w:top w:w="0" w:type="dxa"/>
          <w:left w:w="0" w:type="dxa"/>
          <w:bottom w:w="0" w:type="dxa"/>
          <w:right w:w="0" w:type="dxa"/>
        </w:tblCellMar>
      </w:tblPr>
      <w:tblGrid>
        <w:gridCol w:w="9071"/>
      </w:tblGrid>
      <w:tr w14:paraId="5B7671E2">
        <w:tblPrEx>
          <w:tblCellMar>
            <w:top w:w="0" w:type="dxa"/>
            <w:left w:w="0" w:type="dxa"/>
            <w:bottom w:w="0" w:type="dxa"/>
            <w:right w:w="0" w:type="dxa"/>
          </w:tblCellMar>
        </w:tblPrEx>
        <w:trPr>
          <w:trHeight w:val="3940"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3502B17">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4.2.2.4措施可行性及影响分析</w:t>
            </w:r>
          </w:p>
          <w:p w14:paraId="737D1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（1）污水处理达标排放分析</w:t>
            </w:r>
          </w:p>
          <w:p w14:paraId="7B7356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default" w:ascii="Times New Roman" w:hAnsi="Times New Roman" w:eastAsia="宋体" w:cs="Times New Roman"/>
                <w:color w:val="FF0000"/>
                <w:sz w:val="24"/>
                <w:lang w:eastAsia="zh-CN"/>
              </w:rPr>
            </w:pPr>
            <w:r>
              <w:rPr>
                <w:rFonts w:hint="eastAsia" w:ascii="Times New Roman" w:hAnsi="Times New Roman" w:eastAsia="宋体" w:cs="Times New Roman"/>
                <w:color w:val="auto"/>
                <w:sz w:val="24"/>
                <w:szCs w:val="22"/>
                <w:highlight w:val="none"/>
                <w:lang w:val="en-US" w:eastAsia="zh-CN"/>
              </w:rPr>
              <w:t>本项目所在地已接通污水管网，生活污水经隔油池、化粪池预处理后纳管至</w:t>
            </w:r>
            <w:r>
              <w:rPr>
                <w:rFonts w:hint="eastAsia" w:ascii="Times New Roman" w:hAnsi="Times New Roman"/>
                <w:b w:val="0"/>
                <w:bCs w:val="0"/>
                <w:color w:val="auto"/>
                <w:sz w:val="24"/>
                <w:szCs w:val="24"/>
                <w:highlight w:val="none"/>
              </w:rPr>
              <w:t>德清县恒丰污水处理有限公司及湖州碧水源环境科技有限公司</w:t>
            </w:r>
            <w:r>
              <w:rPr>
                <w:rFonts w:hint="eastAsia" w:ascii="Times New Roman" w:hAnsi="Times New Roman" w:eastAsia="宋体" w:cs="Times New Roman"/>
                <w:color w:val="auto"/>
                <w:sz w:val="24"/>
                <w:szCs w:val="22"/>
                <w:highlight w:val="none"/>
                <w:lang w:val="en-US" w:eastAsia="zh-CN"/>
              </w:rPr>
              <w:t>集中处理，生活污水水质简单，可生化性好，经隔油池、化粪池预处理后能够达到纳管标准。</w:t>
            </w:r>
          </w:p>
          <w:p w14:paraId="696E357C">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）接管可行性分析</w:t>
            </w:r>
          </w:p>
          <w:p w14:paraId="6AAE9D09">
            <w:pPr>
              <w:keepNext w:val="0"/>
              <w:keepLines w:val="0"/>
              <w:pageBreakBefore w:val="0"/>
              <w:widowControl w:val="0"/>
              <w:tabs>
                <w:tab w:val="left" w:pos="4847"/>
              </w:tabs>
              <w:kinsoku/>
              <w:wordWrap/>
              <w:overflowPunct/>
              <w:topLinePunct w:val="0"/>
              <w:autoSpaceDE/>
              <w:autoSpaceDN/>
              <w:bidi w:val="0"/>
              <w:adjustRightInd/>
              <w:snapToGrid/>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德清县恒丰污水处理有限公司位于阜溪街道狮山，设计处理能力为5万吨/日，其</w:t>
            </w:r>
          </w:p>
          <w:p w14:paraId="20724889">
            <w:pPr>
              <w:keepNext w:val="0"/>
              <w:keepLines w:val="0"/>
              <w:pageBreakBefore w:val="0"/>
              <w:widowControl w:val="0"/>
              <w:tabs>
                <w:tab w:val="left" w:pos="4847"/>
              </w:tabs>
              <w:kinsoku/>
              <w:wordWrap/>
              <w:overflowPunct/>
              <w:topLinePunct w:val="0"/>
              <w:autoSpaceDE/>
              <w:autoSpaceDN/>
              <w:bidi w:val="0"/>
              <w:adjustRightInd/>
              <w:snapToGrid/>
              <w:spacing w:line="360" w:lineRule="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中一期工程处理能力2万吨/日，二期工程处理能力3万吨/日，全部工程已完工，于2002年2月28日投入运行。设计总规模5万m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/d，目前日处理量约4.5万m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/d，尾水排入余英溪，尚有0.5万m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 的处理余量，污水厂运行基本稳定，其废水可以稳定达标排放。德清县恒丰污水处理有限公司废水进水按照设计要求执行《污水综合排放标准》（GB8978-1996）三级标准。处理后出水中pH、BOD</w:t>
            </w:r>
            <w:r>
              <w:rPr>
                <w:rFonts w:hint="eastAsia" w:ascii="Times New Roman" w:hAnsi="Times New Roman" w:cs="Times New Roman"/>
                <w:color w:val="auto"/>
                <w:sz w:val="24"/>
                <w:szCs w:val="24"/>
                <w:vertAlign w:val="subscript"/>
                <w:lang w:eastAsia="zh-CN"/>
              </w:rPr>
              <w:t>5</w:t>
            </w:r>
            <w:r>
              <w:rPr>
                <w:rFonts w:hint="eastAsia" w:ascii="Times New Roman" w:hAnsi="Times New Roman" w:cs="Times New Roman"/>
                <w:color w:val="auto"/>
                <w:sz w:val="24"/>
                <w:szCs w:val="24"/>
                <w:lang w:eastAsia="zh-CN"/>
              </w:rPr>
              <w:t>、SS、石油类和动植物油类执行GB18918-2002《城镇污水处理厂污染物排放标准》一级A标准，COD</w:t>
            </w:r>
            <w:r>
              <w:rPr>
                <w:rFonts w:hint="eastAsia" w:ascii="Times New Roman" w:hAnsi="Times New Roman" w:cs="Times New Roman"/>
                <w:color w:val="auto"/>
                <w:sz w:val="24"/>
                <w:szCs w:val="24"/>
                <w:vertAlign w:val="subscript"/>
                <w:lang w:eastAsia="zh-CN"/>
              </w:rPr>
              <w:t>Cr</w:t>
            </w:r>
            <w:r>
              <w:rPr>
                <w:rFonts w:hint="eastAsia" w:ascii="Times New Roman" w:hAnsi="Times New Roman" w:cs="Times New Roman"/>
                <w:color w:val="auto"/>
                <w:sz w:val="24"/>
                <w:szCs w:val="24"/>
                <w:lang w:eastAsia="zh-CN"/>
              </w:rPr>
              <w:t>、NH</w:t>
            </w:r>
            <w:r>
              <w:rPr>
                <w:rFonts w:hint="eastAsia" w:ascii="Times New Roman" w:hAnsi="Times New Roman" w:cs="Times New Roman"/>
                <w:color w:val="auto"/>
                <w:sz w:val="24"/>
                <w:szCs w:val="24"/>
                <w:vertAlign w:val="subscript"/>
                <w:lang w:eastAsia="zh-CN"/>
              </w:rPr>
              <w:t>3</w:t>
            </w:r>
            <w:r>
              <w:rPr>
                <w:rFonts w:hint="eastAsia" w:ascii="Times New Roman" w:hAnsi="Times New Roman" w:cs="Times New Roman"/>
                <w:color w:val="auto"/>
                <w:sz w:val="24"/>
                <w:szCs w:val="24"/>
                <w:lang w:eastAsia="zh-CN"/>
              </w:rPr>
              <w:t>-N、TN和TP执行DB33/2169-2018《城镇污水处理厂主要水污染物排放标准》中的现有城镇污水处理厂主要水污染物排放限值。</w:t>
            </w:r>
          </w:p>
          <w:p w14:paraId="755CAA02">
            <w:pPr>
              <w:keepNext w:val="0"/>
              <w:keepLines w:val="0"/>
              <w:pageBreakBefore w:val="0"/>
              <w:widowControl w:val="0"/>
              <w:tabs>
                <w:tab w:val="left" w:pos="4847"/>
              </w:tabs>
              <w:kinsoku/>
              <w:wordWrap/>
              <w:overflowPunct/>
              <w:topLinePunct w:val="0"/>
              <w:autoSpaceDE/>
              <w:autoSpaceDN/>
              <w:bidi w:val="0"/>
              <w:adjustRightInd/>
              <w:snapToGrid/>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湖州碧水源环境科技有限公司设计处理能力为6万m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/d，中水回用规模1.2万m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/d。其中一期工程处理能力3.0万m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/d，中水回用规模0.6万m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/d；二期工程处理能力3.0万m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/d，中水回用规模0.6万m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/d。目前仅完成一期工程建设，即现有设计处理能力3.0万m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/d，目前日平均处理污水量为2.5万m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，剩余约0.5万m</w:t>
            </w:r>
            <w:r>
              <w:rPr>
                <w:rFonts w:hint="eastAsia"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日的处理能力。污水处理采用水解酸化+A2/O工艺，设计出水各项水质指标达到《城镇污水处理厂污染物排放标准》（GB18918-2002）中的一级A标准和《城镇污水处理厂主要水污染物排放标准》（DB33/2169-2018）中表1标准，尾水最终排入阜溪。</w:t>
            </w:r>
          </w:p>
          <w:p w14:paraId="4A3D4C4E">
            <w:pPr>
              <w:keepNext w:val="0"/>
              <w:keepLines w:val="0"/>
              <w:pageBreakBefore w:val="0"/>
              <w:widowControl w:val="0"/>
              <w:tabs>
                <w:tab w:val="left" w:pos="4847"/>
              </w:tabs>
              <w:kinsoku/>
              <w:wordWrap/>
              <w:overflowPunct/>
              <w:topLinePunct w:val="0"/>
              <w:autoSpaceDE/>
              <w:autoSpaceDN/>
              <w:bidi w:val="0"/>
              <w:adjustRightInd/>
              <w:snapToGrid/>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为了解前述两个污水处理厂出水水质状况，本评价摘录自浙江省污染源自动监控信</w:t>
            </w:r>
          </w:p>
          <w:p w14:paraId="65C3AB7F">
            <w:pPr>
              <w:keepNext w:val="0"/>
              <w:keepLines w:val="0"/>
              <w:pageBreakBefore w:val="0"/>
              <w:widowControl w:val="0"/>
              <w:tabs>
                <w:tab w:val="left" w:pos="4847"/>
              </w:tabs>
              <w:kinsoku/>
              <w:wordWrap/>
              <w:overflowPunct/>
              <w:topLinePunct w:val="0"/>
              <w:autoSpaceDE/>
              <w:autoSpaceDN/>
              <w:bidi w:val="0"/>
              <w:adjustRightInd/>
              <w:snapToGrid/>
              <w:spacing w:line="360" w:lineRule="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息管理平台2024年3月14日至3月20日在线监测数据，污水处理厂出口各项指标均能达到《城镇污水处理厂主要水污染物排放标准》（DB33/2169-2018）中表1标准及《城镇污水处理厂污染物排放标准》（GB18918-2002）中的一级标准A标准。具体见下表。</w:t>
            </w:r>
          </w:p>
          <w:p w14:paraId="415B66A2">
            <w:pPr>
              <w:widowControl w:val="0"/>
              <w:spacing w:line="460" w:lineRule="exact"/>
              <w:jc w:val="center"/>
              <w:rPr>
                <w:rFonts w:ascii="Times New Roman" w:hAnsi="Times New Roman" w:eastAsia="宋体" w:cs="Times New Roman"/>
                <w:b/>
                <w:color w:val="auto"/>
                <w:kern w:val="0"/>
                <w:sz w:val="21"/>
                <w:szCs w:val="21"/>
              </w:rPr>
            </w:pPr>
          </w:p>
          <w:p w14:paraId="4E901E3A">
            <w:pPr>
              <w:widowControl w:val="0"/>
              <w:spacing w:line="460" w:lineRule="exact"/>
              <w:jc w:val="center"/>
              <w:rPr>
                <w:rFonts w:ascii="Times New Roman" w:hAnsi="Times New Roman" w:eastAsia="宋体" w:cs="Times New Roman"/>
                <w:b/>
                <w:color w:val="auto"/>
                <w:kern w:val="0"/>
                <w:sz w:val="21"/>
                <w:szCs w:val="21"/>
              </w:rPr>
            </w:pPr>
          </w:p>
          <w:p w14:paraId="28F4D299">
            <w:pPr>
              <w:widowControl w:val="0"/>
              <w:spacing w:line="460" w:lineRule="exact"/>
              <w:jc w:val="center"/>
              <w:rPr>
                <w:rFonts w:ascii="Times New Roman" w:hAnsi="Times New Roman" w:eastAsia="宋体" w:cs="Times New Roman"/>
                <w:b/>
                <w:color w:val="auto"/>
                <w:kern w:val="0"/>
                <w:sz w:val="21"/>
                <w:szCs w:val="21"/>
              </w:rPr>
            </w:pPr>
          </w:p>
          <w:p w14:paraId="3926280A">
            <w:pPr>
              <w:widowControl w:val="0"/>
              <w:spacing w:line="460" w:lineRule="exact"/>
              <w:jc w:val="center"/>
              <w:rPr>
                <w:rFonts w:hint="eastAsia" w:ascii="Times New Roman" w:hAnsi="Times New Roman" w:eastAsia="宋体" w:cs="Times New Roman"/>
                <w:b/>
                <w:color w:val="auto"/>
                <w:kern w:val="0"/>
                <w:sz w:val="21"/>
                <w:szCs w:val="21"/>
                <w:lang w:val="en-US" w:eastAsia="zh-CN"/>
              </w:rPr>
            </w:pPr>
            <w:r>
              <w:rPr>
                <w:rFonts w:ascii="Times New Roman" w:hAnsi="Times New Roman" w:eastAsia="宋体" w:cs="Times New Roman"/>
                <w:b/>
                <w:color w:val="auto"/>
                <w:kern w:val="0"/>
                <w:sz w:val="21"/>
                <w:szCs w:val="21"/>
              </w:rPr>
              <w:t>表</w:t>
            </w:r>
            <w:r>
              <w:rPr>
                <w:rFonts w:hint="eastAsia" w:ascii="Times New Roman" w:hAnsi="Times New Roman" w:eastAsia="宋体" w:cs="Times New Roman"/>
                <w:b/>
                <w:color w:val="auto"/>
                <w:kern w:val="0"/>
                <w:sz w:val="21"/>
                <w:szCs w:val="21"/>
                <w:lang w:val="en-US" w:eastAsia="zh-CN"/>
              </w:rPr>
              <w:t xml:space="preserve">4-11 </w:t>
            </w:r>
            <w:r>
              <w:rPr>
                <w:rFonts w:ascii="Times New Roman" w:hAnsi="Times New Roman" w:eastAsia="宋体" w:cs="Times New Roman"/>
                <w:b/>
                <w:color w:val="auto"/>
                <w:kern w:val="0"/>
                <w:sz w:val="21"/>
                <w:szCs w:val="21"/>
              </w:rPr>
              <w:t xml:space="preserve"> </w:t>
            </w:r>
            <w:r>
              <w:rPr>
                <w:rFonts w:hint="eastAsia" w:ascii="Times New Roman" w:hAnsi="Times New Roman" w:eastAsia="宋体" w:cs="Times New Roman"/>
                <w:b/>
                <w:color w:val="auto"/>
                <w:kern w:val="0"/>
                <w:sz w:val="21"/>
                <w:szCs w:val="21"/>
                <w:lang w:val="en-US" w:eastAsia="zh-CN"/>
              </w:rPr>
              <w:t>污水厂出水水质情况表</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30"/>
              <w:gridCol w:w="1596"/>
              <w:gridCol w:w="1724"/>
              <w:gridCol w:w="1100"/>
              <w:gridCol w:w="1080"/>
              <w:gridCol w:w="1056"/>
            </w:tblGrid>
            <w:tr w14:paraId="0945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2A043445">
                  <w:pPr>
                    <w:jc w:val="center"/>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序号</w:t>
                  </w:r>
                </w:p>
              </w:tc>
              <w:tc>
                <w:tcPr>
                  <w:tcW w:w="1230" w:type="dxa"/>
                  <w:vAlign w:val="center"/>
                </w:tcPr>
                <w:p w14:paraId="655C37E5">
                  <w:pPr>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监测时间</w:t>
                  </w:r>
                </w:p>
              </w:tc>
              <w:tc>
                <w:tcPr>
                  <w:tcW w:w="1596" w:type="dxa"/>
                  <w:vAlign w:val="center"/>
                </w:tcPr>
                <w:p w14:paraId="1185FEF2">
                  <w:pPr>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pH（无量纲）</w:t>
                  </w:r>
                </w:p>
              </w:tc>
              <w:tc>
                <w:tcPr>
                  <w:tcW w:w="1724" w:type="dxa"/>
                  <w:vAlign w:val="center"/>
                </w:tcPr>
                <w:p w14:paraId="338FB09D">
                  <w:pPr>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化学需氧量（mg/L）</w:t>
                  </w:r>
                </w:p>
              </w:tc>
              <w:tc>
                <w:tcPr>
                  <w:tcW w:w="1100" w:type="dxa"/>
                  <w:vAlign w:val="center"/>
                </w:tcPr>
                <w:p w14:paraId="7D41B714">
                  <w:pPr>
                    <w:jc w:val="center"/>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氨氮（mg/L）</w:t>
                  </w:r>
                </w:p>
              </w:tc>
              <w:tc>
                <w:tcPr>
                  <w:tcW w:w="1080" w:type="dxa"/>
                  <w:vAlign w:val="center"/>
                </w:tcPr>
                <w:p w14:paraId="120B660D">
                  <w:pPr>
                    <w:jc w:val="center"/>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总磷（mg/L）</w:t>
                  </w:r>
                </w:p>
              </w:tc>
              <w:tc>
                <w:tcPr>
                  <w:tcW w:w="1056" w:type="dxa"/>
                  <w:vAlign w:val="center"/>
                </w:tcPr>
                <w:p w14:paraId="1D2CC4F2">
                  <w:pPr>
                    <w:jc w:val="center"/>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总氮（mg/L）</w:t>
                  </w:r>
                </w:p>
              </w:tc>
            </w:tr>
            <w:tr w14:paraId="5E3F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7"/>
                  <w:vAlign w:val="center"/>
                </w:tcPr>
                <w:p w14:paraId="5AF75E63">
                  <w:pPr>
                    <w:jc w:val="center"/>
                    <w:rPr>
                      <w:rFonts w:hint="default"/>
                      <w:color w:val="FF0000"/>
                      <w:lang w:val="en-US" w:eastAsia="zh-CN"/>
                    </w:rPr>
                  </w:pPr>
                  <w:r>
                    <w:rPr>
                      <w:rFonts w:hint="eastAsia"/>
                      <w:color w:val="auto"/>
                      <w:lang w:val="en-US" w:eastAsia="zh-CN"/>
                    </w:rPr>
                    <w:t>德清县恒丰污水处理有限公司</w:t>
                  </w:r>
                </w:p>
              </w:tc>
            </w:tr>
            <w:tr w14:paraId="2603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121CD5C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230" w:type="dxa"/>
                  <w:vAlign w:val="center"/>
                </w:tcPr>
                <w:p w14:paraId="4B363242">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2024.3.14</w:t>
                  </w:r>
                </w:p>
              </w:tc>
              <w:tc>
                <w:tcPr>
                  <w:tcW w:w="1596" w:type="dxa"/>
                  <w:vAlign w:val="center"/>
                </w:tcPr>
                <w:p w14:paraId="24C3EFC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6.53</w:t>
                  </w:r>
                </w:p>
              </w:tc>
              <w:tc>
                <w:tcPr>
                  <w:tcW w:w="1724" w:type="dxa"/>
                  <w:vAlign w:val="center"/>
                </w:tcPr>
                <w:p w14:paraId="67E6602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16.11</w:t>
                  </w:r>
                </w:p>
              </w:tc>
              <w:tc>
                <w:tcPr>
                  <w:tcW w:w="1100" w:type="dxa"/>
                  <w:vAlign w:val="center"/>
                </w:tcPr>
                <w:p w14:paraId="46D22B7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0.2628</w:t>
                  </w:r>
                </w:p>
              </w:tc>
              <w:tc>
                <w:tcPr>
                  <w:tcW w:w="1080" w:type="dxa"/>
                  <w:vAlign w:val="center"/>
                </w:tcPr>
                <w:p w14:paraId="068146C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0.0603</w:t>
                  </w:r>
                </w:p>
              </w:tc>
              <w:tc>
                <w:tcPr>
                  <w:tcW w:w="1056" w:type="dxa"/>
                  <w:vAlign w:val="center"/>
                </w:tcPr>
                <w:p w14:paraId="3F2B3711">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6.884</w:t>
                  </w:r>
                </w:p>
              </w:tc>
            </w:tr>
            <w:tr w14:paraId="6893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08C39D5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230" w:type="dxa"/>
                  <w:vAlign w:val="center"/>
                </w:tcPr>
                <w:p w14:paraId="516F7243">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2024.3.15</w:t>
                  </w:r>
                </w:p>
              </w:tc>
              <w:tc>
                <w:tcPr>
                  <w:tcW w:w="1596" w:type="dxa"/>
                  <w:vAlign w:val="center"/>
                </w:tcPr>
                <w:p w14:paraId="0985214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6.59</w:t>
                  </w:r>
                </w:p>
              </w:tc>
              <w:tc>
                <w:tcPr>
                  <w:tcW w:w="1724" w:type="dxa"/>
                  <w:vAlign w:val="center"/>
                </w:tcPr>
                <w:p w14:paraId="7B46502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17.74</w:t>
                  </w:r>
                </w:p>
              </w:tc>
              <w:tc>
                <w:tcPr>
                  <w:tcW w:w="1100" w:type="dxa"/>
                  <w:vAlign w:val="center"/>
                </w:tcPr>
                <w:p w14:paraId="10EC56B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0.3187</w:t>
                  </w:r>
                </w:p>
              </w:tc>
              <w:tc>
                <w:tcPr>
                  <w:tcW w:w="1080" w:type="dxa"/>
                  <w:vAlign w:val="center"/>
                </w:tcPr>
                <w:p w14:paraId="12DAB84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0.0841</w:t>
                  </w:r>
                </w:p>
              </w:tc>
              <w:tc>
                <w:tcPr>
                  <w:tcW w:w="1056" w:type="dxa"/>
                  <w:vAlign w:val="center"/>
                </w:tcPr>
                <w:p w14:paraId="42575622">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7.045</w:t>
                  </w:r>
                </w:p>
              </w:tc>
            </w:tr>
            <w:tr w14:paraId="5C32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58CB8B6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1230" w:type="dxa"/>
                  <w:vAlign w:val="center"/>
                </w:tcPr>
                <w:p w14:paraId="0BAF5675">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2024.3.16</w:t>
                  </w:r>
                </w:p>
              </w:tc>
              <w:tc>
                <w:tcPr>
                  <w:tcW w:w="1596" w:type="dxa"/>
                  <w:vAlign w:val="center"/>
                </w:tcPr>
                <w:p w14:paraId="77F3E11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6.61</w:t>
                  </w:r>
                </w:p>
              </w:tc>
              <w:tc>
                <w:tcPr>
                  <w:tcW w:w="1724" w:type="dxa"/>
                  <w:vAlign w:val="center"/>
                </w:tcPr>
                <w:p w14:paraId="63FCC5A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15.13</w:t>
                  </w:r>
                </w:p>
              </w:tc>
              <w:tc>
                <w:tcPr>
                  <w:tcW w:w="1100" w:type="dxa"/>
                  <w:vAlign w:val="center"/>
                </w:tcPr>
                <w:p w14:paraId="074492B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0.2295</w:t>
                  </w:r>
                </w:p>
              </w:tc>
              <w:tc>
                <w:tcPr>
                  <w:tcW w:w="1080" w:type="dxa"/>
                  <w:vAlign w:val="center"/>
                </w:tcPr>
                <w:p w14:paraId="69CF2A7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0.0006</w:t>
                  </w:r>
                </w:p>
              </w:tc>
              <w:tc>
                <w:tcPr>
                  <w:tcW w:w="1056" w:type="dxa"/>
                  <w:vAlign w:val="center"/>
                </w:tcPr>
                <w:p w14:paraId="16298CED">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7.696</w:t>
                  </w:r>
                </w:p>
              </w:tc>
            </w:tr>
            <w:tr w14:paraId="7E5A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19830ED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1230" w:type="dxa"/>
                  <w:vAlign w:val="center"/>
                </w:tcPr>
                <w:p w14:paraId="61A5B5A7">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2024.3.17</w:t>
                  </w:r>
                </w:p>
              </w:tc>
              <w:tc>
                <w:tcPr>
                  <w:tcW w:w="1596" w:type="dxa"/>
                  <w:vAlign w:val="center"/>
                </w:tcPr>
                <w:p w14:paraId="0654665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6.60</w:t>
                  </w:r>
                </w:p>
              </w:tc>
              <w:tc>
                <w:tcPr>
                  <w:tcW w:w="1724" w:type="dxa"/>
                  <w:vAlign w:val="center"/>
                </w:tcPr>
                <w:p w14:paraId="6EC07E3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15.25</w:t>
                  </w:r>
                </w:p>
              </w:tc>
              <w:tc>
                <w:tcPr>
                  <w:tcW w:w="1100" w:type="dxa"/>
                  <w:vAlign w:val="center"/>
                </w:tcPr>
                <w:p w14:paraId="5A2B408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0.3585</w:t>
                  </w:r>
                </w:p>
              </w:tc>
              <w:tc>
                <w:tcPr>
                  <w:tcW w:w="1080" w:type="dxa"/>
                  <w:vAlign w:val="center"/>
                </w:tcPr>
                <w:p w14:paraId="41816D3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0.0391</w:t>
                  </w:r>
                </w:p>
              </w:tc>
              <w:tc>
                <w:tcPr>
                  <w:tcW w:w="1056" w:type="dxa"/>
                  <w:vAlign w:val="center"/>
                </w:tcPr>
                <w:p w14:paraId="73F947BF">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7.889</w:t>
                  </w:r>
                </w:p>
              </w:tc>
            </w:tr>
            <w:tr w14:paraId="3AD4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005CA5F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c>
                <w:tcPr>
                  <w:tcW w:w="1230" w:type="dxa"/>
                  <w:vAlign w:val="center"/>
                </w:tcPr>
                <w:p w14:paraId="6BA0FBB2">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2024.3.18</w:t>
                  </w:r>
                </w:p>
              </w:tc>
              <w:tc>
                <w:tcPr>
                  <w:tcW w:w="1596" w:type="dxa"/>
                  <w:vAlign w:val="center"/>
                </w:tcPr>
                <w:p w14:paraId="70F684D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6.52</w:t>
                  </w:r>
                </w:p>
              </w:tc>
              <w:tc>
                <w:tcPr>
                  <w:tcW w:w="1724" w:type="dxa"/>
                  <w:vAlign w:val="center"/>
                </w:tcPr>
                <w:p w14:paraId="73A5E76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15.72</w:t>
                  </w:r>
                </w:p>
              </w:tc>
              <w:tc>
                <w:tcPr>
                  <w:tcW w:w="1100" w:type="dxa"/>
                  <w:vAlign w:val="center"/>
                </w:tcPr>
                <w:p w14:paraId="264C100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0.1495</w:t>
                  </w:r>
                </w:p>
              </w:tc>
              <w:tc>
                <w:tcPr>
                  <w:tcW w:w="1080" w:type="dxa"/>
                  <w:vAlign w:val="center"/>
                </w:tcPr>
                <w:p w14:paraId="75B032F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0.0298</w:t>
                  </w:r>
                </w:p>
              </w:tc>
              <w:tc>
                <w:tcPr>
                  <w:tcW w:w="1056" w:type="dxa"/>
                  <w:vAlign w:val="center"/>
                </w:tcPr>
                <w:p w14:paraId="25D7E9FA">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8.03</w:t>
                  </w:r>
                </w:p>
              </w:tc>
            </w:tr>
            <w:tr w14:paraId="6664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6D7F1D4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w:t>
                  </w:r>
                </w:p>
              </w:tc>
              <w:tc>
                <w:tcPr>
                  <w:tcW w:w="1230" w:type="dxa"/>
                  <w:vAlign w:val="center"/>
                </w:tcPr>
                <w:p w14:paraId="556C34EF">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2024.3.19</w:t>
                  </w:r>
                </w:p>
              </w:tc>
              <w:tc>
                <w:tcPr>
                  <w:tcW w:w="1596" w:type="dxa"/>
                  <w:vAlign w:val="center"/>
                </w:tcPr>
                <w:p w14:paraId="3CD2496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6.56</w:t>
                  </w:r>
                </w:p>
              </w:tc>
              <w:tc>
                <w:tcPr>
                  <w:tcW w:w="1724" w:type="dxa"/>
                  <w:vAlign w:val="center"/>
                </w:tcPr>
                <w:p w14:paraId="58EB499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8.18</w:t>
                  </w:r>
                </w:p>
              </w:tc>
              <w:tc>
                <w:tcPr>
                  <w:tcW w:w="1100" w:type="dxa"/>
                  <w:vAlign w:val="center"/>
                </w:tcPr>
                <w:p w14:paraId="419AA13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0.0864</w:t>
                  </w:r>
                </w:p>
              </w:tc>
              <w:tc>
                <w:tcPr>
                  <w:tcW w:w="1080" w:type="dxa"/>
                  <w:vAlign w:val="center"/>
                </w:tcPr>
                <w:p w14:paraId="188EDF1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0.0397</w:t>
                  </w:r>
                </w:p>
              </w:tc>
              <w:tc>
                <w:tcPr>
                  <w:tcW w:w="1056" w:type="dxa"/>
                  <w:vAlign w:val="center"/>
                </w:tcPr>
                <w:p w14:paraId="225A8C11">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7.704</w:t>
                  </w:r>
                </w:p>
              </w:tc>
            </w:tr>
            <w:tr w14:paraId="138F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076A81A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w:t>
                  </w:r>
                </w:p>
              </w:tc>
              <w:tc>
                <w:tcPr>
                  <w:tcW w:w="1230" w:type="dxa"/>
                  <w:vAlign w:val="center"/>
                </w:tcPr>
                <w:p w14:paraId="6739F921">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2024.3.20</w:t>
                  </w:r>
                </w:p>
              </w:tc>
              <w:tc>
                <w:tcPr>
                  <w:tcW w:w="1596" w:type="dxa"/>
                  <w:vAlign w:val="center"/>
                </w:tcPr>
                <w:p w14:paraId="2B9F966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6.57</w:t>
                  </w:r>
                </w:p>
              </w:tc>
              <w:tc>
                <w:tcPr>
                  <w:tcW w:w="1724" w:type="dxa"/>
                  <w:vAlign w:val="center"/>
                </w:tcPr>
                <w:p w14:paraId="6ECCD29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6.97</w:t>
                  </w:r>
                </w:p>
              </w:tc>
              <w:tc>
                <w:tcPr>
                  <w:tcW w:w="1100" w:type="dxa"/>
                  <w:vAlign w:val="center"/>
                </w:tcPr>
                <w:p w14:paraId="137C8D5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0.1357</w:t>
                  </w:r>
                </w:p>
              </w:tc>
              <w:tc>
                <w:tcPr>
                  <w:tcW w:w="1080" w:type="dxa"/>
                  <w:vAlign w:val="center"/>
                </w:tcPr>
                <w:p w14:paraId="20BD7DC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0.0603</w:t>
                  </w:r>
                </w:p>
              </w:tc>
              <w:tc>
                <w:tcPr>
                  <w:tcW w:w="1056" w:type="dxa"/>
                  <w:vAlign w:val="center"/>
                </w:tcPr>
                <w:p w14:paraId="7F35DDF7">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7.453</w:t>
                  </w:r>
                </w:p>
              </w:tc>
            </w:tr>
            <w:tr w14:paraId="0275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7"/>
                  <w:vAlign w:val="center"/>
                </w:tcPr>
                <w:p w14:paraId="33E3F964">
                  <w:pPr>
                    <w:jc w:val="center"/>
                    <w:rPr>
                      <w:rFonts w:hint="default" w:ascii="Times New Roman" w:hAnsi="Times New Roman" w:cs="Times New Roman"/>
                      <w:color w:val="FF0000"/>
                      <w:lang w:val="en-US" w:eastAsia="zh-CN"/>
                    </w:rPr>
                  </w:pPr>
                  <w:r>
                    <w:rPr>
                      <w:rFonts w:hint="eastAsia" w:ascii="Times New Roman" w:hAnsi="Times New Roman" w:cs="Times New Roman"/>
                      <w:color w:val="auto"/>
                      <w:lang w:val="en-US" w:eastAsia="zh-CN"/>
                    </w:rPr>
                    <w:t>湖州碧水源环境科技有限公司</w:t>
                  </w:r>
                </w:p>
              </w:tc>
            </w:tr>
            <w:tr w14:paraId="026E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6602AD3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230" w:type="dxa"/>
                  <w:vAlign w:val="center"/>
                </w:tcPr>
                <w:p w14:paraId="3155CB80">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2024.3.14</w:t>
                  </w:r>
                </w:p>
              </w:tc>
              <w:tc>
                <w:tcPr>
                  <w:tcW w:w="1596" w:type="dxa"/>
                  <w:vAlign w:val="center"/>
                </w:tcPr>
                <w:p w14:paraId="35178D2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6.6</w:t>
                  </w:r>
                </w:p>
              </w:tc>
              <w:tc>
                <w:tcPr>
                  <w:tcW w:w="1724" w:type="dxa"/>
                  <w:vAlign w:val="center"/>
                </w:tcPr>
                <w:p w14:paraId="02FAC22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2.6</w:t>
                  </w:r>
                </w:p>
              </w:tc>
              <w:tc>
                <w:tcPr>
                  <w:tcW w:w="1100" w:type="dxa"/>
                  <w:vAlign w:val="center"/>
                </w:tcPr>
                <w:p w14:paraId="07B8292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0.104</w:t>
                  </w:r>
                </w:p>
              </w:tc>
              <w:tc>
                <w:tcPr>
                  <w:tcW w:w="1080" w:type="dxa"/>
                  <w:vAlign w:val="center"/>
                </w:tcPr>
                <w:p w14:paraId="2193152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0.0154</w:t>
                  </w:r>
                </w:p>
              </w:tc>
              <w:tc>
                <w:tcPr>
                  <w:tcW w:w="1056" w:type="dxa"/>
                  <w:vAlign w:val="center"/>
                </w:tcPr>
                <w:p w14:paraId="4CC30428">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9.517</w:t>
                  </w:r>
                </w:p>
              </w:tc>
            </w:tr>
            <w:tr w14:paraId="2881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12F1349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230" w:type="dxa"/>
                  <w:vAlign w:val="center"/>
                </w:tcPr>
                <w:p w14:paraId="65CE3519">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2024.3.15</w:t>
                  </w:r>
                </w:p>
              </w:tc>
              <w:tc>
                <w:tcPr>
                  <w:tcW w:w="1596" w:type="dxa"/>
                  <w:vAlign w:val="center"/>
                </w:tcPr>
                <w:p w14:paraId="3A53F6C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6.58</w:t>
                  </w:r>
                </w:p>
              </w:tc>
              <w:tc>
                <w:tcPr>
                  <w:tcW w:w="1724" w:type="dxa"/>
                  <w:vAlign w:val="center"/>
                </w:tcPr>
                <w:p w14:paraId="7A39AF7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4.15</w:t>
                  </w:r>
                </w:p>
              </w:tc>
              <w:tc>
                <w:tcPr>
                  <w:tcW w:w="1100" w:type="dxa"/>
                  <w:vAlign w:val="center"/>
                </w:tcPr>
                <w:p w14:paraId="190F6C7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0.1064</w:t>
                  </w:r>
                </w:p>
              </w:tc>
              <w:tc>
                <w:tcPr>
                  <w:tcW w:w="1080" w:type="dxa"/>
                  <w:vAlign w:val="center"/>
                </w:tcPr>
                <w:p w14:paraId="7694D81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0.0057</w:t>
                  </w:r>
                </w:p>
              </w:tc>
              <w:tc>
                <w:tcPr>
                  <w:tcW w:w="1056" w:type="dxa"/>
                  <w:vAlign w:val="center"/>
                </w:tcPr>
                <w:p w14:paraId="1C7A939D">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9.133</w:t>
                  </w:r>
                </w:p>
              </w:tc>
            </w:tr>
            <w:tr w14:paraId="7E9B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039CF52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1230" w:type="dxa"/>
                  <w:vAlign w:val="center"/>
                </w:tcPr>
                <w:p w14:paraId="38CA99F1">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2024.3.16</w:t>
                  </w:r>
                </w:p>
              </w:tc>
              <w:tc>
                <w:tcPr>
                  <w:tcW w:w="1596" w:type="dxa"/>
                  <w:vAlign w:val="center"/>
                </w:tcPr>
                <w:p w14:paraId="7E16CEC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6.48</w:t>
                  </w:r>
                </w:p>
              </w:tc>
              <w:tc>
                <w:tcPr>
                  <w:tcW w:w="1724" w:type="dxa"/>
                  <w:vAlign w:val="center"/>
                </w:tcPr>
                <w:p w14:paraId="404634B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2.81</w:t>
                  </w:r>
                </w:p>
              </w:tc>
              <w:tc>
                <w:tcPr>
                  <w:tcW w:w="1100" w:type="dxa"/>
                  <w:vAlign w:val="center"/>
                </w:tcPr>
                <w:p w14:paraId="336D6D8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0.1089</w:t>
                  </w:r>
                </w:p>
              </w:tc>
              <w:tc>
                <w:tcPr>
                  <w:tcW w:w="1080" w:type="dxa"/>
                  <w:vAlign w:val="center"/>
                </w:tcPr>
                <w:p w14:paraId="0D459B7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0.0059</w:t>
                  </w:r>
                </w:p>
              </w:tc>
              <w:tc>
                <w:tcPr>
                  <w:tcW w:w="1056" w:type="dxa"/>
                  <w:vAlign w:val="center"/>
                </w:tcPr>
                <w:p w14:paraId="3C8865D1">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8.672</w:t>
                  </w:r>
                </w:p>
              </w:tc>
            </w:tr>
            <w:tr w14:paraId="2C68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781830D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1230" w:type="dxa"/>
                  <w:vAlign w:val="center"/>
                </w:tcPr>
                <w:p w14:paraId="48B4C619">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2024.3.17</w:t>
                  </w:r>
                </w:p>
              </w:tc>
              <w:tc>
                <w:tcPr>
                  <w:tcW w:w="1596" w:type="dxa"/>
                  <w:vAlign w:val="center"/>
                </w:tcPr>
                <w:p w14:paraId="64B9826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6.51</w:t>
                  </w:r>
                </w:p>
              </w:tc>
              <w:tc>
                <w:tcPr>
                  <w:tcW w:w="1724" w:type="dxa"/>
                  <w:vAlign w:val="center"/>
                </w:tcPr>
                <w:p w14:paraId="6F807CE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4.25</w:t>
                  </w:r>
                </w:p>
              </w:tc>
              <w:tc>
                <w:tcPr>
                  <w:tcW w:w="1100" w:type="dxa"/>
                  <w:vAlign w:val="center"/>
                </w:tcPr>
                <w:p w14:paraId="66FB49F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0.1236</w:t>
                  </w:r>
                </w:p>
              </w:tc>
              <w:tc>
                <w:tcPr>
                  <w:tcW w:w="1080" w:type="dxa"/>
                  <w:vAlign w:val="center"/>
                </w:tcPr>
                <w:p w14:paraId="61F2074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0.0989</w:t>
                  </w:r>
                </w:p>
              </w:tc>
              <w:tc>
                <w:tcPr>
                  <w:tcW w:w="1056" w:type="dxa"/>
                  <w:vAlign w:val="center"/>
                </w:tcPr>
                <w:p w14:paraId="366D2D67">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6.544</w:t>
                  </w:r>
                </w:p>
              </w:tc>
            </w:tr>
            <w:tr w14:paraId="3766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5B3B230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c>
                <w:tcPr>
                  <w:tcW w:w="1230" w:type="dxa"/>
                  <w:vAlign w:val="center"/>
                </w:tcPr>
                <w:p w14:paraId="1C8350A0">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2024.3.18</w:t>
                  </w:r>
                </w:p>
              </w:tc>
              <w:tc>
                <w:tcPr>
                  <w:tcW w:w="1596" w:type="dxa"/>
                  <w:vAlign w:val="center"/>
                </w:tcPr>
                <w:p w14:paraId="773637E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6.53</w:t>
                  </w:r>
                </w:p>
              </w:tc>
              <w:tc>
                <w:tcPr>
                  <w:tcW w:w="1724" w:type="dxa"/>
                  <w:vAlign w:val="center"/>
                </w:tcPr>
                <w:p w14:paraId="3860BB9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7.03</w:t>
                  </w:r>
                </w:p>
              </w:tc>
              <w:tc>
                <w:tcPr>
                  <w:tcW w:w="1100" w:type="dxa"/>
                  <w:vAlign w:val="center"/>
                </w:tcPr>
                <w:p w14:paraId="7DB9EEB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0.1195</w:t>
                  </w:r>
                </w:p>
              </w:tc>
              <w:tc>
                <w:tcPr>
                  <w:tcW w:w="1080" w:type="dxa"/>
                  <w:vAlign w:val="center"/>
                </w:tcPr>
                <w:p w14:paraId="47F37CF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0.064</w:t>
                  </w:r>
                </w:p>
              </w:tc>
              <w:tc>
                <w:tcPr>
                  <w:tcW w:w="1056" w:type="dxa"/>
                  <w:vAlign w:val="center"/>
                </w:tcPr>
                <w:p w14:paraId="581E96B8">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6.684</w:t>
                  </w:r>
                </w:p>
              </w:tc>
            </w:tr>
            <w:tr w14:paraId="6F62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63622E0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w:t>
                  </w:r>
                </w:p>
              </w:tc>
              <w:tc>
                <w:tcPr>
                  <w:tcW w:w="1230" w:type="dxa"/>
                  <w:vAlign w:val="center"/>
                </w:tcPr>
                <w:p w14:paraId="3CB6082C">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2024.3.19</w:t>
                  </w:r>
                </w:p>
              </w:tc>
              <w:tc>
                <w:tcPr>
                  <w:tcW w:w="1596" w:type="dxa"/>
                  <w:vAlign w:val="center"/>
                </w:tcPr>
                <w:p w14:paraId="5CE7495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6.51</w:t>
                  </w:r>
                </w:p>
              </w:tc>
              <w:tc>
                <w:tcPr>
                  <w:tcW w:w="1724" w:type="dxa"/>
                  <w:vAlign w:val="center"/>
                </w:tcPr>
                <w:p w14:paraId="4FAE28F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7.23</w:t>
                  </w:r>
                </w:p>
              </w:tc>
              <w:tc>
                <w:tcPr>
                  <w:tcW w:w="1100" w:type="dxa"/>
                  <w:vAlign w:val="center"/>
                </w:tcPr>
                <w:p w14:paraId="77273E5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0.1258</w:t>
                  </w:r>
                </w:p>
              </w:tc>
              <w:tc>
                <w:tcPr>
                  <w:tcW w:w="1080" w:type="dxa"/>
                  <w:vAlign w:val="center"/>
                </w:tcPr>
                <w:p w14:paraId="61CD8C9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0.0575</w:t>
                  </w:r>
                </w:p>
              </w:tc>
              <w:tc>
                <w:tcPr>
                  <w:tcW w:w="1056" w:type="dxa"/>
                  <w:vAlign w:val="center"/>
                </w:tcPr>
                <w:p w14:paraId="0885757E">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5.525</w:t>
                  </w:r>
                </w:p>
              </w:tc>
            </w:tr>
            <w:tr w14:paraId="0587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dxa"/>
                  <w:vAlign w:val="center"/>
                </w:tcPr>
                <w:p w14:paraId="0280803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w:t>
                  </w:r>
                </w:p>
              </w:tc>
              <w:tc>
                <w:tcPr>
                  <w:tcW w:w="1230" w:type="dxa"/>
                  <w:vAlign w:val="center"/>
                </w:tcPr>
                <w:p w14:paraId="390CCEEA">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2024.3.20</w:t>
                  </w:r>
                </w:p>
              </w:tc>
              <w:tc>
                <w:tcPr>
                  <w:tcW w:w="1596" w:type="dxa"/>
                  <w:vAlign w:val="center"/>
                </w:tcPr>
                <w:p w14:paraId="7A2F54D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6.55</w:t>
                  </w:r>
                </w:p>
              </w:tc>
              <w:tc>
                <w:tcPr>
                  <w:tcW w:w="1724" w:type="dxa"/>
                  <w:vAlign w:val="center"/>
                </w:tcPr>
                <w:p w14:paraId="13D15DD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5.85</w:t>
                  </w:r>
                </w:p>
              </w:tc>
              <w:tc>
                <w:tcPr>
                  <w:tcW w:w="1100" w:type="dxa"/>
                  <w:vAlign w:val="center"/>
                </w:tcPr>
                <w:p w14:paraId="0CCC0D4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0.139</w:t>
                  </w:r>
                </w:p>
              </w:tc>
              <w:tc>
                <w:tcPr>
                  <w:tcW w:w="1080" w:type="dxa"/>
                  <w:vAlign w:val="center"/>
                </w:tcPr>
                <w:p w14:paraId="5F9648F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0.0657</w:t>
                  </w:r>
                </w:p>
              </w:tc>
              <w:tc>
                <w:tcPr>
                  <w:tcW w:w="1056" w:type="dxa"/>
                  <w:vAlign w:val="center"/>
                </w:tcPr>
                <w:p w14:paraId="72819A45">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5.505</w:t>
                  </w:r>
                </w:p>
              </w:tc>
            </w:tr>
            <w:tr w14:paraId="4C0E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8" w:type="dxa"/>
                  <w:gridSpan w:val="2"/>
                  <w:vAlign w:val="center"/>
                </w:tcPr>
                <w:p w14:paraId="168AAAD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标准值</w:t>
                  </w:r>
                </w:p>
              </w:tc>
              <w:tc>
                <w:tcPr>
                  <w:tcW w:w="1596" w:type="dxa"/>
                  <w:vAlign w:val="center"/>
                </w:tcPr>
                <w:p w14:paraId="74CCEE5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6-9</w:t>
                  </w:r>
                </w:p>
              </w:tc>
              <w:tc>
                <w:tcPr>
                  <w:tcW w:w="1724" w:type="dxa"/>
                  <w:vAlign w:val="center"/>
                </w:tcPr>
                <w:p w14:paraId="1F692E5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40</w:t>
                  </w:r>
                </w:p>
              </w:tc>
              <w:tc>
                <w:tcPr>
                  <w:tcW w:w="1100" w:type="dxa"/>
                  <w:vAlign w:val="center"/>
                </w:tcPr>
                <w:p w14:paraId="55103F7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2（4）</w:t>
                  </w:r>
                </w:p>
              </w:tc>
              <w:tc>
                <w:tcPr>
                  <w:tcW w:w="1080" w:type="dxa"/>
                  <w:vAlign w:val="center"/>
                </w:tcPr>
                <w:p w14:paraId="0BE5A8E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0.3</w:t>
                  </w:r>
                </w:p>
              </w:tc>
              <w:tc>
                <w:tcPr>
                  <w:tcW w:w="1056" w:type="dxa"/>
                  <w:vAlign w:val="center"/>
                </w:tcPr>
                <w:p w14:paraId="374D7668">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12（15）</w:t>
                  </w:r>
                </w:p>
              </w:tc>
            </w:tr>
            <w:tr w14:paraId="5EC7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8" w:type="dxa"/>
                  <w:gridSpan w:val="2"/>
                  <w:vAlign w:val="center"/>
                </w:tcPr>
                <w:p w14:paraId="5B3EA5B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是否达标</w:t>
                  </w:r>
                </w:p>
              </w:tc>
              <w:tc>
                <w:tcPr>
                  <w:tcW w:w="1596" w:type="dxa"/>
                  <w:vAlign w:val="center"/>
                </w:tcPr>
                <w:p w14:paraId="28ECDC7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c>
                <w:tcPr>
                  <w:tcW w:w="1724" w:type="dxa"/>
                  <w:vAlign w:val="center"/>
                </w:tcPr>
                <w:p w14:paraId="6964A46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c>
                <w:tcPr>
                  <w:tcW w:w="1100" w:type="dxa"/>
                  <w:vAlign w:val="center"/>
                </w:tcPr>
                <w:p w14:paraId="323E38BD">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达标</w:t>
                  </w:r>
                </w:p>
              </w:tc>
              <w:tc>
                <w:tcPr>
                  <w:tcW w:w="1080" w:type="dxa"/>
                  <w:vAlign w:val="center"/>
                </w:tcPr>
                <w:p w14:paraId="34BF2F5E">
                  <w:pPr>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达标</w:t>
                  </w:r>
                </w:p>
              </w:tc>
              <w:tc>
                <w:tcPr>
                  <w:tcW w:w="1056" w:type="dxa"/>
                  <w:vAlign w:val="center"/>
                </w:tcPr>
                <w:p w14:paraId="1C135EC5">
                  <w:pPr>
                    <w:jc w:val="center"/>
                    <w:rPr>
                      <w:rFonts w:hint="eastAsia" w:ascii="Times New Roman" w:hAnsi="Times New Roman" w:cs="Times New Roman"/>
                      <w:color w:val="FF0000"/>
                      <w:lang w:val="en-US" w:eastAsia="zh-CN"/>
                    </w:rPr>
                  </w:pPr>
                  <w:r>
                    <w:rPr>
                      <w:rFonts w:hint="eastAsia" w:ascii="Times New Roman" w:hAnsi="Times New Roman" w:eastAsia="宋体" w:cs="Times New Roman"/>
                      <w:color w:val="auto"/>
                      <w:szCs w:val="21"/>
                      <w:lang w:val="en-US" w:eastAsia="zh-CN"/>
                    </w:rPr>
                    <w:t>达标</w:t>
                  </w:r>
                </w:p>
              </w:tc>
            </w:tr>
            <w:tr w14:paraId="248D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7"/>
                  <w:vAlign w:val="center"/>
                </w:tcPr>
                <w:p w14:paraId="3729D568">
                  <w:pPr>
                    <w:jc w:val="both"/>
                    <w:rPr>
                      <w:rFonts w:hint="default" w:ascii="Times New Roman" w:hAnsi="Times New Roman" w:cs="Times New Roman"/>
                      <w:color w:val="FF0000"/>
                      <w:lang w:val="en-US" w:eastAsia="zh-CN"/>
                    </w:rPr>
                  </w:pPr>
                  <w:r>
                    <w:rPr>
                      <w:rFonts w:hint="eastAsia" w:ascii="Times New Roman" w:hAnsi="Times New Roman" w:cs="Times New Roman"/>
                      <w:color w:val="auto"/>
                      <w:lang w:val="en-US" w:eastAsia="zh-CN"/>
                    </w:rPr>
                    <w:t>注：括号内数值为每年11月1日至次年3月31日执行</w:t>
                  </w:r>
                </w:p>
              </w:tc>
            </w:tr>
          </w:tbl>
          <w:p w14:paraId="2D9B9526">
            <w:pPr>
              <w:keepNext w:val="0"/>
              <w:keepLines w:val="0"/>
              <w:pageBreakBefore w:val="0"/>
              <w:widowControl w:val="0"/>
              <w:tabs>
                <w:tab w:val="left" w:pos="4847"/>
              </w:tabs>
              <w:kinsoku/>
              <w:wordWrap/>
              <w:overflowPunct/>
              <w:topLinePunct w:val="0"/>
              <w:autoSpaceDE/>
              <w:autoSpaceDN/>
              <w:bidi w:val="0"/>
              <w:adjustRightInd/>
              <w:snapToGrid/>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根据上述监测数据可知，德清县恒丰污水处理有限公司和湖州碧水源环境科技有限</w:t>
            </w:r>
          </w:p>
          <w:p w14:paraId="0AD07193">
            <w:pPr>
              <w:keepNext w:val="0"/>
              <w:keepLines w:val="0"/>
              <w:pageBreakBefore w:val="0"/>
              <w:widowControl w:val="0"/>
              <w:tabs>
                <w:tab w:val="left" w:pos="4847"/>
              </w:tabs>
              <w:kinsoku/>
              <w:wordWrap/>
              <w:overflowPunct/>
              <w:topLinePunct w:val="0"/>
              <w:autoSpaceDE/>
              <w:autoSpaceDN/>
              <w:bidi w:val="0"/>
              <w:adjustRightInd/>
              <w:snapToGrid/>
              <w:spacing w:line="360" w:lineRule="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公司尾水排放的各项水质指标均能够稳定达到《城镇污水处理厂污染物排放标准》（GB18918-2002）中的一级 A 标准，CODCr、氨氮、总氮、总磷排放能够稳定达到《城</w:t>
            </w:r>
          </w:p>
          <w:p w14:paraId="1F944C37">
            <w:pPr>
              <w:keepNext w:val="0"/>
              <w:keepLines w:val="0"/>
              <w:pageBreakBefore w:val="0"/>
              <w:widowControl w:val="0"/>
              <w:tabs>
                <w:tab w:val="left" w:pos="4847"/>
              </w:tabs>
              <w:kinsoku/>
              <w:wordWrap/>
              <w:overflowPunct/>
              <w:topLinePunct w:val="0"/>
              <w:autoSpaceDE/>
              <w:autoSpaceDN/>
              <w:bidi w:val="0"/>
              <w:adjustRightInd/>
              <w:snapToGrid/>
              <w:spacing w:line="360" w:lineRule="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镇污水处理厂主要水污染物排放标准》（DB33/2169-2018）表1中排放限值。</w:t>
            </w:r>
          </w:p>
          <w:p w14:paraId="3045C0C2">
            <w:pPr>
              <w:keepNext w:val="0"/>
              <w:keepLines w:val="0"/>
              <w:pageBreakBefore w:val="0"/>
              <w:widowControl w:val="0"/>
              <w:tabs>
                <w:tab w:val="left" w:pos="4847"/>
              </w:tabs>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color w:val="FF0000"/>
                <w:sz w:val="24"/>
                <w:szCs w:val="24"/>
                <w:lang w:val="en-US" w:eastAsia="zh-CN"/>
              </w:rPr>
            </w:pPr>
            <w:r>
              <w:rPr>
                <w:rFonts w:hint="eastAsia" w:ascii="Times New Roman" w:hAnsi="Times New Roman" w:cs="Times New Roman"/>
                <w:color w:val="auto"/>
                <w:sz w:val="24"/>
                <w:szCs w:val="24"/>
                <w:lang w:eastAsia="zh-CN"/>
              </w:rPr>
              <w:t>德清县恒丰污水处理有限公司工程处理规模为5万t/d，现状日处理约4.5万吨/日，剩余0.5万吨/日的处理能力。湖州碧水源环境科技有限公司工程处理规模为3万t/d，现状日处理约2.5万吨/日，剩余0.5万吨/日的处理能力。本项目建成后纳管量为</w:t>
            </w:r>
            <w:r>
              <w:rPr>
                <w:rFonts w:hint="eastAsia" w:ascii="Times New Roman" w:hAnsi="Times New Roman" w:cs="Times New Roman"/>
                <w:color w:val="auto"/>
                <w:sz w:val="24"/>
                <w:szCs w:val="24"/>
                <w:lang w:val="en-US" w:eastAsia="zh-CN"/>
              </w:rPr>
              <w:t>5.12</w:t>
            </w:r>
            <w:r>
              <w:rPr>
                <w:rFonts w:hint="eastAsia" w:ascii="Times New Roman" w:hAnsi="Times New Roman" w:cs="Times New Roman"/>
                <w:color w:val="auto"/>
                <w:sz w:val="24"/>
                <w:szCs w:val="24"/>
                <w:lang w:eastAsia="zh-CN"/>
              </w:rPr>
              <w:t>t/d，占余量的</w:t>
            </w:r>
            <w:r>
              <w:rPr>
                <w:rFonts w:hint="eastAsia" w:ascii="Times New Roman" w:hAnsi="Times New Roman" w:cs="Times New Roman"/>
                <w:color w:val="auto"/>
                <w:sz w:val="24"/>
                <w:szCs w:val="24"/>
                <w:lang w:val="en-US" w:eastAsia="zh-CN"/>
              </w:rPr>
              <w:t>0.05</w:t>
            </w:r>
            <w:r>
              <w:rPr>
                <w:rFonts w:hint="eastAsia" w:ascii="Times New Roman" w:hAnsi="Times New Roman" w:cs="Times New Roman"/>
                <w:color w:val="auto"/>
                <w:sz w:val="24"/>
                <w:szCs w:val="24"/>
                <w:lang w:eastAsia="zh-CN"/>
              </w:rPr>
              <w:t>%。因此项目废水可纳管至德清县恒丰污水处理有限公司及湖州碧水源环境科技有限公司。</w:t>
            </w:r>
          </w:p>
          <w:p w14:paraId="39FCCF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lang w:val="en-US" w:eastAsia="zh-CN"/>
              </w:rPr>
            </w:pPr>
            <w:r>
              <w:rPr>
                <w:rFonts w:hint="eastAsia" w:ascii="Times New Roman" w:hAnsi="Times New Roman" w:eastAsia="宋体" w:cs="Times New Roman"/>
                <w:b/>
                <w:color w:val="auto"/>
                <w:sz w:val="24"/>
                <w:szCs w:val="22"/>
                <w:lang w:val="en-US" w:eastAsia="zh-CN"/>
              </w:rPr>
              <w:t>4.2.3</w:t>
            </w:r>
            <w:r>
              <w:rPr>
                <w:rFonts w:ascii="Times New Roman" w:hAnsi="Times New Roman" w:eastAsia="宋体" w:cs="Times New Roman"/>
                <w:b/>
                <w:color w:val="auto"/>
                <w:sz w:val="24"/>
                <w:szCs w:val="24"/>
              </w:rPr>
              <w:t>噪声</w:t>
            </w:r>
            <w:r>
              <w:rPr>
                <w:rFonts w:hint="eastAsia" w:ascii="Times New Roman" w:hAnsi="Times New Roman" w:eastAsia="宋体" w:cs="Times New Roman"/>
                <w:b/>
                <w:color w:val="auto"/>
                <w:sz w:val="24"/>
                <w:szCs w:val="24"/>
              </w:rPr>
              <w:t>环境影响及保护措施</w:t>
            </w:r>
          </w:p>
          <w:p w14:paraId="7B79B47C">
            <w:pPr>
              <w:spacing w:line="360" w:lineRule="auto"/>
              <w:textAlignment w:val="center"/>
              <w:rPr>
                <w:rFonts w:ascii="Times New Roman" w:hAnsi="Times New Roman" w:eastAsia="宋体" w:cs="Times New Roman"/>
                <w:b/>
                <w:bCs/>
                <w:color w:val="auto"/>
                <w:sz w:val="24"/>
                <w:szCs w:val="24"/>
              </w:rPr>
            </w:pPr>
            <w:r>
              <w:rPr>
                <w:rFonts w:hint="eastAsia" w:ascii="Times New Roman" w:hAnsi="Times New Roman" w:cs="Times New Roman"/>
                <w:b/>
                <w:bCs/>
                <w:color w:val="auto"/>
                <w:sz w:val="24"/>
                <w:szCs w:val="20"/>
              </w:rPr>
              <w:t>4.2.3.1</w:t>
            </w:r>
            <w:r>
              <w:rPr>
                <w:rFonts w:hint="eastAsia" w:ascii="Times New Roman" w:hAnsi="Times New Roman" w:eastAsia="宋体" w:cs="Times New Roman"/>
                <w:b/>
                <w:bCs/>
                <w:color w:val="auto"/>
                <w:sz w:val="24"/>
                <w:szCs w:val="24"/>
              </w:rPr>
              <w:t>预测模型</w:t>
            </w:r>
          </w:p>
          <w:p w14:paraId="090FC596">
            <w:pPr>
              <w:spacing w:line="360" w:lineRule="auto"/>
              <w:ind w:firstLine="480" w:firstLineChars="200"/>
              <w:textAlignment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根据项目建设内容及《环境影响评价技术导则</w:t>
            </w: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声环境》（HJ2.4-2021）的要求，</w:t>
            </w:r>
          </w:p>
          <w:p w14:paraId="0E97AAB1">
            <w:pPr>
              <w:spacing w:line="360" w:lineRule="auto"/>
              <w:ind w:firstLine="480" w:firstLineChars="200"/>
              <w:textAlignment w:val="center"/>
              <w:rPr>
                <w:rFonts w:ascii="Times New Roman" w:hAnsi="Times New Roman" w:cs="Times New Roman"/>
                <w:color w:val="auto"/>
                <w:sz w:val="24"/>
                <w:szCs w:val="24"/>
              </w:rPr>
            </w:pPr>
            <w:r>
              <w:rPr>
                <w:rFonts w:ascii="Times New Roman" w:hAnsi="Times New Roman" w:cs="Times New Roman"/>
                <w:color w:val="auto"/>
                <w:sz w:val="24"/>
                <w:szCs w:val="24"/>
              </w:rPr>
              <w:t>本环评釆用</w:t>
            </w:r>
            <w:r>
              <w:rPr>
                <w:rFonts w:hint="eastAsia" w:ascii="Times New Roman" w:hAnsi="Times New Roman" w:cs="Times New Roman"/>
                <w:color w:val="auto"/>
                <w:sz w:val="24"/>
                <w:szCs w:val="24"/>
              </w:rPr>
              <w:t>EIAproN2021</w:t>
            </w:r>
            <w:r>
              <w:rPr>
                <w:rFonts w:ascii="Times New Roman" w:hAnsi="Times New Roman" w:cs="Times New Roman"/>
                <w:color w:val="auto"/>
                <w:sz w:val="24"/>
                <w:szCs w:val="24"/>
              </w:rPr>
              <w:t>环境噪声预测评价模拟软件系统</w:t>
            </w:r>
            <w:r>
              <w:rPr>
                <w:rFonts w:ascii="Times New Roman" w:hAnsi="Times New Roman" w:cs="Times New Roman"/>
                <w:color w:val="auto"/>
                <w:sz w:val="24"/>
                <w:szCs w:val="24"/>
                <w:lang w:bidi="en-US"/>
              </w:rPr>
              <w:t>。该软件</w:t>
            </w:r>
            <w:r>
              <w:rPr>
                <w:rFonts w:ascii="Times New Roman" w:hAnsi="Times New Roman" w:cs="Times New Roman"/>
                <w:color w:val="auto"/>
                <w:sz w:val="24"/>
                <w:szCs w:val="24"/>
              </w:rPr>
              <w:t>计算工业噪声时采用的模型为《环境影响评价技术导则 声环境</w:t>
            </w:r>
            <w:r>
              <w:rPr>
                <w:rFonts w:ascii="Times New Roman" w:hAnsi="Times New Roman" w:cs="Times New Roman"/>
                <w:color w:val="auto"/>
                <w:sz w:val="24"/>
                <w:szCs w:val="24"/>
                <w:lang w:bidi="en-US"/>
              </w:rPr>
              <w:t>》</w:t>
            </w:r>
            <w:r>
              <w:rPr>
                <w:rFonts w:hint="eastAsia" w:ascii="Times New Roman" w:hAnsi="Times New Roman" w:cs="Times New Roman"/>
                <w:color w:val="auto"/>
                <w:sz w:val="24"/>
                <w:szCs w:val="24"/>
                <w:lang w:bidi="en-US"/>
              </w:rPr>
              <w:t>（</w:t>
            </w:r>
            <w:r>
              <w:rPr>
                <w:rFonts w:ascii="Times New Roman" w:hAnsi="Times New Roman" w:cs="Times New Roman"/>
                <w:color w:val="auto"/>
                <w:sz w:val="24"/>
                <w:szCs w:val="24"/>
                <w:lang w:bidi="en-US"/>
              </w:rPr>
              <w:t>HJ2.4</w:t>
            </w:r>
            <w:r>
              <w:rPr>
                <w:rFonts w:hint="eastAsia" w:ascii="Times New Roman" w:hAnsi="Times New Roman" w:cs="Times New Roman"/>
                <w:color w:val="auto"/>
                <w:sz w:val="24"/>
                <w:szCs w:val="24"/>
                <w:lang w:bidi="en-US"/>
              </w:rPr>
              <w:t>-</w:t>
            </w:r>
            <w:r>
              <w:rPr>
                <w:rFonts w:ascii="Times New Roman" w:hAnsi="Times New Roman" w:cs="Times New Roman"/>
                <w:color w:val="auto"/>
                <w:sz w:val="24"/>
                <w:szCs w:val="24"/>
                <w:lang w:bidi="en-US"/>
              </w:rPr>
              <w:t>2021</w:t>
            </w:r>
            <w:r>
              <w:rPr>
                <w:rFonts w:hint="eastAsia" w:ascii="Times New Roman" w:hAnsi="Times New Roman" w:cs="Times New Roman"/>
                <w:color w:val="auto"/>
                <w:sz w:val="24"/>
                <w:szCs w:val="24"/>
                <w:lang w:bidi="en-US"/>
              </w:rPr>
              <w:t>）</w:t>
            </w:r>
            <w:r>
              <w:rPr>
                <w:rFonts w:ascii="Times New Roman" w:hAnsi="Times New Roman" w:cs="Times New Roman"/>
                <w:color w:val="auto"/>
                <w:sz w:val="24"/>
                <w:szCs w:val="24"/>
              </w:rPr>
              <w:t>附录B（规范性附录）中“B.1工业噪声预测计算模型”。</w:t>
            </w:r>
          </w:p>
          <w:p w14:paraId="53D38E10">
            <w:pPr>
              <w:spacing w:line="360" w:lineRule="auto"/>
              <w:textAlignment w:val="center"/>
              <w:rPr>
                <w:rFonts w:ascii="Times New Roman" w:hAnsi="Times New Roman" w:eastAsia="宋体" w:cs="Times New Roman"/>
                <w:b/>
                <w:bCs/>
                <w:color w:val="auto"/>
                <w:sz w:val="24"/>
                <w:szCs w:val="24"/>
              </w:rPr>
            </w:pPr>
            <w:r>
              <w:rPr>
                <w:rFonts w:hint="eastAsia" w:ascii="Times New Roman" w:hAnsi="Times New Roman" w:cs="Times New Roman"/>
                <w:b/>
                <w:bCs/>
                <w:color w:val="auto"/>
                <w:sz w:val="24"/>
                <w:szCs w:val="20"/>
              </w:rPr>
              <w:t>4.2.3.2预测参数</w:t>
            </w:r>
          </w:p>
          <w:p w14:paraId="2E12A27F">
            <w:pPr>
              <w:spacing w:line="360" w:lineRule="auto"/>
              <w:ind w:firstLine="480" w:firstLineChars="200"/>
              <w:textAlignment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（1）噪声源强</w:t>
            </w:r>
          </w:p>
          <w:p w14:paraId="3BA04C22">
            <w:pPr>
              <w:spacing w:line="360" w:lineRule="auto"/>
              <w:ind w:firstLine="480" w:firstLineChars="200"/>
              <w:textAlignment w:val="center"/>
              <w:rPr>
                <w:rFonts w:ascii="Times New Roman" w:hAnsi="Times New Roman" w:cs="Times New Roman"/>
                <w:b/>
                <w:bCs/>
                <w:color w:val="FF0000"/>
                <w:szCs w:val="21"/>
              </w:rPr>
            </w:pPr>
            <w:r>
              <w:rPr>
                <w:rFonts w:ascii="Times New Roman" w:hAnsi="Times New Roman" w:eastAsia="宋体" w:cs="Times New Roman"/>
                <w:color w:val="auto"/>
                <w:sz w:val="24"/>
                <w:szCs w:val="24"/>
              </w:rPr>
              <w:t>项目主要噪声源为</w:t>
            </w:r>
            <w:r>
              <w:rPr>
                <w:rFonts w:hint="eastAsia" w:ascii="Times New Roman" w:hAnsi="Times New Roman" w:eastAsia="宋体" w:cs="Times New Roman"/>
                <w:color w:val="auto"/>
                <w:sz w:val="24"/>
                <w:szCs w:val="24"/>
                <w:lang w:val="en-US" w:eastAsia="zh-CN"/>
              </w:rPr>
              <w:t>车间内设备和车间外风机运行</w:t>
            </w:r>
            <w:r>
              <w:rPr>
                <w:rFonts w:ascii="Times New Roman" w:hAnsi="Times New Roman" w:eastAsia="宋体" w:cs="Times New Roman"/>
                <w:color w:val="auto"/>
                <w:sz w:val="24"/>
                <w:szCs w:val="24"/>
              </w:rPr>
              <w:t>产生的噪声，</w:t>
            </w:r>
            <w:r>
              <w:rPr>
                <w:rFonts w:hint="eastAsia" w:ascii="Times New Roman" w:hAnsi="Times New Roman" w:eastAsia="宋体" w:cs="Times New Roman"/>
                <w:color w:val="auto"/>
                <w:sz w:val="24"/>
                <w:szCs w:val="24"/>
              </w:rPr>
              <w:t>其</w:t>
            </w:r>
            <w:r>
              <w:rPr>
                <w:rFonts w:hint="eastAsia" w:ascii="Times New Roman" w:hAnsi="Times New Roman" w:eastAsia="宋体" w:cs="Times New Roman"/>
                <w:color w:val="auto"/>
                <w:sz w:val="24"/>
                <w:szCs w:val="24"/>
                <w:lang w:val="en-US" w:eastAsia="zh-CN"/>
              </w:rPr>
              <w:t>单个设备的</w:t>
            </w:r>
            <w:r>
              <w:rPr>
                <w:rFonts w:hint="eastAsia" w:ascii="Times New Roman" w:hAnsi="Times New Roman" w:eastAsia="宋体" w:cs="Times New Roman"/>
                <w:color w:val="auto"/>
                <w:sz w:val="24"/>
                <w:szCs w:val="24"/>
              </w:rPr>
              <w:t>声源源强类比同类型项目，</w:t>
            </w:r>
            <w:r>
              <w:rPr>
                <w:rFonts w:ascii="Times New Roman" w:hAnsi="Times New Roman" w:eastAsia="宋体" w:cs="Times New Roman"/>
                <w:color w:val="auto"/>
                <w:sz w:val="24"/>
                <w:szCs w:val="24"/>
              </w:rPr>
              <w:t>具体见表</w:t>
            </w:r>
            <w:r>
              <w:rPr>
                <w:rFonts w:hint="eastAsia" w:ascii="Times New Roman" w:hAnsi="Times New Roman" w:eastAsia="宋体" w:cs="Times New Roman"/>
                <w:color w:val="auto"/>
                <w:sz w:val="24"/>
                <w:szCs w:val="24"/>
              </w:rPr>
              <w:t>4-1</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val="en-US" w:eastAsia="zh-CN"/>
              </w:rPr>
              <w:t>13</w:t>
            </w:r>
            <w:r>
              <w:rPr>
                <w:rFonts w:hint="eastAsia" w:ascii="Times New Roman" w:hAnsi="Times New Roman" w:eastAsia="宋体" w:cs="Times New Roman"/>
                <w:color w:val="auto"/>
                <w:sz w:val="24"/>
                <w:szCs w:val="24"/>
              </w:rPr>
              <w:t>。</w:t>
            </w:r>
          </w:p>
          <w:p w14:paraId="15C9C5EA">
            <w:pPr>
              <w:pStyle w:val="7"/>
              <w:ind w:firstLine="0"/>
              <w:jc w:val="center"/>
              <w:textAlignment w:val="center"/>
              <w:rPr>
                <w:rFonts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rPr>
              <w:t>4-1</w:t>
            </w:r>
            <w:r>
              <w:rPr>
                <w:rFonts w:hint="eastAsia" w:ascii="Times New Roman" w:hAnsi="Times New Roman" w:cs="Times New Roman"/>
                <w:b/>
                <w:bCs/>
                <w:color w:val="auto"/>
                <w:szCs w:val="21"/>
                <w:lang w:val="en-US" w:eastAsia="zh-CN"/>
              </w:rPr>
              <w:t>2</w:t>
            </w:r>
            <w:r>
              <w:rPr>
                <w:rFonts w:ascii="Times New Roman" w:hAnsi="Times New Roman" w:cs="Times New Roman"/>
                <w:b/>
                <w:bCs/>
                <w:color w:val="auto"/>
                <w:szCs w:val="21"/>
              </w:rPr>
              <w:t xml:space="preserve">  本项目营运期设备设施噪声源源强</w:t>
            </w:r>
            <w:r>
              <w:rPr>
                <w:rFonts w:hint="eastAsia" w:ascii="Times New Roman" w:hAnsi="Times New Roman" w:cs="Times New Roman"/>
                <w:b/>
                <w:bCs/>
                <w:color w:val="auto"/>
                <w:szCs w:val="21"/>
              </w:rPr>
              <w:t>（室外声源）</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294"/>
              <w:gridCol w:w="664"/>
              <w:gridCol w:w="729"/>
              <w:gridCol w:w="800"/>
              <w:gridCol w:w="763"/>
              <w:gridCol w:w="1275"/>
              <w:gridCol w:w="1000"/>
              <w:gridCol w:w="1388"/>
            </w:tblGrid>
            <w:tr w14:paraId="4F6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dxa"/>
                  <w:vMerge w:val="restart"/>
                  <w:vAlign w:val="center"/>
                </w:tcPr>
                <w:p w14:paraId="089CC5A3">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序号</w:t>
                  </w:r>
                </w:p>
              </w:tc>
              <w:tc>
                <w:tcPr>
                  <w:tcW w:w="1294" w:type="dxa"/>
                  <w:vMerge w:val="restart"/>
                  <w:vAlign w:val="center"/>
                </w:tcPr>
                <w:p w14:paraId="234B1CA6">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声源名称</w:t>
                  </w:r>
                </w:p>
              </w:tc>
              <w:tc>
                <w:tcPr>
                  <w:tcW w:w="664" w:type="dxa"/>
                  <w:vMerge w:val="restart"/>
                  <w:vAlign w:val="center"/>
                </w:tcPr>
                <w:p w14:paraId="39199E88">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型号</w:t>
                  </w:r>
                </w:p>
              </w:tc>
              <w:tc>
                <w:tcPr>
                  <w:tcW w:w="2292" w:type="dxa"/>
                  <w:gridSpan w:val="3"/>
                  <w:vAlign w:val="center"/>
                </w:tcPr>
                <w:p w14:paraId="59621187">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空间相对位置/m</w:t>
                  </w:r>
                </w:p>
              </w:tc>
              <w:tc>
                <w:tcPr>
                  <w:tcW w:w="1275" w:type="dxa"/>
                  <w:vAlign w:val="center"/>
                </w:tcPr>
                <w:p w14:paraId="74ACA9E7">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声源源强</w:t>
                  </w:r>
                </w:p>
              </w:tc>
              <w:tc>
                <w:tcPr>
                  <w:tcW w:w="1000" w:type="dxa"/>
                  <w:vMerge w:val="restart"/>
                  <w:vAlign w:val="center"/>
                </w:tcPr>
                <w:p w14:paraId="46C34916">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声源控制措施</w:t>
                  </w:r>
                </w:p>
              </w:tc>
              <w:tc>
                <w:tcPr>
                  <w:tcW w:w="1388" w:type="dxa"/>
                  <w:vMerge w:val="restart"/>
                  <w:vAlign w:val="center"/>
                </w:tcPr>
                <w:p w14:paraId="49F8F388">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运行时段</w:t>
                  </w:r>
                </w:p>
              </w:tc>
            </w:tr>
            <w:tr w14:paraId="6476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dxa"/>
                  <w:vMerge w:val="continue"/>
                  <w:vAlign w:val="center"/>
                </w:tcPr>
                <w:p w14:paraId="5C0DCF26">
                  <w:pPr>
                    <w:jc w:val="center"/>
                    <w:rPr>
                      <w:rFonts w:ascii="Times New Roman" w:hAnsi="Times New Roman" w:eastAsia="宋体" w:cs="Times New Roman"/>
                      <w:b/>
                      <w:bCs/>
                      <w:color w:val="auto"/>
                      <w:szCs w:val="21"/>
                    </w:rPr>
                  </w:pPr>
                </w:p>
              </w:tc>
              <w:tc>
                <w:tcPr>
                  <w:tcW w:w="1294" w:type="dxa"/>
                  <w:vMerge w:val="continue"/>
                  <w:vAlign w:val="center"/>
                </w:tcPr>
                <w:p w14:paraId="5CDD4393">
                  <w:pPr>
                    <w:jc w:val="center"/>
                    <w:rPr>
                      <w:rFonts w:ascii="Times New Roman" w:hAnsi="Times New Roman" w:eastAsia="宋体" w:cs="Times New Roman"/>
                      <w:b/>
                      <w:bCs/>
                      <w:color w:val="auto"/>
                      <w:szCs w:val="21"/>
                    </w:rPr>
                  </w:pPr>
                </w:p>
              </w:tc>
              <w:tc>
                <w:tcPr>
                  <w:tcW w:w="664" w:type="dxa"/>
                  <w:vMerge w:val="continue"/>
                  <w:vAlign w:val="center"/>
                </w:tcPr>
                <w:p w14:paraId="5C87DBA8">
                  <w:pPr>
                    <w:jc w:val="center"/>
                    <w:rPr>
                      <w:rFonts w:ascii="Times New Roman" w:hAnsi="Times New Roman" w:eastAsia="宋体" w:cs="Times New Roman"/>
                      <w:b/>
                      <w:bCs/>
                      <w:color w:val="auto"/>
                      <w:szCs w:val="21"/>
                    </w:rPr>
                  </w:pPr>
                </w:p>
              </w:tc>
              <w:tc>
                <w:tcPr>
                  <w:tcW w:w="729" w:type="dxa"/>
                  <w:vAlign w:val="center"/>
                </w:tcPr>
                <w:p w14:paraId="722C4E25">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X</w:t>
                  </w:r>
                </w:p>
              </w:tc>
              <w:tc>
                <w:tcPr>
                  <w:tcW w:w="800" w:type="dxa"/>
                  <w:vAlign w:val="center"/>
                </w:tcPr>
                <w:p w14:paraId="3CDAFCFB">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Y</w:t>
                  </w:r>
                </w:p>
              </w:tc>
              <w:tc>
                <w:tcPr>
                  <w:tcW w:w="763" w:type="dxa"/>
                  <w:vAlign w:val="center"/>
                </w:tcPr>
                <w:p w14:paraId="3BD0D4AB">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Z</w:t>
                  </w:r>
                </w:p>
              </w:tc>
              <w:tc>
                <w:tcPr>
                  <w:tcW w:w="1275" w:type="dxa"/>
                  <w:vAlign w:val="center"/>
                </w:tcPr>
                <w:p w14:paraId="12D1F1AE">
                  <w:pPr>
                    <w:jc w:val="center"/>
                    <w:rPr>
                      <w:rFonts w:ascii="Times New Roman" w:hAnsi="Times New Roman" w:eastAsia="宋体" w:cs="Times New Roman"/>
                      <w:bCs/>
                      <w:color w:val="auto"/>
                      <w:szCs w:val="21"/>
                    </w:rPr>
                  </w:pPr>
                  <w:r>
                    <w:rPr>
                      <w:rFonts w:hint="default" w:ascii="Times New Roman" w:hAnsi="Times New Roman" w:eastAsia="宋体" w:cs="Times New Roman"/>
                      <w:color w:val="auto"/>
                      <w:sz w:val="21"/>
                      <w:szCs w:val="21"/>
                    </w:rPr>
                    <w:t>声</w:t>
                  </w:r>
                  <w:r>
                    <w:rPr>
                      <w:rFonts w:hint="eastAsia" w:ascii="Times New Roman" w:hAnsi="Times New Roman" w:eastAsia="宋体" w:cs="Times New Roman"/>
                      <w:color w:val="auto"/>
                      <w:sz w:val="21"/>
                      <w:szCs w:val="21"/>
                      <w:lang w:val="en-US" w:eastAsia="zh-CN"/>
                    </w:rPr>
                    <w:t>压</w:t>
                  </w:r>
                  <w:r>
                    <w:rPr>
                      <w:rFonts w:hint="default" w:ascii="Times New Roman" w:hAnsi="Times New Roman" w:eastAsia="宋体" w:cs="Times New Roman"/>
                      <w:color w:val="auto"/>
                      <w:sz w:val="21"/>
                      <w:szCs w:val="21"/>
                    </w:rPr>
                    <w:t>级/dB(A)</w:t>
                  </w:r>
                </w:p>
              </w:tc>
              <w:tc>
                <w:tcPr>
                  <w:tcW w:w="1000" w:type="dxa"/>
                  <w:vMerge w:val="continue"/>
                  <w:vAlign w:val="center"/>
                </w:tcPr>
                <w:p w14:paraId="5EC303FC">
                  <w:pPr>
                    <w:jc w:val="center"/>
                    <w:rPr>
                      <w:rFonts w:ascii="Times New Roman" w:hAnsi="Times New Roman" w:eastAsia="宋体" w:cs="Times New Roman"/>
                      <w:b/>
                      <w:bCs/>
                      <w:color w:val="auto"/>
                      <w:szCs w:val="21"/>
                    </w:rPr>
                  </w:pPr>
                </w:p>
              </w:tc>
              <w:tc>
                <w:tcPr>
                  <w:tcW w:w="1388" w:type="dxa"/>
                  <w:vMerge w:val="continue"/>
                  <w:vAlign w:val="center"/>
                </w:tcPr>
                <w:p w14:paraId="3D918728">
                  <w:pPr>
                    <w:jc w:val="center"/>
                    <w:rPr>
                      <w:rFonts w:ascii="Times New Roman" w:hAnsi="Times New Roman" w:eastAsia="宋体" w:cs="Times New Roman"/>
                      <w:b/>
                      <w:bCs/>
                      <w:color w:val="auto"/>
                      <w:szCs w:val="21"/>
                    </w:rPr>
                  </w:pPr>
                </w:p>
              </w:tc>
            </w:tr>
            <w:tr w14:paraId="05C3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dxa"/>
                  <w:vAlign w:val="center"/>
                </w:tcPr>
                <w:p w14:paraId="283FD0EF">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294" w:type="dxa"/>
                  <w:vAlign w:val="center"/>
                </w:tcPr>
                <w:p w14:paraId="583BDC39">
                  <w:pPr>
                    <w:rPr>
                      <w:rFonts w:hint="default" w:ascii="Times New Roman" w:hAnsi="Times New Roman" w:eastAsia="宋体" w:cs="Times New Roman"/>
                      <w:color w:val="FF0000"/>
                      <w:szCs w:val="21"/>
                      <w:lang w:val="en-US" w:eastAsia="zh-CN"/>
                    </w:rPr>
                  </w:pPr>
                  <w:r>
                    <w:rPr>
                      <w:rFonts w:ascii="Arial" w:hAnsi="Arial" w:eastAsia="Arial" w:cs="Arial"/>
                      <w:sz w:val="20"/>
                    </w:rPr>
                    <w:t>焊锡、清洗废气处理设施风机</w:t>
                  </w:r>
                </w:p>
              </w:tc>
              <w:tc>
                <w:tcPr>
                  <w:tcW w:w="664" w:type="dxa"/>
                  <w:vAlign w:val="center"/>
                </w:tcPr>
                <w:p w14:paraId="3D677E5F">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729" w:type="dxa"/>
                  <w:vAlign w:val="center"/>
                </w:tcPr>
                <w:p w14:paraId="1F1A707E">
                  <w:pPr>
                    <w:jc w:val="center"/>
                    <w:rPr>
                      <w:rFonts w:hint="default" w:ascii="Times New Roman" w:hAnsi="Times New Roman" w:eastAsia="宋体" w:cs="Times New Roman"/>
                      <w:color w:val="FF0000"/>
                      <w:szCs w:val="21"/>
                      <w:lang w:val="en-US" w:eastAsia="zh-CN"/>
                    </w:rPr>
                  </w:pPr>
                  <w:r>
                    <w:rPr>
                      <w:rFonts w:hint="default" w:ascii="Times New Roman" w:hAnsi="Times New Roman" w:eastAsia="Arial" w:cs="Times New Roman"/>
                      <w:sz w:val="20"/>
                    </w:rPr>
                    <w:t>23.1</w:t>
                  </w:r>
                </w:p>
              </w:tc>
              <w:tc>
                <w:tcPr>
                  <w:tcW w:w="800" w:type="dxa"/>
                  <w:vAlign w:val="center"/>
                </w:tcPr>
                <w:p w14:paraId="7844C3EA">
                  <w:pPr>
                    <w:jc w:val="center"/>
                    <w:rPr>
                      <w:rFonts w:hint="default" w:ascii="Times New Roman" w:hAnsi="Times New Roman" w:eastAsia="宋体" w:cs="Times New Roman"/>
                      <w:color w:val="FF0000"/>
                      <w:szCs w:val="21"/>
                      <w:lang w:val="en-US" w:eastAsia="zh-CN"/>
                    </w:rPr>
                  </w:pPr>
                  <w:r>
                    <w:rPr>
                      <w:rFonts w:hint="default" w:ascii="Times New Roman" w:hAnsi="Times New Roman" w:eastAsia="Arial" w:cs="Times New Roman"/>
                      <w:sz w:val="20"/>
                    </w:rPr>
                    <w:t>29.7</w:t>
                  </w:r>
                </w:p>
              </w:tc>
              <w:tc>
                <w:tcPr>
                  <w:tcW w:w="763" w:type="dxa"/>
                  <w:vAlign w:val="center"/>
                </w:tcPr>
                <w:p w14:paraId="2CCDDD24">
                  <w:pPr>
                    <w:jc w:val="center"/>
                    <w:rPr>
                      <w:rFonts w:hint="default" w:ascii="Times New Roman" w:hAnsi="Times New Roman" w:eastAsia="宋体" w:cs="Times New Roman"/>
                      <w:color w:val="FF0000"/>
                      <w:szCs w:val="21"/>
                      <w:lang w:val="en-US" w:eastAsia="zh-CN"/>
                    </w:rPr>
                  </w:pPr>
                  <w:r>
                    <w:rPr>
                      <w:rFonts w:hint="default" w:ascii="Times New Roman" w:hAnsi="Times New Roman" w:eastAsia="Arial" w:cs="Times New Roman"/>
                      <w:sz w:val="20"/>
                    </w:rPr>
                    <w:t>25</w:t>
                  </w:r>
                </w:p>
              </w:tc>
              <w:tc>
                <w:tcPr>
                  <w:tcW w:w="1275" w:type="dxa"/>
                  <w:vAlign w:val="center"/>
                </w:tcPr>
                <w:p w14:paraId="5159172F">
                  <w:pPr>
                    <w:jc w:val="center"/>
                    <w:rPr>
                      <w:rFonts w:hint="default"/>
                      <w:color w:val="auto"/>
                      <w:lang w:val="en-US" w:eastAsia="zh-CN"/>
                    </w:rPr>
                  </w:pPr>
                  <w:r>
                    <w:rPr>
                      <w:rFonts w:hint="eastAsia" w:ascii="Times New Roman" w:hAnsi="Times New Roman" w:cs="Times New Roman"/>
                      <w:color w:val="auto"/>
                      <w:lang w:val="en-US" w:eastAsia="zh-CN"/>
                    </w:rPr>
                    <w:t>85</w:t>
                  </w:r>
                </w:p>
              </w:tc>
              <w:tc>
                <w:tcPr>
                  <w:tcW w:w="1000" w:type="dxa"/>
                  <w:vMerge w:val="restart"/>
                  <w:vAlign w:val="center"/>
                </w:tcPr>
                <w:p w14:paraId="1F02CF72">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 w:val="21"/>
                      <w:szCs w:val="21"/>
                      <w:lang w:val="en-US" w:eastAsia="zh-CN"/>
                    </w:rPr>
                    <w:t>减振、隔声罩等</w:t>
                  </w:r>
                </w:p>
              </w:tc>
              <w:tc>
                <w:tcPr>
                  <w:tcW w:w="1388" w:type="dxa"/>
                  <w:vMerge w:val="restart"/>
                  <w:vAlign w:val="center"/>
                </w:tcPr>
                <w:p w14:paraId="5D1A8DB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昼间</w:t>
                  </w:r>
                </w:p>
              </w:tc>
            </w:tr>
            <w:tr w14:paraId="4DA6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dxa"/>
                  <w:vAlign w:val="center"/>
                </w:tcPr>
                <w:p w14:paraId="1D2D1434">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294" w:type="dxa"/>
                  <w:vAlign w:val="center"/>
                </w:tcPr>
                <w:p w14:paraId="0D9B9DF3">
                  <w:pPr>
                    <w:rPr>
                      <w:rFonts w:hint="default" w:ascii="Times New Roman" w:hAnsi="Times New Roman" w:eastAsia="宋体" w:cs="Times New Roman"/>
                      <w:color w:val="FF0000"/>
                      <w:szCs w:val="21"/>
                      <w:lang w:val="en-US" w:eastAsia="zh-CN"/>
                    </w:rPr>
                  </w:pPr>
                  <w:r>
                    <w:rPr>
                      <w:rFonts w:ascii="Arial" w:hAnsi="Arial" w:eastAsia="Arial" w:cs="Arial"/>
                      <w:sz w:val="20"/>
                    </w:rPr>
                    <w:t>塑封废气处理设施风机</w:t>
                  </w:r>
                </w:p>
              </w:tc>
              <w:tc>
                <w:tcPr>
                  <w:tcW w:w="664" w:type="dxa"/>
                  <w:vAlign w:val="center"/>
                </w:tcPr>
                <w:p w14:paraId="3734C812">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729" w:type="dxa"/>
                  <w:vAlign w:val="center"/>
                </w:tcPr>
                <w:p w14:paraId="0E83C48D">
                  <w:pPr>
                    <w:jc w:val="center"/>
                    <w:rPr>
                      <w:rFonts w:hint="default" w:ascii="Times New Roman" w:hAnsi="Times New Roman" w:eastAsia="宋体" w:cs="Times New Roman"/>
                      <w:color w:val="FF0000"/>
                      <w:szCs w:val="21"/>
                      <w:lang w:val="en-US" w:eastAsia="zh-CN"/>
                    </w:rPr>
                  </w:pPr>
                  <w:r>
                    <w:rPr>
                      <w:rFonts w:hint="default" w:ascii="Times New Roman" w:hAnsi="Times New Roman" w:eastAsia="Arial" w:cs="Times New Roman"/>
                      <w:sz w:val="20"/>
                    </w:rPr>
                    <w:t>-16.3</w:t>
                  </w:r>
                </w:p>
              </w:tc>
              <w:tc>
                <w:tcPr>
                  <w:tcW w:w="800" w:type="dxa"/>
                  <w:vAlign w:val="center"/>
                </w:tcPr>
                <w:p w14:paraId="2C976D26">
                  <w:pPr>
                    <w:jc w:val="center"/>
                    <w:rPr>
                      <w:rFonts w:hint="default" w:ascii="Times New Roman" w:hAnsi="Times New Roman" w:eastAsia="宋体" w:cs="Times New Roman"/>
                      <w:color w:val="FF0000"/>
                      <w:szCs w:val="21"/>
                      <w:lang w:val="en-US" w:eastAsia="zh-CN"/>
                    </w:rPr>
                  </w:pPr>
                  <w:r>
                    <w:rPr>
                      <w:rFonts w:hint="default" w:ascii="Times New Roman" w:hAnsi="Times New Roman" w:eastAsia="Arial" w:cs="Times New Roman"/>
                      <w:sz w:val="20"/>
                    </w:rPr>
                    <w:t>14.7</w:t>
                  </w:r>
                </w:p>
              </w:tc>
              <w:tc>
                <w:tcPr>
                  <w:tcW w:w="763" w:type="dxa"/>
                  <w:vAlign w:val="center"/>
                </w:tcPr>
                <w:p w14:paraId="028C1156">
                  <w:pPr>
                    <w:jc w:val="center"/>
                    <w:rPr>
                      <w:rFonts w:hint="default" w:ascii="Times New Roman" w:hAnsi="Times New Roman" w:eastAsia="宋体" w:cs="Times New Roman"/>
                      <w:color w:val="FF0000"/>
                      <w:szCs w:val="21"/>
                      <w:lang w:val="en-US" w:eastAsia="zh-CN"/>
                    </w:rPr>
                  </w:pPr>
                  <w:r>
                    <w:rPr>
                      <w:rFonts w:hint="default" w:ascii="Times New Roman" w:hAnsi="Times New Roman" w:eastAsia="Arial" w:cs="Times New Roman"/>
                      <w:sz w:val="20"/>
                    </w:rPr>
                    <w:t>25</w:t>
                  </w:r>
                </w:p>
              </w:tc>
              <w:tc>
                <w:tcPr>
                  <w:tcW w:w="1275" w:type="dxa"/>
                  <w:vAlign w:val="center"/>
                </w:tcPr>
                <w:p w14:paraId="74D69342">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85</w:t>
                  </w:r>
                </w:p>
              </w:tc>
              <w:tc>
                <w:tcPr>
                  <w:tcW w:w="1000" w:type="dxa"/>
                  <w:vMerge w:val="continue"/>
                  <w:vAlign w:val="center"/>
                </w:tcPr>
                <w:p w14:paraId="3FD7B14A">
                  <w:pPr>
                    <w:jc w:val="center"/>
                    <w:rPr>
                      <w:rFonts w:ascii="Times New Roman" w:hAnsi="Times New Roman" w:eastAsia="宋体" w:cs="Times New Roman"/>
                      <w:color w:val="FF0000"/>
                      <w:szCs w:val="21"/>
                    </w:rPr>
                  </w:pPr>
                </w:p>
              </w:tc>
              <w:tc>
                <w:tcPr>
                  <w:tcW w:w="1388" w:type="dxa"/>
                  <w:vMerge w:val="continue"/>
                  <w:vAlign w:val="center"/>
                </w:tcPr>
                <w:p w14:paraId="6ABBF6E6">
                  <w:pPr>
                    <w:jc w:val="center"/>
                    <w:rPr>
                      <w:rFonts w:hint="eastAsia" w:ascii="Times New Roman" w:hAnsi="Times New Roman" w:eastAsia="宋体" w:cs="Times New Roman"/>
                      <w:color w:val="FF0000"/>
                      <w:szCs w:val="21"/>
                      <w:lang w:val="en-US" w:eastAsia="zh-CN"/>
                    </w:rPr>
                  </w:pPr>
                </w:p>
              </w:tc>
            </w:tr>
          </w:tbl>
          <w:p w14:paraId="6C6CF61F">
            <w:pPr>
              <w:ind w:firstLine="420" w:firstLineChars="200"/>
              <w:rPr>
                <w:rFonts w:hint="default" w:ascii="Times New Roman" w:hAnsi="Times New Roman" w:eastAsia="宋体" w:cs="Times New Roman"/>
                <w:color w:val="auto"/>
                <w:szCs w:val="21"/>
                <w:lang w:val="en-US" w:eastAsia="zh-CN"/>
              </w:rPr>
            </w:pPr>
            <w:r>
              <w:rPr>
                <w:rFonts w:ascii="Times New Roman" w:hAnsi="Times New Roman" w:eastAsia="宋体" w:cs="Times New Roman"/>
                <w:color w:val="auto"/>
                <w:szCs w:val="21"/>
              </w:rPr>
              <w:t>注：</w:t>
            </w:r>
            <w:r>
              <w:rPr>
                <w:rFonts w:hint="default" w:ascii="Times New Roman" w:hAnsi="Times New Roman" w:eastAsia="宋体" w:cs="Times New Roman"/>
                <w:color w:val="auto"/>
                <w:szCs w:val="21"/>
                <w:lang w:val="en-US" w:eastAsia="zh-CN"/>
              </w:rPr>
              <w:t>表中坐标以厂界中心（</w:t>
            </w:r>
            <w:bookmarkStart w:id="12" w:name="PO_6"/>
            <w:r>
              <w:rPr>
                <w:rFonts w:hint="default" w:ascii="Times New Roman" w:hAnsi="Times New Roman" w:eastAsia="宋体" w:cs="Times New Roman"/>
                <w:color w:val="auto"/>
                <w:szCs w:val="21"/>
                <w:lang w:val="en-US" w:eastAsia="zh-CN"/>
              </w:rPr>
              <w:t>119.999336,30.566072</w:t>
            </w:r>
            <w:bookmarkEnd w:id="12"/>
            <w:r>
              <w:rPr>
                <w:rFonts w:hint="default" w:ascii="Times New Roman" w:hAnsi="Times New Roman" w:eastAsia="宋体" w:cs="Times New Roman"/>
                <w:color w:val="auto"/>
                <w:szCs w:val="21"/>
                <w:lang w:val="en-US" w:eastAsia="zh-CN"/>
              </w:rPr>
              <w:t>）为坐标原点，正东向为X轴正方向，正北向为Y轴正方向</w:t>
            </w:r>
          </w:p>
          <w:p w14:paraId="4C0E1F80">
            <w:pPr>
              <w:ind w:firstLine="420" w:firstLineChars="200"/>
              <w:rPr>
                <w:rFonts w:hint="default" w:ascii="Times New Roman" w:hAnsi="Times New Roman" w:eastAsia="宋体" w:cs="Times New Roman"/>
                <w:color w:val="FF0000"/>
                <w:szCs w:val="21"/>
                <w:lang w:val="en-US" w:eastAsia="zh-CN"/>
              </w:rPr>
            </w:pPr>
          </w:p>
          <w:p w14:paraId="4D54EF5A">
            <w:pPr>
              <w:ind w:firstLine="420" w:firstLineChars="200"/>
              <w:rPr>
                <w:rFonts w:ascii="Times New Roman" w:hAnsi="Times New Roman" w:eastAsia="宋体" w:cs="Times New Roman"/>
                <w:color w:val="FF0000"/>
                <w:szCs w:val="21"/>
              </w:rPr>
            </w:pPr>
          </w:p>
          <w:p w14:paraId="4D1A266B">
            <w:pPr>
              <w:ind w:firstLine="420" w:firstLineChars="200"/>
              <w:rPr>
                <w:rFonts w:ascii="Times New Roman" w:hAnsi="Times New Roman" w:cs="Times New Roman"/>
                <w:color w:val="FF0000"/>
              </w:rPr>
            </w:pPr>
          </w:p>
          <w:p w14:paraId="5ABD4108">
            <w:pPr>
              <w:ind w:firstLine="420" w:firstLineChars="200"/>
              <w:rPr>
                <w:rFonts w:ascii="Times New Roman" w:hAnsi="Times New Roman" w:cs="Times New Roman"/>
                <w:color w:val="FF0000"/>
              </w:rPr>
            </w:pPr>
          </w:p>
          <w:p w14:paraId="38D3972A">
            <w:pPr>
              <w:ind w:firstLine="420" w:firstLineChars="200"/>
              <w:rPr>
                <w:rFonts w:ascii="Times New Roman" w:hAnsi="Times New Roman" w:cs="Times New Roman"/>
                <w:color w:val="FF0000"/>
              </w:rPr>
            </w:pPr>
          </w:p>
          <w:p w14:paraId="2431659C">
            <w:pPr>
              <w:ind w:firstLine="420" w:firstLineChars="200"/>
              <w:rPr>
                <w:rFonts w:ascii="Times New Roman" w:hAnsi="Times New Roman" w:cs="Times New Roman"/>
                <w:color w:val="FF0000"/>
              </w:rPr>
            </w:pPr>
          </w:p>
          <w:p w14:paraId="1B4F71EC">
            <w:pPr>
              <w:ind w:firstLine="420" w:firstLineChars="200"/>
              <w:rPr>
                <w:rFonts w:ascii="Times New Roman" w:hAnsi="Times New Roman" w:cs="Times New Roman"/>
                <w:color w:val="FF0000"/>
              </w:rPr>
            </w:pPr>
          </w:p>
          <w:p w14:paraId="057D0D65">
            <w:pPr>
              <w:ind w:firstLine="420" w:firstLineChars="200"/>
              <w:rPr>
                <w:rFonts w:ascii="Times New Roman" w:hAnsi="Times New Roman" w:cs="Times New Roman"/>
                <w:color w:val="FF0000"/>
              </w:rPr>
            </w:pPr>
          </w:p>
          <w:p w14:paraId="5EF7BED5">
            <w:pPr>
              <w:ind w:firstLine="420" w:firstLineChars="200"/>
              <w:rPr>
                <w:rFonts w:ascii="Times New Roman" w:hAnsi="Times New Roman" w:cs="Times New Roman"/>
                <w:color w:val="FF0000"/>
              </w:rPr>
            </w:pPr>
          </w:p>
          <w:p w14:paraId="56AD38C8">
            <w:pPr>
              <w:ind w:firstLine="420" w:firstLineChars="200"/>
              <w:rPr>
                <w:rFonts w:ascii="Times New Roman" w:hAnsi="Times New Roman" w:cs="Times New Roman"/>
                <w:color w:val="FF0000"/>
              </w:rPr>
            </w:pPr>
          </w:p>
          <w:p w14:paraId="60EF66DB">
            <w:pPr>
              <w:ind w:firstLine="420" w:firstLineChars="200"/>
              <w:rPr>
                <w:rFonts w:ascii="Times New Roman" w:hAnsi="Times New Roman" w:cs="Times New Roman"/>
                <w:color w:val="FF0000"/>
              </w:rPr>
            </w:pPr>
          </w:p>
          <w:p w14:paraId="7C75244F">
            <w:pPr>
              <w:ind w:firstLine="420" w:firstLineChars="200"/>
              <w:rPr>
                <w:rFonts w:ascii="Times New Roman" w:hAnsi="Times New Roman" w:cs="Times New Roman"/>
                <w:color w:val="FF0000"/>
              </w:rPr>
            </w:pPr>
          </w:p>
          <w:p w14:paraId="037751B1">
            <w:pPr>
              <w:ind w:firstLine="420" w:firstLineChars="200"/>
              <w:rPr>
                <w:rFonts w:ascii="Times New Roman" w:hAnsi="Times New Roman" w:cs="Times New Roman"/>
                <w:color w:val="FF0000"/>
              </w:rPr>
            </w:pPr>
          </w:p>
          <w:p w14:paraId="33B32B1C">
            <w:pPr>
              <w:ind w:firstLine="420" w:firstLineChars="200"/>
              <w:rPr>
                <w:rFonts w:ascii="Times New Roman" w:hAnsi="Times New Roman" w:cs="Times New Roman"/>
                <w:color w:val="FF0000"/>
              </w:rPr>
            </w:pPr>
          </w:p>
          <w:p w14:paraId="7CA3E90D">
            <w:pPr>
              <w:ind w:firstLine="420" w:firstLineChars="200"/>
              <w:rPr>
                <w:rFonts w:ascii="Times New Roman" w:hAnsi="Times New Roman" w:cs="Times New Roman"/>
                <w:color w:val="FF0000"/>
              </w:rPr>
            </w:pPr>
          </w:p>
          <w:p w14:paraId="5A77337E">
            <w:pPr>
              <w:ind w:firstLine="420" w:firstLineChars="200"/>
              <w:rPr>
                <w:rFonts w:ascii="Times New Roman" w:hAnsi="Times New Roman" w:cs="Times New Roman"/>
                <w:color w:val="FF0000"/>
              </w:rPr>
            </w:pPr>
          </w:p>
          <w:p w14:paraId="17EDE775">
            <w:pPr>
              <w:ind w:firstLine="420" w:firstLineChars="200"/>
              <w:rPr>
                <w:rFonts w:ascii="Times New Roman" w:hAnsi="Times New Roman" w:cs="Times New Roman"/>
                <w:color w:val="FF0000"/>
              </w:rPr>
            </w:pPr>
          </w:p>
          <w:p w14:paraId="01C1187E">
            <w:pPr>
              <w:spacing w:line="500" w:lineRule="exact"/>
              <w:rPr>
                <w:rFonts w:ascii="Times New Roman" w:hAnsi="Times New Roman" w:eastAsia="宋体" w:cs="Times New Roman"/>
                <w:color w:val="FF0000"/>
                <w:kern w:val="0"/>
                <w:sz w:val="24"/>
                <w:szCs w:val="24"/>
              </w:rPr>
            </w:pPr>
          </w:p>
        </w:tc>
      </w:tr>
    </w:tbl>
    <w:p w14:paraId="3D22537E">
      <w:pPr>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14173" w:type="dxa"/>
        <w:jc w:val="center"/>
        <w:tblLayout w:type="fixed"/>
        <w:tblCellMar>
          <w:top w:w="0" w:type="dxa"/>
          <w:left w:w="0" w:type="dxa"/>
          <w:bottom w:w="0" w:type="dxa"/>
          <w:right w:w="0" w:type="dxa"/>
        </w:tblCellMar>
      </w:tblPr>
      <w:tblGrid>
        <w:gridCol w:w="14173"/>
      </w:tblGrid>
      <w:tr w14:paraId="50964715">
        <w:trPr>
          <w:trHeight w:val="8202" w:hRule="atLeast"/>
          <w:jc w:val="center"/>
        </w:trPr>
        <w:tc>
          <w:tcPr>
            <w:tcW w:w="1417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40F1951E">
            <w:pPr>
              <w:pStyle w:val="7"/>
              <w:spacing w:beforeLines="50"/>
              <w:ind w:firstLine="0"/>
              <w:jc w:val="center"/>
              <w:textAlignment w:val="center"/>
              <w:rPr>
                <w:rFonts w:hint="eastAsia"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rPr>
              <w:t>4-</w:t>
            </w:r>
            <w:r>
              <w:rPr>
                <w:rFonts w:hint="eastAsia" w:ascii="Times New Roman" w:hAnsi="Times New Roman" w:cs="Times New Roman"/>
                <w:b/>
                <w:bCs/>
                <w:color w:val="auto"/>
                <w:szCs w:val="21"/>
                <w:lang w:val="en-US" w:eastAsia="zh-CN"/>
              </w:rPr>
              <w:t>13</w:t>
            </w:r>
            <w:r>
              <w:rPr>
                <w:rFonts w:ascii="Times New Roman" w:hAnsi="Times New Roman" w:cs="Times New Roman"/>
                <w:b/>
                <w:bCs/>
                <w:color w:val="auto"/>
                <w:szCs w:val="21"/>
              </w:rPr>
              <w:t xml:space="preserve">  本项目营运期设备设施噪声源源强</w:t>
            </w:r>
            <w:r>
              <w:rPr>
                <w:rFonts w:hint="eastAsia" w:ascii="Times New Roman" w:hAnsi="Times New Roman" w:cs="Times New Roman"/>
                <w:b/>
                <w:bCs/>
                <w:color w:val="auto"/>
                <w:szCs w:val="21"/>
              </w:rPr>
              <w:t>（室内声源）</w:t>
            </w:r>
          </w:p>
          <w:tbl>
            <w:tblPr>
              <w:tblStyle w:val="23"/>
              <w:tblpPr w:leftFromText="180" w:rightFromText="180" w:vertAnchor="text" w:horzAnchor="page" w:tblpXSpec="center" w:tblpY="323"/>
              <w:tblOverlap w:val="never"/>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575"/>
              <w:gridCol w:w="550"/>
              <w:gridCol w:w="420"/>
              <w:gridCol w:w="651"/>
              <w:gridCol w:w="563"/>
              <w:gridCol w:w="580"/>
              <w:gridCol w:w="580"/>
              <w:gridCol w:w="580"/>
              <w:gridCol w:w="479"/>
              <w:gridCol w:w="479"/>
              <w:gridCol w:w="479"/>
              <w:gridCol w:w="480"/>
              <w:gridCol w:w="473"/>
              <w:gridCol w:w="473"/>
              <w:gridCol w:w="473"/>
              <w:gridCol w:w="475"/>
              <w:gridCol w:w="452"/>
              <w:gridCol w:w="457"/>
              <w:gridCol w:w="457"/>
              <w:gridCol w:w="457"/>
              <w:gridCol w:w="457"/>
              <w:gridCol w:w="484"/>
              <w:gridCol w:w="484"/>
              <w:gridCol w:w="485"/>
              <w:gridCol w:w="486"/>
              <w:gridCol w:w="669"/>
            </w:tblGrid>
            <w:tr w14:paraId="2ADB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dxa"/>
                  <w:vMerge w:val="restart"/>
                  <w:vAlign w:val="center"/>
                </w:tcPr>
                <w:p w14:paraId="4B32B7BA">
                  <w:pPr>
                    <w:jc w:val="center"/>
                    <w:rPr>
                      <w:rFonts w:hint="default" w:ascii="Times New Roman" w:hAnsi="Times New Roman" w:eastAsia="宋体" w:cs="Times New Roman"/>
                      <w:sz w:val="21"/>
                      <w:szCs w:val="21"/>
                    </w:rPr>
                  </w:pPr>
                  <w:bookmarkStart w:id="13" w:name="PT_6"/>
                  <w:r>
                    <w:rPr>
                      <w:rFonts w:hint="default" w:ascii="Times New Roman" w:hAnsi="Times New Roman" w:eastAsia="宋体" w:cs="Times New Roman"/>
                      <w:b/>
                      <w:sz w:val="21"/>
                      <w:szCs w:val="21"/>
                    </w:rPr>
                    <w:t>序号</w:t>
                  </w:r>
                </w:p>
              </w:tc>
              <w:tc>
                <w:tcPr>
                  <w:tcW w:w="575" w:type="dxa"/>
                  <w:vMerge w:val="restart"/>
                  <w:vAlign w:val="center"/>
                </w:tcPr>
                <w:p w14:paraId="6B2821E9">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建筑物名称</w:t>
                  </w:r>
                </w:p>
              </w:tc>
              <w:tc>
                <w:tcPr>
                  <w:tcW w:w="550" w:type="dxa"/>
                  <w:vMerge w:val="restart"/>
                  <w:vAlign w:val="center"/>
                </w:tcPr>
                <w:p w14:paraId="2E14B2FD">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声源名称</w:t>
                  </w:r>
                </w:p>
              </w:tc>
              <w:tc>
                <w:tcPr>
                  <w:tcW w:w="420" w:type="dxa"/>
                  <w:vMerge w:val="restart"/>
                  <w:vAlign w:val="center"/>
                </w:tcPr>
                <w:p w14:paraId="7691A906">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型号</w:t>
                  </w:r>
                </w:p>
              </w:tc>
              <w:tc>
                <w:tcPr>
                  <w:tcW w:w="651" w:type="dxa"/>
                  <w:vAlign w:val="center"/>
                </w:tcPr>
                <w:p w14:paraId="405DE548">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声源源强</w:t>
                  </w:r>
                </w:p>
              </w:tc>
              <w:tc>
                <w:tcPr>
                  <w:tcW w:w="563" w:type="dxa"/>
                  <w:vMerge w:val="restart"/>
                  <w:vAlign w:val="center"/>
                </w:tcPr>
                <w:p w14:paraId="6DBB7078">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声源控制措施</w:t>
                  </w:r>
                </w:p>
              </w:tc>
              <w:tc>
                <w:tcPr>
                  <w:tcW w:w="1740" w:type="dxa"/>
                  <w:gridSpan w:val="3"/>
                  <w:vAlign w:val="center"/>
                </w:tcPr>
                <w:p w14:paraId="4A5FA079">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空间相对位置/m</w:t>
                  </w:r>
                </w:p>
              </w:tc>
              <w:tc>
                <w:tcPr>
                  <w:tcW w:w="1917" w:type="dxa"/>
                  <w:gridSpan w:val="4"/>
                  <w:vAlign w:val="center"/>
                </w:tcPr>
                <w:p w14:paraId="64DCD86D">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距室内边界距离/m</w:t>
                  </w:r>
                </w:p>
              </w:tc>
              <w:tc>
                <w:tcPr>
                  <w:tcW w:w="1894" w:type="dxa"/>
                  <w:gridSpan w:val="4"/>
                  <w:vAlign w:val="center"/>
                </w:tcPr>
                <w:p w14:paraId="63E3E991">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室内边界声级/dB(A)</w:t>
                  </w:r>
                </w:p>
              </w:tc>
              <w:tc>
                <w:tcPr>
                  <w:tcW w:w="452" w:type="dxa"/>
                  <w:vMerge w:val="restart"/>
                  <w:vAlign w:val="center"/>
                </w:tcPr>
                <w:p w14:paraId="740C10CF">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运行时段</w:t>
                  </w:r>
                </w:p>
              </w:tc>
              <w:tc>
                <w:tcPr>
                  <w:tcW w:w="1828" w:type="dxa"/>
                  <w:gridSpan w:val="4"/>
                  <w:vAlign w:val="center"/>
                </w:tcPr>
                <w:p w14:paraId="4A980EA2">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建筑物插入损失 / dB(A)</w:t>
                  </w:r>
                  <w:bookmarkStart w:id="14" w:name="PT_10"/>
                  <w:bookmarkEnd w:id="14"/>
                </w:p>
              </w:tc>
              <w:tc>
                <w:tcPr>
                  <w:tcW w:w="2608" w:type="dxa"/>
                  <w:gridSpan w:val="5"/>
                  <w:vAlign w:val="center"/>
                </w:tcPr>
                <w:p w14:paraId="1A5C3FC5">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建筑物外噪声声压级/dB(A)</w:t>
                  </w:r>
                </w:p>
              </w:tc>
            </w:tr>
            <w:tr w14:paraId="1E65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vMerge w:val="continue"/>
                  <w:shd w:val="clear" w:color="auto" w:fill="FFFFFF"/>
                  <w:tcMar>
                    <w:top w:w="0" w:type="dxa"/>
                    <w:left w:w="0" w:type="dxa"/>
                    <w:bottom w:w="0" w:type="dxa"/>
                    <w:right w:w="0" w:type="dxa"/>
                  </w:tcMar>
                  <w:vAlign w:val="center"/>
                </w:tcPr>
                <w:p w14:paraId="68DEAE8D">
                  <w:pPr>
                    <w:jc w:val="center"/>
                    <w:rPr>
                      <w:rFonts w:hint="default" w:ascii="Times New Roman" w:hAnsi="Times New Roman" w:eastAsia="宋体" w:cs="Times New Roman"/>
                      <w:sz w:val="21"/>
                      <w:szCs w:val="21"/>
                      <w:lang w:val="en-US" w:eastAsia="zh-CN"/>
                    </w:rPr>
                  </w:pPr>
                </w:p>
              </w:tc>
              <w:tc>
                <w:tcPr>
                  <w:tcW w:w="575" w:type="dxa"/>
                  <w:vMerge w:val="continue"/>
                  <w:shd w:val="clear" w:color="auto" w:fill="FFFFFF"/>
                  <w:tcMar>
                    <w:top w:w="0" w:type="dxa"/>
                    <w:left w:w="0" w:type="dxa"/>
                    <w:bottom w:w="0" w:type="dxa"/>
                    <w:right w:w="0" w:type="dxa"/>
                  </w:tcMar>
                  <w:vAlign w:val="center"/>
                </w:tcPr>
                <w:p w14:paraId="731E2ADD">
                  <w:pPr>
                    <w:jc w:val="center"/>
                    <w:rPr>
                      <w:rFonts w:hint="default" w:ascii="Times New Roman" w:hAnsi="Times New Roman" w:eastAsia="宋体" w:cs="Times New Roman"/>
                      <w:sz w:val="21"/>
                      <w:szCs w:val="21"/>
                    </w:rPr>
                  </w:pPr>
                </w:p>
              </w:tc>
              <w:tc>
                <w:tcPr>
                  <w:tcW w:w="550" w:type="dxa"/>
                  <w:vMerge w:val="continue"/>
                  <w:shd w:val="clear" w:color="auto" w:fill="FFFFFF"/>
                  <w:tcMar>
                    <w:top w:w="0" w:type="dxa"/>
                    <w:left w:w="0" w:type="dxa"/>
                    <w:bottom w:w="0" w:type="dxa"/>
                    <w:right w:w="0" w:type="dxa"/>
                  </w:tcMar>
                  <w:vAlign w:val="center"/>
                </w:tcPr>
                <w:p w14:paraId="26117E5C">
                  <w:pPr>
                    <w:jc w:val="center"/>
                    <w:rPr>
                      <w:rFonts w:hint="default" w:ascii="Times New Roman" w:hAnsi="Times New Roman" w:eastAsia="宋体" w:cs="Times New Roman"/>
                      <w:sz w:val="21"/>
                      <w:szCs w:val="21"/>
                    </w:rPr>
                  </w:pPr>
                </w:p>
              </w:tc>
              <w:tc>
                <w:tcPr>
                  <w:tcW w:w="420" w:type="dxa"/>
                  <w:vMerge w:val="continue"/>
                  <w:shd w:val="clear" w:color="auto" w:fill="FFFFFF"/>
                  <w:tcMar>
                    <w:top w:w="0" w:type="dxa"/>
                    <w:left w:w="0" w:type="dxa"/>
                    <w:bottom w:w="0" w:type="dxa"/>
                    <w:right w:w="0" w:type="dxa"/>
                  </w:tcMar>
                  <w:vAlign w:val="center"/>
                </w:tcPr>
                <w:p w14:paraId="6A06495E">
                  <w:pPr>
                    <w:jc w:val="center"/>
                    <w:rPr>
                      <w:rFonts w:hint="default" w:ascii="Times New Roman" w:hAnsi="Times New Roman" w:eastAsia="宋体" w:cs="Times New Roman"/>
                      <w:sz w:val="21"/>
                      <w:szCs w:val="21"/>
                    </w:rPr>
                  </w:pPr>
                </w:p>
              </w:tc>
              <w:tc>
                <w:tcPr>
                  <w:tcW w:w="651" w:type="dxa"/>
                  <w:shd w:val="clear" w:color="auto" w:fill="FFFFFF"/>
                  <w:tcMar>
                    <w:top w:w="0" w:type="dxa"/>
                    <w:left w:w="0" w:type="dxa"/>
                    <w:bottom w:w="0" w:type="dxa"/>
                    <w:right w:w="0" w:type="dxa"/>
                  </w:tcMar>
                  <w:vAlign w:val="center"/>
                </w:tcPr>
                <w:p w14:paraId="2F80C69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声功率级/dB(A)</w:t>
                  </w:r>
                </w:p>
              </w:tc>
              <w:tc>
                <w:tcPr>
                  <w:tcW w:w="563" w:type="dxa"/>
                  <w:vMerge w:val="continue"/>
                  <w:shd w:val="clear" w:color="auto" w:fill="FFFFFF"/>
                  <w:tcMar>
                    <w:top w:w="0" w:type="dxa"/>
                    <w:left w:w="0" w:type="dxa"/>
                    <w:bottom w:w="0" w:type="dxa"/>
                    <w:right w:w="0" w:type="dxa"/>
                  </w:tcMar>
                  <w:vAlign w:val="center"/>
                </w:tcPr>
                <w:p w14:paraId="11560FA3">
                  <w:pPr>
                    <w:jc w:val="center"/>
                    <w:rPr>
                      <w:rFonts w:hint="default" w:ascii="Times New Roman" w:hAnsi="Times New Roman" w:eastAsia="宋体" w:cs="Times New Roman"/>
                      <w:sz w:val="21"/>
                      <w:szCs w:val="21"/>
                    </w:rPr>
                  </w:pPr>
                </w:p>
              </w:tc>
              <w:tc>
                <w:tcPr>
                  <w:tcW w:w="580" w:type="dxa"/>
                  <w:shd w:val="clear" w:color="auto" w:fill="FFFFFF"/>
                  <w:tcMar>
                    <w:top w:w="0" w:type="dxa"/>
                    <w:left w:w="0" w:type="dxa"/>
                    <w:bottom w:w="0" w:type="dxa"/>
                    <w:right w:w="0" w:type="dxa"/>
                  </w:tcMar>
                  <w:vAlign w:val="center"/>
                </w:tcPr>
                <w:p w14:paraId="17FBB20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580" w:type="dxa"/>
                  <w:shd w:val="clear" w:color="auto" w:fill="FFFFFF"/>
                  <w:tcMar>
                    <w:top w:w="0" w:type="dxa"/>
                    <w:left w:w="0" w:type="dxa"/>
                    <w:bottom w:w="0" w:type="dxa"/>
                    <w:right w:w="0" w:type="dxa"/>
                  </w:tcMar>
                  <w:vAlign w:val="center"/>
                </w:tcPr>
                <w:p w14:paraId="3DFC06B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580" w:type="dxa"/>
                  <w:shd w:val="clear" w:color="auto" w:fill="FFFFFF"/>
                  <w:tcMar>
                    <w:top w:w="0" w:type="dxa"/>
                    <w:left w:w="0" w:type="dxa"/>
                    <w:bottom w:w="0" w:type="dxa"/>
                    <w:right w:w="0" w:type="dxa"/>
                  </w:tcMar>
                  <w:vAlign w:val="center"/>
                </w:tcPr>
                <w:p w14:paraId="77C43B5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w:t>
                  </w:r>
                </w:p>
              </w:tc>
              <w:tc>
                <w:tcPr>
                  <w:tcW w:w="479" w:type="dxa"/>
                  <w:shd w:val="clear" w:color="auto" w:fill="FFFFFF"/>
                  <w:tcMar>
                    <w:top w:w="0" w:type="dxa"/>
                    <w:left w:w="0" w:type="dxa"/>
                    <w:bottom w:w="0" w:type="dxa"/>
                    <w:right w:w="0" w:type="dxa"/>
                  </w:tcMar>
                  <w:vAlign w:val="center"/>
                </w:tcPr>
                <w:p w14:paraId="5FFE00E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479" w:type="dxa"/>
                  <w:shd w:val="clear" w:color="auto" w:fill="FFFFFF"/>
                  <w:tcMar>
                    <w:top w:w="0" w:type="dxa"/>
                    <w:left w:w="0" w:type="dxa"/>
                    <w:bottom w:w="0" w:type="dxa"/>
                    <w:right w:w="0" w:type="dxa"/>
                  </w:tcMar>
                  <w:vAlign w:val="center"/>
                </w:tcPr>
                <w:p w14:paraId="48EEDE7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479" w:type="dxa"/>
                  <w:shd w:val="clear" w:color="auto" w:fill="FFFFFF"/>
                  <w:tcMar>
                    <w:top w:w="0" w:type="dxa"/>
                    <w:left w:w="0" w:type="dxa"/>
                    <w:bottom w:w="0" w:type="dxa"/>
                    <w:right w:w="0" w:type="dxa"/>
                  </w:tcMar>
                  <w:vAlign w:val="center"/>
                </w:tcPr>
                <w:p w14:paraId="282B701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480" w:type="dxa"/>
                  <w:shd w:val="clear" w:color="auto" w:fill="FFFFFF"/>
                  <w:tcMar>
                    <w:top w:w="0" w:type="dxa"/>
                    <w:left w:w="0" w:type="dxa"/>
                    <w:bottom w:w="0" w:type="dxa"/>
                    <w:right w:w="0" w:type="dxa"/>
                  </w:tcMar>
                  <w:vAlign w:val="center"/>
                </w:tcPr>
                <w:p w14:paraId="64C170D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473" w:type="dxa"/>
                  <w:shd w:val="clear" w:color="auto" w:fill="FFFFFF"/>
                  <w:tcMar>
                    <w:top w:w="0" w:type="dxa"/>
                    <w:left w:w="0" w:type="dxa"/>
                    <w:bottom w:w="0" w:type="dxa"/>
                    <w:right w:w="0" w:type="dxa"/>
                  </w:tcMar>
                  <w:vAlign w:val="center"/>
                </w:tcPr>
                <w:p w14:paraId="7313F58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473" w:type="dxa"/>
                  <w:shd w:val="clear" w:color="auto" w:fill="FFFFFF"/>
                  <w:tcMar>
                    <w:top w:w="0" w:type="dxa"/>
                    <w:left w:w="0" w:type="dxa"/>
                    <w:bottom w:w="0" w:type="dxa"/>
                    <w:right w:w="0" w:type="dxa"/>
                  </w:tcMar>
                  <w:vAlign w:val="center"/>
                </w:tcPr>
                <w:p w14:paraId="32A8644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473" w:type="dxa"/>
                  <w:shd w:val="clear" w:color="auto" w:fill="FFFFFF"/>
                  <w:tcMar>
                    <w:top w:w="0" w:type="dxa"/>
                    <w:left w:w="0" w:type="dxa"/>
                    <w:bottom w:w="0" w:type="dxa"/>
                    <w:right w:w="0" w:type="dxa"/>
                  </w:tcMar>
                  <w:vAlign w:val="center"/>
                </w:tcPr>
                <w:p w14:paraId="6947109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475" w:type="dxa"/>
                  <w:shd w:val="clear" w:color="auto" w:fill="FFFFFF"/>
                  <w:tcMar>
                    <w:top w:w="0" w:type="dxa"/>
                    <w:left w:w="0" w:type="dxa"/>
                    <w:bottom w:w="0" w:type="dxa"/>
                    <w:right w:w="0" w:type="dxa"/>
                  </w:tcMar>
                  <w:vAlign w:val="center"/>
                </w:tcPr>
                <w:p w14:paraId="228A439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452" w:type="dxa"/>
                  <w:vMerge w:val="continue"/>
                  <w:shd w:val="clear" w:color="auto" w:fill="FFFFFF"/>
                  <w:tcMar>
                    <w:top w:w="0" w:type="dxa"/>
                    <w:left w:w="0" w:type="dxa"/>
                    <w:bottom w:w="0" w:type="dxa"/>
                    <w:right w:w="0" w:type="dxa"/>
                  </w:tcMar>
                  <w:vAlign w:val="center"/>
                </w:tcPr>
                <w:p w14:paraId="7D9DF50C">
                  <w:pPr>
                    <w:jc w:val="center"/>
                    <w:rPr>
                      <w:rFonts w:hint="default" w:ascii="Times New Roman" w:hAnsi="Times New Roman" w:eastAsia="宋体" w:cs="Times New Roman"/>
                      <w:sz w:val="21"/>
                      <w:szCs w:val="21"/>
                    </w:rPr>
                  </w:pPr>
                </w:p>
              </w:tc>
              <w:tc>
                <w:tcPr>
                  <w:tcW w:w="457" w:type="dxa"/>
                  <w:shd w:val="clear" w:color="auto" w:fill="FFFFFF"/>
                  <w:tcMar>
                    <w:top w:w="0" w:type="dxa"/>
                    <w:left w:w="0" w:type="dxa"/>
                    <w:bottom w:w="0" w:type="dxa"/>
                    <w:right w:w="0" w:type="dxa"/>
                  </w:tcMar>
                  <w:vAlign w:val="center"/>
                </w:tcPr>
                <w:p w14:paraId="69CDBB5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457" w:type="dxa"/>
                  <w:shd w:val="clear" w:color="auto" w:fill="FFFFFF"/>
                  <w:tcMar>
                    <w:top w:w="0" w:type="dxa"/>
                    <w:left w:w="0" w:type="dxa"/>
                    <w:bottom w:w="0" w:type="dxa"/>
                    <w:right w:w="0" w:type="dxa"/>
                  </w:tcMar>
                  <w:vAlign w:val="center"/>
                </w:tcPr>
                <w:p w14:paraId="131B5E7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457" w:type="dxa"/>
                  <w:shd w:val="clear" w:color="auto" w:fill="FFFFFF"/>
                  <w:tcMar>
                    <w:top w:w="0" w:type="dxa"/>
                    <w:left w:w="0" w:type="dxa"/>
                    <w:bottom w:w="0" w:type="dxa"/>
                    <w:right w:w="0" w:type="dxa"/>
                  </w:tcMar>
                  <w:vAlign w:val="center"/>
                </w:tcPr>
                <w:p w14:paraId="173E1C0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457" w:type="dxa"/>
                  <w:shd w:val="clear" w:color="auto" w:fill="FFFFFF"/>
                  <w:tcMar>
                    <w:top w:w="0" w:type="dxa"/>
                    <w:left w:w="0" w:type="dxa"/>
                    <w:bottom w:w="0" w:type="dxa"/>
                    <w:right w:w="0" w:type="dxa"/>
                  </w:tcMar>
                  <w:vAlign w:val="center"/>
                </w:tcPr>
                <w:p w14:paraId="6A21855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484" w:type="dxa"/>
                  <w:shd w:val="clear" w:color="auto" w:fill="FFFFFF"/>
                  <w:tcMar>
                    <w:top w:w="0" w:type="dxa"/>
                    <w:left w:w="0" w:type="dxa"/>
                    <w:bottom w:w="0" w:type="dxa"/>
                    <w:right w:w="0" w:type="dxa"/>
                  </w:tcMar>
                  <w:vAlign w:val="center"/>
                </w:tcPr>
                <w:p w14:paraId="39D3F36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484" w:type="dxa"/>
                  <w:shd w:val="clear" w:color="auto" w:fill="FFFFFF"/>
                  <w:tcMar>
                    <w:top w:w="0" w:type="dxa"/>
                    <w:left w:w="0" w:type="dxa"/>
                    <w:bottom w:w="0" w:type="dxa"/>
                    <w:right w:w="0" w:type="dxa"/>
                  </w:tcMar>
                  <w:vAlign w:val="center"/>
                </w:tcPr>
                <w:p w14:paraId="24C60D7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485" w:type="dxa"/>
                  <w:shd w:val="clear" w:color="auto" w:fill="FFFFFF"/>
                  <w:tcMar>
                    <w:top w:w="0" w:type="dxa"/>
                    <w:left w:w="0" w:type="dxa"/>
                    <w:bottom w:w="0" w:type="dxa"/>
                    <w:right w:w="0" w:type="dxa"/>
                  </w:tcMar>
                  <w:vAlign w:val="center"/>
                </w:tcPr>
                <w:p w14:paraId="7086C75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486" w:type="dxa"/>
                  <w:shd w:val="clear" w:color="auto" w:fill="FFFFFF"/>
                  <w:tcMar>
                    <w:top w:w="0" w:type="dxa"/>
                    <w:left w:w="0" w:type="dxa"/>
                    <w:bottom w:w="0" w:type="dxa"/>
                    <w:right w:w="0" w:type="dxa"/>
                  </w:tcMar>
                  <w:vAlign w:val="center"/>
                </w:tcPr>
                <w:p w14:paraId="697FD55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669" w:type="dxa"/>
                  <w:shd w:val="clear" w:color="auto" w:fill="FFFFFF"/>
                  <w:tcMar>
                    <w:top w:w="0" w:type="dxa"/>
                    <w:left w:w="0" w:type="dxa"/>
                    <w:bottom w:w="0" w:type="dxa"/>
                    <w:right w:w="0" w:type="dxa"/>
                  </w:tcMar>
                  <w:vAlign w:val="center"/>
                </w:tcPr>
                <w:p w14:paraId="2FE87E4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建筑物外距离</w:t>
                  </w:r>
                </w:p>
              </w:tc>
            </w:tr>
            <w:tr w14:paraId="3A50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0E60595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575" w:type="dxa"/>
                  <w:shd w:val="clear" w:color="auto" w:fill="FFFFFF"/>
                  <w:tcMar>
                    <w:top w:w="0" w:type="dxa"/>
                    <w:left w:w="0" w:type="dxa"/>
                    <w:bottom w:w="0" w:type="dxa"/>
                    <w:right w:w="0" w:type="dxa"/>
                  </w:tcMar>
                  <w:vAlign w:val="center"/>
                </w:tcPr>
                <w:p w14:paraId="40D1DA7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桃园科技-2#车间</w:t>
                  </w:r>
                </w:p>
              </w:tc>
              <w:tc>
                <w:tcPr>
                  <w:tcW w:w="550" w:type="dxa"/>
                  <w:shd w:val="clear" w:color="auto" w:fill="FFFFFF"/>
                  <w:tcMar>
                    <w:top w:w="0" w:type="dxa"/>
                    <w:left w:w="0" w:type="dxa"/>
                    <w:bottom w:w="0" w:type="dxa"/>
                    <w:right w:w="0" w:type="dxa"/>
                  </w:tcMar>
                  <w:vAlign w:val="center"/>
                </w:tcPr>
                <w:p w14:paraId="27560BF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飞达绕线机</w:t>
                  </w:r>
                </w:p>
              </w:tc>
              <w:tc>
                <w:tcPr>
                  <w:tcW w:w="420" w:type="dxa"/>
                  <w:shd w:val="clear" w:color="auto" w:fill="FFFFFF"/>
                  <w:tcMar>
                    <w:top w:w="0" w:type="dxa"/>
                    <w:left w:w="0" w:type="dxa"/>
                    <w:bottom w:w="0" w:type="dxa"/>
                    <w:right w:w="0" w:type="dxa"/>
                  </w:tcMar>
                  <w:vAlign w:val="center"/>
                </w:tcPr>
                <w:p w14:paraId="16C9C123">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51" w:type="dxa"/>
                  <w:shd w:val="clear" w:color="auto" w:fill="FFFFFF"/>
                  <w:tcMar>
                    <w:top w:w="0" w:type="dxa"/>
                    <w:left w:w="0" w:type="dxa"/>
                    <w:bottom w:w="0" w:type="dxa"/>
                    <w:right w:w="0" w:type="dxa"/>
                  </w:tcMar>
                  <w:vAlign w:val="center"/>
                </w:tcPr>
                <w:p w14:paraId="42F90DD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563" w:type="dxa"/>
                  <w:vMerge w:val="restart"/>
                  <w:shd w:val="clear" w:color="auto" w:fill="FFFFFF"/>
                  <w:tcMar>
                    <w:top w:w="0" w:type="dxa"/>
                    <w:left w:w="0" w:type="dxa"/>
                    <w:bottom w:w="0" w:type="dxa"/>
                    <w:right w:w="0" w:type="dxa"/>
                  </w:tcMar>
                  <w:vAlign w:val="center"/>
                </w:tcPr>
                <w:p w14:paraId="1F0659A9">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吸声、减振、隔声等</w:t>
                  </w:r>
                </w:p>
              </w:tc>
              <w:tc>
                <w:tcPr>
                  <w:tcW w:w="580" w:type="dxa"/>
                  <w:shd w:val="clear" w:color="auto" w:fill="FFFFFF"/>
                  <w:tcMar>
                    <w:top w:w="0" w:type="dxa"/>
                    <w:left w:w="0" w:type="dxa"/>
                    <w:bottom w:w="0" w:type="dxa"/>
                    <w:right w:w="0" w:type="dxa"/>
                  </w:tcMar>
                  <w:vAlign w:val="center"/>
                </w:tcPr>
                <w:p w14:paraId="31CB5D7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-13.9</w:t>
                  </w:r>
                </w:p>
              </w:tc>
              <w:tc>
                <w:tcPr>
                  <w:tcW w:w="580" w:type="dxa"/>
                  <w:shd w:val="clear" w:color="auto" w:fill="FFFFFF"/>
                  <w:tcMar>
                    <w:top w:w="0" w:type="dxa"/>
                    <w:left w:w="0" w:type="dxa"/>
                    <w:bottom w:w="0" w:type="dxa"/>
                    <w:right w:w="0" w:type="dxa"/>
                  </w:tcMar>
                  <w:vAlign w:val="center"/>
                </w:tcPr>
                <w:p w14:paraId="5ED2205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tc>
              <w:tc>
                <w:tcPr>
                  <w:tcW w:w="580" w:type="dxa"/>
                  <w:shd w:val="clear" w:color="auto" w:fill="FFFFFF"/>
                  <w:tcMar>
                    <w:top w:w="0" w:type="dxa"/>
                    <w:left w:w="0" w:type="dxa"/>
                    <w:bottom w:w="0" w:type="dxa"/>
                    <w:right w:w="0" w:type="dxa"/>
                  </w:tcMar>
                  <w:vAlign w:val="center"/>
                </w:tcPr>
                <w:p w14:paraId="16E04D0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479" w:type="dxa"/>
                  <w:shd w:val="clear" w:color="auto" w:fill="FFFFFF"/>
                  <w:tcMar>
                    <w:top w:w="0" w:type="dxa"/>
                    <w:left w:w="0" w:type="dxa"/>
                    <w:bottom w:w="0" w:type="dxa"/>
                    <w:right w:w="0" w:type="dxa"/>
                  </w:tcMar>
                  <w:vAlign w:val="center"/>
                </w:tcPr>
                <w:p w14:paraId="7FB903D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59.2</w:t>
                  </w:r>
                </w:p>
              </w:tc>
              <w:tc>
                <w:tcPr>
                  <w:tcW w:w="479" w:type="dxa"/>
                  <w:shd w:val="clear" w:color="auto" w:fill="FFFFFF"/>
                  <w:tcMar>
                    <w:top w:w="0" w:type="dxa"/>
                    <w:left w:w="0" w:type="dxa"/>
                    <w:bottom w:w="0" w:type="dxa"/>
                    <w:right w:w="0" w:type="dxa"/>
                  </w:tcMar>
                  <w:vAlign w:val="center"/>
                </w:tcPr>
                <w:p w14:paraId="326FD5D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33.4</w:t>
                  </w:r>
                </w:p>
              </w:tc>
              <w:tc>
                <w:tcPr>
                  <w:tcW w:w="479" w:type="dxa"/>
                  <w:shd w:val="clear" w:color="auto" w:fill="FFFFFF"/>
                  <w:tcMar>
                    <w:top w:w="0" w:type="dxa"/>
                    <w:left w:w="0" w:type="dxa"/>
                    <w:bottom w:w="0" w:type="dxa"/>
                    <w:right w:w="0" w:type="dxa"/>
                  </w:tcMar>
                  <w:vAlign w:val="center"/>
                </w:tcPr>
                <w:p w14:paraId="54AA83E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10.3</w:t>
                  </w:r>
                </w:p>
              </w:tc>
              <w:tc>
                <w:tcPr>
                  <w:tcW w:w="480" w:type="dxa"/>
                  <w:shd w:val="clear" w:color="auto" w:fill="FFFFFF"/>
                  <w:tcMar>
                    <w:top w:w="0" w:type="dxa"/>
                    <w:left w:w="0" w:type="dxa"/>
                    <w:bottom w:w="0" w:type="dxa"/>
                    <w:right w:w="0" w:type="dxa"/>
                  </w:tcMar>
                  <w:vAlign w:val="center"/>
                </w:tcPr>
                <w:p w14:paraId="74AFFF6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19.5</w:t>
                  </w:r>
                </w:p>
              </w:tc>
              <w:tc>
                <w:tcPr>
                  <w:tcW w:w="473" w:type="dxa"/>
                  <w:shd w:val="clear" w:color="auto" w:fill="FFFFFF"/>
                  <w:tcMar>
                    <w:top w:w="0" w:type="dxa"/>
                    <w:left w:w="0" w:type="dxa"/>
                    <w:bottom w:w="0" w:type="dxa"/>
                    <w:right w:w="0" w:type="dxa"/>
                  </w:tcMar>
                  <w:vAlign w:val="center"/>
                </w:tcPr>
                <w:p w14:paraId="6254D7A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44.7</w:t>
                  </w:r>
                </w:p>
              </w:tc>
              <w:tc>
                <w:tcPr>
                  <w:tcW w:w="473" w:type="dxa"/>
                  <w:shd w:val="clear" w:color="auto" w:fill="FFFFFF"/>
                  <w:tcMar>
                    <w:top w:w="0" w:type="dxa"/>
                    <w:left w:w="0" w:type="dxa"/>
                    <w:bottom w:w="0" w:type="dxa"/>
                    <w:right w:w="0" w:type="dxa"/>
                  </w:tcMar>
                  <w:vAlign w:val="center"/>
                </w:tcPr>
                <w:p w14:paraId="4E2A23F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44.8</w:t>
                  </w:r>
                </w:p>
              </w:tc>
              <w:tc>
                <w:tcPr>
                  <w:tcW w:w="473" w:type="dxa"/>
                  <w:shd w:val="clear" w:color="auto" w:fill="FFFFFF"/>
                  <w:tcMar>
                    <w:top w:w="0" w:type="dxa"/>
                    <w:left w:w="0" w:type="dxa"/>
                    <w:bottom w:w="0" w:type="dxa"/>
                    <w:right w:w="0" w:type="dxa"/>
                  </w:tcMar>
                  <w:vAlign w:val="center"/>
                </w:tcPr>
                <w:p w14:paraId="1F94313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45.1</w:t>
                  </w:r>
                </w:p>
              </w:tc>
              <w:tc>
                <w:tcPr>
                  <w:tcW w:w="475" w:type="dxa"/>
                  <w:shd w:val="clear" w:color="auto" w:fill="FFFFFF"/>
                  <w:tcMar>
                    <w:top w:w="0" w:type="dxa"/>
                    <w:left w:w="0" w:type="dxa"/>
                    <w:bottom w:w="0" w:type="dxa"/>
                    <w:right w:w="0" w:type="dxa"/>
                  </w:tcMar>
                  <w:vAlign w:val="center"/>
                </w:tcPr>
                <w:p w14:paraId="60D9B7B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44.8</w:t>
                  </w:r>
                </w:p>
              </w:tc>
              <w:tc>
                <w:tcPr>
                  <w:tcW w:w="452" w:type="dxa"/>
                  <w:vMerge w:val="restart"/>
                  <w:shd w:val="clear" w:color="auto" w:fill="FFFFFF"/>
                  <w:tcMar>
                    <w:top w:w="0" w:type="dxa"/>
                    <w:left w:w="0" w:type="dxa"/>
                    <w:bottom w:w="0" w:type="dxa"/>
                    <w:right w:w="0" w:type="dxa"/>
                  </w:tcMar>
                  <w:vAlign w:val="center"/>
                </w:tcPr>
                <w:p w14:paraId="0C15ECA1">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昼间</w:t>
                  </w:r>
                </w:p>
              </w:tc>
              <w:tc>
                <w:tcPr>
                  <w:tcW w:w="457" w:type="dxa"/>
                  <w:shd w:val="clear" w:color="auto" w:fill="FFFFFF"/>
                  <w:tcMar>
                    <w:top w:w="0" w:type="dxa"/>
                    <w:left w:w="0" w:type="dxa"/>
                    <w:bottom w:w="0" w:type="dxa"/>
                    <w:right w:w="0" w:type="dxa"/>
                  </w:tcMar>
                  <w:vAlign w:val="center"/>
                </w:tcPr>
                <w:p w14:paraId="71556A7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57" w:type="dxa"/>
                  <w:shd w:val="clear" w:color="auto" w:fill="FFFFFF"/>
                  <w:tcMar>
                    <w:top w:w="0" w:type="dxa"/>
                    <w:left w:w="0" w:type="dxa"/>
                    <w:bottom w:w="0" w:type="dxa"/>
                    <w:right w:w="0" w:type="dxa"/>
                  </w:tcMar>
                  <w:vAlign w:val="center"/>
                </w:tcPr>
                <w:p w14:paraId="6BBE6EC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57" w:type="dxa"/>
                  <w:shd w:val="clear" w:color="auto" w:fill="FFFFFF"/>
                  <w:tcMar>
                    <w:top w:w="0" w:type="dxa"/>
                    <w:left w:w="0" w:type="dxa"/>
                    <w:bottom w:w="0" w:type="dxa"/>
                    <w:right w:w="0" w:type="dxa"/>
                  </w:tcMar>
                  <w:vAlign w:val="center"/>
                </w:tcPr>
                <w:p w14:paraId="541D753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57" w:type="dxa"/>
                  <w:shd w:val="clear" w:color="auto" w:fill="FFFFFF"/>
                  <w:tcMar>
                    <w:top w:w="0" w:type="dxa"/>
                    <w:left w:w="0" w:type="dxa"/>
                    <w:bottom w:w="0" w:type="dxa"/>
                    <w:right w:w="0" w:type="dxa"/>
                  </w:tcMar>
                  <w:vAlign w:val="center"/>
                </w:tcPr>
                <w:p w14:paraId="7525D10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84" w:type="dxa"/>
                  <w:shd w:val="clear" w:color="auto" w:fill="FFFFFF"/>
                  <w:tcMar>
                    <w:top w:w="0" w:type="dxa"/>
                    <w:left w:w="0" w:type="dxa"/>
                    <w:bottom w:w="0" w:type="dxa"/>
                    <w:right w:w="0" w:type="dxa"/>
                  </w:tcMar>
                  <w:vAlign w:val="center"/>
                </w:tcPr>
                <w:p w14:paraId="3A23FAD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23.7</w:t>
                  </w:r>
                </w:p>
              </w:tc>
              <w:tc>
                <w:tcPr>
                  <w:tcW w:w="484" w:type="dxa"/>
                  <w:shd w:val="clear" w:color="auto" w:fill="FFFFFF"/>
                  <w:tcMar>
                    <w:top w:w="0" w:type="dxa"/>
                    <w:left w:w="0" w:type="dxa"/>
                    <w:bottom w:w="0" w:type="dxa"/>
                    <w:right w:w="0" w:type="dxa"/>
                  </w:tcMar>
                  <w:vAlign w:val="center"/>
                </w:tcPr>
                <w:p w14:paraId="6FE6F7C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23.8</w:t>
                  </w:r>
                </w:p>
              </w:tc>
              <w:tc>
                <w:tcPr>
                  <w:tcW w:w="485" w:type="dxa"/>
                  <w:shd w:val="clear" w:color="auto" w:fill="FFFFFF"/>
                  <w:tcMar>
                    <w:top w:w="0" w:type="dxa"/>
                    <w:left w:w="0" w:type="dxa"/>
                    <w:bottom w:w="0" w:type="dxa"/>
                    <w:right w:w="0" w:type="dxa"/>
                  </w:tcMar>
                  <w:vAlign w:val="center"/>
                </w:tcPr>
                <w:p w14:paraId="7D006E5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24.1</w:t>
                  </w:r>
                </w:p>
              </w:tc>
              <w:tc>
                <w:tcPr>
                  <w:tcW w:w="486" w:type="dxa"/>
                  <w:shd w:val="clear" w:color="auto" w:fill="FFFFFF"/>
                  <w:tcMar>
                    <w:top w:w="0" w:type="dxa"/>
                    <w:left w:w="0" w:type="dxa"/>
                    <w:bottom w:w="0" w:type="dxa"/>
                    <w:right w:w="0" w:type="dxa"/>
                  </w:tcMar>
                  <w:vAlign w:val="center"/>
                </w:tcPr>
                <w:p w14:paraId="6F3E352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23.8</w:t>
                  </w:r>
                </w:p>
              </w:tc>
              <w:tc>
                <w:tcPr>
                  <w:tcW w:w="669" w:type="dxa"/>
                  <w:shd w:val="clear" w:color="auto" w:fill="FFFFFF"/>
                  <w:tcMar>
                    <w:top w:w="0" w:type="dxa"/>
                    <w:left w:w="0" w:type="dxa"/>
                    <w:bottom w:w="0" w:type="dxa"/>
                    <w:right w:w="0" w:type="dxa"/>
                  </w:tcMar>
                  <w:vAlign w:val="center"/>
                </w:tcPr>
                <w:p w14:paraId="3FF98F2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3680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037A1C0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575" w:type="dxa"/>
                  <w:shd w:val="clear" w:color="auto" w:fill="FFFFFF"/>
                  <w:tcMar>
                    <w:top w:w="0" w:type="dxa"/>
                    <w:left w:w="0" w:type="dxa"/>
                    <w:bottom w:w="0" w:type="dxa"/>
                    <w:right w:w="0" w:type="dxa"/>
                  </w:tcMar>
                  <w:vAlign w:val="center"/>
                </w:tcPr>
                <w:p w14:paraId="1009D5E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桃园科技-2#车间</w:t>
                  </w:r>
                </w:p>
              </w:tc>
              <w:tc>
                <w:tcPr>
                  <w:tcW w:w="550" w:type="dxa"/>
                  <w:shd w:val="clear" w:color="auto" w:fill="FFFFFF"/>
                  <w:tcMar>
                    <w:top w:w="0" w:type="dxa"/>
                    <w:left w:w="0" w:type="dxa"/>
                    <w:bottom w:w="0" w:type="dxa"/>
                    <w:right w:w="0" w:type="dxa"/>
                  </w:tcMar>
                  <w:vAlign w:val="center"/>
                </w:tcPr>
                <w:p w14:paraId="15B4B70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注塑机</w:t>
                  </w:r>
                </w:p>
              </w:tc>
              <w:tc>
                <w:tcPr>
                  <w:tcW w:w="420" w:type="dxa"/>
                  <w:shd w:val="clear" w:color="auto" w:fill="FFFFFF"/>
                  <w:tcMar>
                    <w:top w:w="0" w:type="dxa"/>
                    <w:left w:w="0" w:type="dxa"/>
                    <w:bottom w:w="0" w:type="dxa"/>
                    <w:right w:w="0" w:type="dxa"/>
                  </w:tcMar>
                  <w:vAlign w:val="center"/>
                </w:tcPr>
                <w:p w14:paraId="5E271FF5">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51" w:type="dxa"/>
                  <w:shd w:val="clear" w:color="auto" w:fill="FFFFFF"/>
                  <w:tcMar>
                    <w:top w:w="0" w:type="dxa"/>
                    <w:left w:w="0" w:type="dxa"/>
                    <w:bottom w:w="0" w:type="dxa"/>
                    <w:right w:w="0" w:type="dxa"/>
                  </w:tcMar>
                  <w:vAlign w:val="center"/>
                </w:tcPr>
                <w:p w14:paraId="383D3A0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c>
                <w:tcPr>
                  <w:tcW w:w="563" w:type="dxa"/>
                  <w:vMerge w:val="continue"/>
                  <w:shd w:val="clear" w:color="auto" w:fill="FFFFFF"/>
                  <w:tcMar>
                    <w:top w:w="0" w:type="dxa"/>
                    <w:left w:w="0" w:type="dxa"/>
                    <w:bottom w:w="0" w:type="dxa"/>
                    <w:right w:w="0" w:type="dxa"/>
                  </w:tcMar>
                  <w:vAlign w:val="center"/>
                </w:tcPr>
                <w:p w14:paraId="5D20FD58">
                  <w:pPr>
                    <w:jc w:val="center"/>
                    <w:rPr>
                      <w:rFonts w:hint="default" w:ascii="Times New Roman" w:hAnsi="Times New Roman" w:eastAsia="宋体" w:cs="Times New Roman"/>
                      <w:sz w:val="21"/>
                      <w:szCs w:val="21"/>
                    </w:rPr>
                  </w:pPr>
                </w:p>
              </w:tc>
              <w:tc>
                <w:tcPr>
                  <w:tcW w:w="580" w:type="dxa"/>
                  <w:shd w:val="clear" w:color="auto" w:fill="FFFFFF"/>
                  <w:tcMar>
                    <w:top w:w="0" w:type="dxa"/>
                    <w:left w:w="0" w:type="dxa"/>
                    <w:bottom w:w="0" w:type="dxa"/>
                    <w:right w:w="0" w:type="dxa"/>
                  </w:tcMar>
                  <w:vAlign w:val="center"/>
                </w:tcPr>
                <w:p w14:paraId="28F2443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w:t>
                  </w:r>
                </w:p>
              </w:tc>
              <w:tc>
                <w:tcPr>
                  <w:tcW w:w="580" w:type="dxa"/>
                  <w:shd w:val="clear" w:color="auto" w:fill="FFFFFF"/>
                  <w:tcMar>
                    <w:top w:w="0" w:type="dxa"/>
                    <w:left w:w="0" w:type="dxa"/>
                    <w:bottom w:w="0" w:type="dxa"/>
                    <w:right w:w="0" w:type="dxa"/>
                  </w:tcMar>
                  <w:vAlign w:val="center"/>
                </w:tcPr>
                <w:p w14:paraId="36D4EDD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580" w:type="dxa"/>
                  <w:shd w:val="clear" w:color="auto" w:fill="FFFFFF"/>
                  <w:tcMar>
                    <w:top w:w="0" w:type="dxa"/>
                    <w:left w:w="0" w:type="dxa"/>
                    <w:bottom w:w="0" w:type="dxa"/>
                    <w:right w:w="0" w:type="dxa"/>
                  </w:tcMar>
                  <w:vAlign w:val="center"/>
                </w:tcPr>
                <w:p w14:paraId="2F7344D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479" w:type="dxa"/>
                  <w:shd w:val="clear" w:color="auto" w:fill="FFFFFF"/>
                  <w:tcMar>
                    <w:top w:w="0" w:type="dxa"/>
                    <w:left w:w="0" w:type="dxa"/>
                    <w:bottom w:w="0" w:type="dxa"/>
                    <w:right w:w="0" w:type="dxa"/>
                  </w:tcMar>
                  <w:vAlign w:val="center"/>
                </w:tcPr>
                <w:p w14:paraId="4902551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35.6</w:t>
                  </w:r>
                </w:p>
              </w:tc>
              <w:tc>
                <w:tcPr>
                  <w:tcW w:w="479" w:type="dxa"/>
                  <w:shd w:val="clear" w:color="auto" w:fill="FFFFFF"/>
                  <w:tcMar>
                    <w:top w:w="0" w:type="dxa"/>
                    <w:left w:w="0" w:type="dxa"/>
                    <w:bottom w:w="0" w:type="dxa"/>
                    <w:right w:w="0" w:type="dxa"/>
                  </w:tcMar>
                  <w:vAlign w:val="center"/>
                </w:tcPr>
                <w:p w14:paraId="0987FA7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35.5</w:t>
                  </w:r>
                </w:p>
              </w:tc>
              <w:tc>
                <w:tcPr>
                  <w:tcW w:w="479" w:type="dxa"/>
                  <w:shd w:val="clear" w:color="auto" w:fill="FFFFFF"/>
                  <w:tcMar>
                    <w:top w:w="0" w:type="dxa"/>
                    <w:left w:w="0" w:type="dxa"/>
                    <w:bottom w:w="0" w:type="dxa"/>
                    <w:right w:w="0" w:type="dxa"/>
                  </w:tcMar>
                  <w:vAlign w:val="center"/>
                </w:tcPr>
                <w:p w14:paraId="4EEF06D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19.6</w:t>
                  </w:r>
                </w:p>
              </w:tc>
              <w:tc>
                <w:tcPr>
                  <w:tcW w:w="480" w:type="dxa"/>
                  <w:shd w:val="clear" w:color="auto" w:fill="FFFFFF"/>
                  <w:tcMar>
                    <w:top w:w="0" w:type="dxa"/>
                    <w:left w:w="0" w:type="dxa"/>
                    <w:bottom w:w="0" w:type="dxa"/>
                    <w:right w:w="0" w:type="dxa"/>
                  </w:tcMar>
                  <w:vAlign w:val="center"/>
                </w:tcPr>
                <w:p w14:paraId="19F7B77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20.7</w:t>
                  </w:r>
                </w:p>
              </w:tc>
              <w:tc>
                <w:tcPr>
                  <w:tcW w:w="473" w:type="dxa"/>
                  <w:shd w:val="clear" w:color="auto" w:fill="FFFFFF"/>
                  <w:tcMar>
                    <w:top w:w="0" w:type="dxa"/>
                    <w:left w:w="0" w:type="dxa"/>
                    <w:bottom w:w="0" w:type="dxa"/>
                    <w:right w:w="0" w:type="dxa"/>
                  </w:tcMar>
                  <w:vAlign w:val="center"/>
                </w:tcPr>
                <w:p w14:paraId="25FD77D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47.8</w:t>
                  </w:r>
                </w:p>
              </w:tc>
              <w:tc>
                <w:tcPr>
                  <w:tcW w:w="473" w:type="dxa"/>
                  <w:shd w:val="clear" w:color="auto" w:fill="FFFFFF"/>
                  <w:tcMar>
                    <w:top w:w="0" w:type="dxa"/>
                    <w:left w:w="0" w:type="dxa"/>
                    <w:bottom w:w="0" w:type="dxa"/>
                    <w:right w:w="0" w:type="dxa"/>
                  </w:tcMar>
                  <w:vAlign w:val="center"/>
                </w:tcPr>
                <w:p w14:paraId="410C1AC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47.8</w:t>
                  </w:r>
                </w:p>
              </w:tc>
              <w:tc>
                <w:tcPr>
                  <w:tcW w:w="473" w:type="dxa"/>
                  <w:shd w:val="clear" w:color="auto" w:fill="FFFFFF"/>
                  <w:tcMar>
                    <w:top w:w="0" w:type="dxa"/>
                    <w:left w:w="0" w:type="dxa"/>
                    <w:bottom w:w="0" w:type="dxa"/>
                    <w:right w:w="0" w:type="dxa"/>
                  </w:tcMar>
                  <w:vAlign w:val="center"/>
                </w:tcPr>
                <w:p w14:paraId="445F064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47.8</w:t>
                  </w:r>
                </w:p>
              </w:tc>
              <w:tc>
                <w:tcPr>
                  <w:tcW w:w="475" w:type="dxa"/>
                  <w:shd w:val="clear" w:color="auto" w:fill="FFFFFF"/>
                  <w:tcMar>
                    <w:top w:w="0" w:type="dxa"/>
                    <w:left w:w="0" w:type="dxa"/>
                    <w:bottom w:w="0" w:type="dxa"/>
                    <w:right w:w="0" w:type="dxa"/>
                  </w:tcMar>
                  <w:vAlign w:val="center"/>
                </w:tcPr>
                <w:p w14:paraId="4AF6E60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47.8</w:t>
                  </w:r>
                </w:p>
              </w:tc>
              <w:tc>
                <w:tcPr>
                  <w:tcW w:w="452" w:type="dxa"/>
                  <w:vMerge w:val="continue"/>
                  <w:shd w:val="clear" w:color="auto" w:fill="FFFFFF"/>
                  <w:tcMar>
                    <w:top w:w="0" w:type="dxa"/>
                    <w:left w:w="0" w:type="dxa"/>
                    <w:bottom w:w="0" w:type="dxa"/>
                    <w:right w:w="0" w:type="dxa"/>
                  </w:tcMar>
                  <w:vAlign w:val="center"/>
                </w:tcPr>
                <w:p w14:paraId="14891E58">
                  <w:pPr>
                    <w:jc w:val="center"/>
                    <w:rPr>
                      <w:rFonts w:hint="default" w:ascii="Times New Roman" w:hAnsi="Times New Roman" w:eastAsia="宋体" w:cs="Times New Roman"/>
                      <w:sz w:val="21"/>
                      <w:szCs w:val="21"/>
                    </w:rPr>
                  </w:pPr>
                </w:p>
              </w:tc>
              <w:tc>
                <w:tcPr>
                  <w:tcW w:w="457" w:type="dxa"/>
                  <w:shd w:val="clear" w:color="auto" w:fill="FFFFFF"/>
                  <w:tcMar>
                    <w:top w:w="0" w:type="dxa"/>
                    <w:left w:w="0" w:type="dxa"/>
                    <w:bottom w:w="0" w:type="dxa"/>
                    <w:right w:w="0" w:type="dxa"/>
                  </w:tcMar>
                  <w:vAlign w:val="center"/>
                </w:tcPr>
                <w:p w14:paraId="73DB797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57" w:type="dxa"/>
                  <w:shd w:val="clear" w:color="auto" w:fill="FFFFFF"/>
                  <w:tcMar>
                    <w:top w:w="0" w:type="dxa"/>
                    <w:left w:w="0" w:type="dxa"/>
                    <w:bottom w:w="0" w:type="dxa"/>
                    <w:right w:w="0" w:type="dxa"/>
                  </w:tcMar>
                  <w:vAlign w:val="center"/>
                </w:tcPr>
                <w:p w14:paraId="0E89DD9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57" w:type="dxa"/>
                  <w:shd w:val="clear" w:color="auto" w:fill="FFFFFF"/>
                  <w:tcMar>
                    <w:top w:w="0" w:type="dxa"/>
                    <w:left w:w="0" w:type="dxa"/>
                    <w:bottom w:w="0" w:type="dxa"/>
                    <w:right w:w="0" w:type="dxa"/>
                  </w:tcMar>
                  <w:vAlign w:val="center"/>
                </w:tcPr>
                <w:p w14:paraId="4CEA399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57" w:type="dxa"/>
                  <w:shd w:val="clear" w:color="auto" w:fill="FFFFFF"/>
                  <w:tcMar>
                    <w:top w:w="0" w:type="dxa"/>
                    <w:left w:w="0" w:type="dxa"/>
                    <w:bottom w:w="0" w:type="dxa"/>
                    <w:right w:w="0" w:type="dxa"/>
                  </w:tcMar>
                  <w:vAlign w:val="center"/>
                </w:tcPr>
                <w:p w14:paraId="5127954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84" w:type="dxa"/>
                  <w:shd w:val="clear" w:color="auto" w:fill="FFFFFF"/>
                  <w:tcMar>
                    <w:top w:w="0" w:type="dxa"/>
                    <w:left w:w="0" w:type="dxa"/>
                    <w:bottom w:w="0" w:type="dxa"/>
                    <w:right w:w="0" w:type="dxa"/>
                  </w:tcMar>
                  <w:vAlign w:val="center"/>
                </w:tcPr>
                <w:p w14:paraId="7D32399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26.8</w:t>
                  </w:r>
                </w:p>
              </w:tc>
              <w:tc>
                <w:tcPr>
                  <w:tcW w:w="484" w:type="dxa"/>
                  <w:shd w:val="clear" w:color="auto" w:fill="FFFFFF"/>
                  <w:tcMar>
                    <w:top w:w="0" w:type="dxa"/>
                    <w:left w:w="0" w:type="dxa"/>
                    <w:bottom w:w="0" w:type="dxa"/>
                    <w:right w:w="0" w:type="dxa"/>
                  </w:tcMar>
                  <w:vAlign w:val="center"/>
                </w:tcPr>
                <w:p w14:paraId="24ADCE9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26.8</w:t>
                  </w:r>
                </w:p>
              </w:tc>
              <w:tc>
                <w:tcPr>
                  <w:tcW w:w="485" w:type="dxa"/>
                  <w:shd w:val="clear" w:color="auto" w:fill="FFFFFF"/>
                  <w:tcMar>
                    <w:top w:w="0" w:type="dxa"/>
                    <w:left w:w="0" w:type="dxa"/>
                    <w:bottom w:w="0" w:type="dxa"/>
                    <w:right w:w="0" w:type="dxa"/>
                  </w:tcMar>
                  <w:vAlign w:val="center"/>
                </w:tcPr>
                <w:p w14:paraId="7C20E99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26.8</w:t>
                  </w:r>
                </w:p>
              </w:tc>
              <w:tc>
                <w:tcPr>
                  <w:tcW w:w="486" w:type="dxa"/>
                  <w:shd w:val="clear" w:color="auto" w:fill="FFFFFF"/>
                  <w:tcMar>
                    <w:top w:w="0" w:type="dxa"/>
                    <w:left w:w="0" w:type="dxa"/>
                    <w:bottom w:w="0" w:type="dxa"/>
                    <w:right w:w="0" w:type="dxa"/>
                  </w:tcMar>
                  <w:vAlign w:val="center"/>
                </w:tcPr>
                <w:p w14:paraId="2C19BB5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26.8</w:t>
                  </w:r>
                </w:p>
              </w:tc>
              <w:tc>
                <w:tcPr>
                  <w:tcW w:w="669" w:type="dxa"/>
                  <w:shd w:val="clear" w:color="auto" w:fill="FFFFFF"/>
                  <w:tcMar>
                    <w:top w:w="0" w:type="dxa"/>
                    <w:left w:w="0" w:type="dxa"/>
                    <w:bottom w:w="0" w:type="dxa"/>
                    <w:right w:w="0" w:type="dxa"/>
                  </w:tcMar>
                  <w:vAlign w:val="center"/>
                </w:tcPr>
                <w:p w14:paraId="51F30C7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5EAF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8" w:type="dxa"/>
                  <w:shd w:val="clear" w:color="auto" w:fill="FFFFFF"/>
                  <w:tcMar>
                    <w:top w:w="0" w:type="dxa"/>
                    <w:left w:w="0" w:type="dxa"/>
                    <w:bottom w:w="0" w:type="dxa"/>
                    <w:right w:w="0" w:type="dxa"/>
                  </w:tcMar>
                  <w:vAlign w:val="center"/>
                </w:tcPr>
                <w:p w14:paraId="5768C3D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575" w:type="dxa"/>
                  <w:shd w:val="clear" w:color="auto" w:fill="FFFFFF"/>
                  <w:tcMar>
                    <w:top w:w="0" w:type="dxa"/>
                    <w:left w:w="0" w:type="dxa"/>
                    <w:bottom w:w="0" w:type="dxa"/>
                    <w:right w:w="0" w:type="dxa"/>
                  </w:tcMar>
                  <w:vAlign w:val="center"/>
                </w:tcPr>
                <w:p w14:paraId="645B63E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桃园科技-2#车间</w:t>
                  </w:r>
                </w:p>
              </w:tc>
              <w:tc>
                <w:tcPr>
                  <w:tcW w:w="550" w:type="dxa"/>
                  <w:shd w:val="clear" w:color="auto" w:fill="FFFFFF"/>
                  <w:tcMar>
                    <w:top w:w="0" w:type="dxa"/>
                    <w:left w:w="0" w:type="dxa"/>
                    <w:bottom w:w="0" w:type="dxa"/>
                    <w:right w:w="0" w:type="dxa"/>
                  </w:tcMar>
                  <w:vAlign w:val="center"/>
                </w:tcPr>
                <w:p w14:paraId="7074CC7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自动走板式基板裁板机</w:t>
                  </w:r>
                </w:p>
              </w:tc>
              <w:tc>
                <w:tcPr>
                  <w:tcW w:w="420" w:type="dxa"/>
                  <w:shd w:val="clear" w:color="auto" w:fill="FFFFFF"/>
                  <w:tcMar>
                    <w:top w:w="0" w:type="dxa"/>
                    <w:left w:w="0" w:type="dxa"/>
                    <w:bottom w:w="0" w:type="dxa"/>
                    <w:right w:w="0" w:type="dxa"/>
                  </w:tcMar>
                  <w:vAlign w:val="center"/>
                </w:tcPr>
                <w:p w14:paraId="20F48A0A">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51" w:type="dxa"/>
                  <w:shd w:val="clear" w:color="auto" w:fill="FFFFFF"/>
                  <w:tcMar>
                    <w:top w:w="0" w:type="dxa"/>
                    <w:left w:w="0" w:type="dxa"/>
                    <w:bottom w:w="0" w:type="dxa"/>
                    <w:right w:w="0" w:type="dxa"/>
                  </w:tcMar>
                  <w:vAlign w:val="center"/>
                </w:tcPr>
                <w:p w14:paraId="18A74AF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563" w:type="dxa"/>
                  <w:vMerge w:val="continue"/>
                  <w:shd w:val="clear" w:color="auto" w:fill="FFFFFF"/>
                  <w:tcMar>
                    <w:top w:w="0" w:type="dxa"/>
                    <w:left w:w="0" w:type="dxa"/>
                    <w:bottom w:w="0" w:type="dxa"/>
                    <w:right w:w="0" w:type="dxa"/>
                  </w:tcMar>
                  <w:vAlign w:val="center"/>
                </w:tcPr>
                <w:p w14:paraId="33C43FDB">
                  <w:pPr>
                    <w:jc w:val="center"/>
                    <w:rPr>
                      <w:rFonts w:hint="default" w:ascii="Times New Roman" w:hAnsi="Times New Roman" w:eastAsia="宋体" w:cs="Times New Roman"/>
                      <w:sz w:val="21"/>
                      <w:szCs w:val="21"/>
                    </w:rPr>
                  </w:pPr>
                </w:p>
              </w:tc>
              <w:tc>
                <w:tcPr>
                  <w:tcW w:w="580" w:type="dxa"/>
                  <w:shd w:val="clear" w:color="auto" w:fill="FFFFFF"/>
                  <w:tcMar>
                    <w:top w:w="0" w:type="dxa"/>
                    <w:left w:w="0" w:type="dxa"/>
                    <w:bottom w:w="0" w:type="dxa"/>
                    <w:right w:w="0" w:type="dxa"/>
                  </w:tcMar>
                  <w:vAlign w:val="center"/>
                </w:tcPr>
                <w:p w14:paraId="0B53E8D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15.9</w:t>
                  </w:r>
                </w:p>
              </w:tc>
              <w:tc>
                <w:tcPr>
                  <w:tcW w:w="580" w:type="dxa"/>
                  <w:shd w:val="clear" w:color="auto" w:fill="FFFFFF"/>
                  <w:tcMar>
                    <w:top w:w="0" w:type="dxa"/>
                    <w:left w:w="0" w:type="dxa"/>
                    <w:bottom w:w="0" w:type="dxa"/>
                    <w:right w:w="0" w:type="dxa"/>
                  </w:tcMar>
                  <w:vAlign w:val="center"/>
                </w:tcPr>
                <w:p w14:paraId="4520F6B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w:t>
                  </w:r>
                </w:p>
              </w:tc>
              <w:tc>
                <w:tcPr>
                  <w:tcW w:w="580" w:type="dxa"/>
                  <w:shd w:val="clear" w:color="auto" w:fill="FFFFFF"/>
                  <w:tcMar>
                    <w:top w:w="0" w:type="dxa"/>
                    <w:left w:w="0" w:type="dxa"/>
                    <w:bottom w:w="0" w:type="dxa"/>
                    <w:right w:w="0" w:type="dxa"/>
                  </w:tcMar>
                  <w:vAlign w:val="center"/>
                </w:tcPr>
                <w:p w14:paraId="3FA9AF5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479" w:type="dxa"/>
                  <w:shd w:val="clear" w:color="auto" w:fill="FFFFFF"/>
                  <w:tcMar>
                    <w:top w:w="0" w:type="dxa"/>
                    <w:left w:w="0" w:type="dxa"/>
                    <w:bottom w:w="0" w:type="dxa"/>
                    <w:right w:w="0" w:type="dxa"/>
                  </w:tcMar>
                  <w:vAlign w:val="center"/>
                </w:tcPr>
                <w:p w14:paraId="1048C4D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31.0</w:t>
                  </w:r>
                </w:p>
              </w:tc>
              <w:tc>
                <w:tcPr>
                  <w:tcW w:w="479" w:type="dxa"/>
                  <w:shd w:val="clear" w:color="auto" w:fill="FFFFFF"/>
                  <w:tcMar>
                    <w:top w:w="0" w:type="dxa"/>
                    <w:left w:w="0" w:type="dxa"/>
                    <w:bottom w:w="0" w:type="dxa"/>
                    <w:right w:w="0" w:type="dxa"/>
                  </w:tcMar>
                  <w:vAlign w:val="center"/>
                </w:tcPr>
                <w:p w14:paraId="2FC5A22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22.8</w:t>
                  </w:r>
                </w:p>
              </w:tc>
              <w:tc>
                <w:tcPr>
                  <w:tcW w:w="479" w:type="dxa"/>
                  <w:shd w:val="clear" w:color="auto" w:fill="FFFFFF"/>
                  <w:tcMar>
                    <w:top w:w="0" w:type="dxa"/>
                    <w:left w:w="0" w:type="dxa"/>
                    <w:bottom w:w="0" w:type="dxa"/>
                    <w:right w:w="0" w:type="dxa"/>
                  </w:tcMar>
                  <w:vAlign w:val="center"/>
                </w:tcPr>
                <w:p w14:paraId="015C3B9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32.8</w:t>
                  </w:r>
                </w:p>
              </w:tc>
              <w:tc>
                <w:tcPr>
                  <w:tcW w:w="480" w:type="dxa"/>
                  <w:shd w:val="clear" w:color="auto" w:fill="FFFFFF"/>
                  <w:tcMar>
                    <w:top w:w="0" w:type="dxa"/>
                    <w:left w:w="0" w:type="dxa"/>
                    <w:bottom w:w="0" w:type="dxa"/>
                    <w:right w:w="0" w:type="dxa"/>
                  </w:tcMar>
                  <w:vAlign w:val="center"/>
                </w:tcPr>
                <w:p w14:paraId="771C88C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33.9</w:t>
                  </w:r>
                </w:p>
              </w:tc>
              <w:tc>
                <w:tcPr>
                  <w:tcW w:w="473" w:type="dxa"/>
                  <w:shd w:val="clear" w:color="auto" w:fill="FFFFFF"/>
                  <w:tcMar>
                    <w:top w:w="0" w:type="dxa"/>
                    <w:left w:w="0" w:type="dxa"/>
                    <w:bottom w:w="0" w:type="dxa"/>
                    <w:right w:w="0" w:type="dxa"/>
                  </w:tcMar>
                  <w:vAlign w:val="center"/>
                </w:tcPr>
                <w:p w14:paraId="1BFB720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59.8</w:t>
                  </w:r>
                </w:p>
              </w:tc>
              <w:tc>
                <w:tcPr>
                  <w:tcW w:w="473" w:type="dxa"/>
                  <w:shd w:val="clear" w:color="auto" w:fill="FFFFFF"/>
                  <w:tcMar>
                    <w:top w:w="0" w:type="dxa"/>
                    <w:left w:w="0" w:type="dxa"/>
                    <w:bottom w:w="0" w:type="dxa"/>
                    <w:right w:w="0" w:type="dxa"/>
                  </w:tcMar>
                  <w:vAlign w:val="center"/>
                </w:tcPr>
                <w:p w14:paraId="05D36D4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59.8</w:t>
                  </w:r>
                </w:p>
              </w:tc>
              <w:tc>
                <w:tcPr>
                  <w:tcW w:w="473" w:type="dxa"/>
                  <w:shd w:val="clear" w:color="auto" w:fill="FFFFFF"/>
                  <w:tcMar>
                    <w:top w:w="0" w:type="dxa"/>
                    <w:left w:w="0" w:type="dxa"/>
                    <w:bottom w:w="0" w:type="dxa"/>
                    <w:right w:w="0" w:type="dxa"/>
                  </w:tcMar>
                  <w:vAlign w:val="center"/>
                </w:tcPr>
                <w:p w14:paraId="09E1989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59.8</w:t>
                  </w:r>
                </w:p>
              </w:tc>
              <w:tc>
                <w:tcPr>
                  <w:tcW w:w="475" w:type="dxa"/>
                  <w:shd w:val="clear" w:color="auto" w:fill="FFFFFF"/>
                  <w:tcMar>
                    <w:top w:w="0" w:type="dxa"/>
                    <w:left w:w="0" w:type="dxa"/>
                    <w:bottom w:w="0" w:type="dxa"/>
                    <w:right w:w="0" w:type="dxa"/>
                  </w:tcMar>
                  <w:vAlign w:val="center"/>
                </w:tcPr>
                <w:p w14:paraId="2764813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59.8</w:t>
                  </w:r>
                </w:p>
              </w:tc>
              <w:tc>
                <w:tcPr>
                  <w:tcW w:w="452" w:type="dxa"/>
                  <w:vMerge w:val="continue"/>
                  <w:shd w:val="clear" w:color="auto" w:fill="FFFFFF"/>
                  <w:tcMar>
                    <w:top w:w="0" w:type="dxa"/>
                    <w:left w:w="0" w:type="dxa"/>
                    <w:bottom w:w="0" w:type="dxa"/>
                    <w:right w:w="0" w:type="dxa"/>
                  </w:tcMar>
                  <w:vAlign w:val="center"/>
                </w:tcPr>
                <w:p w14:paraId="51C17266">
                  <w:pPr>
                    <w:jc w:val="center"/>
                    <w:rPr>
                      <w:rFonts w:hint="default" w:ascii="Times New Roman" w:hAnsi="Times New Roman" w:eastAsia="宋体" w:cs="Times New Roman"/>
                      <w:sz w:val="21"/>
                      <w:szCs w:val="21"/>
                    </w:rPr>
                  </w:pPr>
                </w:p>
              </w:tc>
              <w:tc>
                <w:tcPr>
                  <w:tcW w:w="457" w:type="dxa"/>
                  <w:shd w:val="clear" w:color="auto" w:fill="FFFFFF"/>
                  <w:tcMar>
                    <w:top w:w="0" w:type="dxa"/>
                    <w:left w:w="0" w:type="dxa"/>
                    <w:bottom w:w="0" w:type="dxa"/>
                    <w:right w:w="0" w:type="dxa"/>
                  </w:tcMar>
                  <w:vAlign w:val="center"/>
                </w:tcPr>
                <w:p w14:paraId="2BB419D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57" w:type="dxa"/>
                  <w:shd w:val="clear" w:color="auto" w:fill="FFFFFF"/>
                  <w:tcMar>
                    <w:top w:w="0" w:type="dxa"/>
                    <w:left w:w="0" w:type="dxa"/>
                    <w:bottom w:w="0" w:type="dxa"/>
                    <w:right w:w="0" w:type="dxa"/>
                  </w:tcMar>
                  <w:vAlign w:val="center"/>
                </w:tcPr>
                <w:p w14:paraId="7B765AD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57" w:type="dxa"/>
                  <w:shd w:val="clear" w:color="auto" w:fill="FFFFFF"/>
                  <w:tcMar>
                    <w:top w:w="0" w:type="dxa"/>
                    <w:left w:w="0" w:type="dxa"/>
                    <w:bottom w:w="0" w:type="dxa"/>
                    <w:right w:w="0" w:type="dxa"/>
                  </w:tcMar>
                  <w:vAlign w:val="center"/>
                </w:tcPr>
                <w:p w14:paraId="0C1D958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57" w:type="dxa"/>
                  <w:shd w:val="clear" w:color="auto" w:fill="FFFFFF"/>
                  <w:tcMar>
                    <w:top w:w="0" w:type="dxa"/>
                    <w:left w:w="0" w:type="dxa"/>
                    <w:bottom w:w="0" w:type="dxa"/>
                    <w:right w:w="0" w:type="dxa"/>
                  </w:tcMar>
                  <w:vAlign w:val="center"/>
                </w:tcPr>
                <w:p w14:paraId="403BCE0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484" w:type="dxa"/>
                  <w:shd w:val="clear" w:color="auto" w:fill="FFFFFF"/>
                  <w:tcMar>
                    <w:top w:w="0" w:type="dxa"/>
                    <w:left w:w="0" w:type="dxa"/>
                    <w:bottom w:w="0" w:type="dxa"/>
                    <w:right w:w="0" w:type="dxa"/>
                  </w:tcMar>
                  <w:vAlign w:val="center"/>
                </w:tcPr>
                <w:p w14:paraId="48208C3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38.8</w:t>
                  </w:r>
                </w:p>
              </w:tc>
              <w:tc>
                <w:tcPr>
                  <w:tcW w:w="484" w:type="dxa"/>
                  <w:shd w:val="clear" w:color="auto" w:fill="FFFFFF"/>
                  <w:tcMar>
                    <w:top w:w="0" w:type="dxa"/>
                    <w:left w:w="0" w:type="dxa"/>
                    <w:bottom w:w="0" w:type="dxa"/>
                    <w:right w:w="0" w:type="dxa"/>
                  </w:tcMar>
                  <w:vAlign w:val="center"/>
                </w:tcPr>
                <w:p w14:paraId="5E8D7D3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38.8</w:t>
                  </w:r>
                </w:p>
              </w:tc>
              <w:tc>
                <w:tcPr>
                  <w:tcW w:w="485" w:type="dxa"/>
                  <w:shd w:val="clear" w:color="auto" w:fill="FFFFFF"/>
                  <w:tcMar>
                    <w:top w:w="0" w:type="dxa"/>
                    <w:left w:w="0" w:type="dxa"/>
                    <w:bottom w:w="0" w:type="dxa"/>
                    <w:right w:w="0" w:type="dxa"/>
                  </w:tcMar>
                  <w:vAlign w:val="center"/>
                </w:tcPr>
                <w:p w14:paraId="687C04A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38.8</w:t>
                  </w:r>
                </w:p>
              </w:tc>
              <w:tc>
                <w:tcPr>
                  <w:tcW w:w="486" w:type="dxa"/>
                  <w:shd w:val="clear" w:color="auto" w:fill="FFFFFF"/>
                  <w:tcMar>
                    <w:top w:w="0" w:type="dxa"/>
                    <w:left w:w="0" w:type="dxa"/>
                    <w:bottom w:w="0" w:type="dxa"/>
                    <w:right w:w="0" w:type="dxa"/>
                  </w:tcMar>
                  <w:vAlign w:val="center"/>
                </w:tcPr>
                <w:p w14:paraId="6A73502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38.8</w:t>
                  </w:r>
                </w:p>
              </w:tc>
              <w:tc>
                <w:tcPr>
                  <w:tcW w:w="669" w:type="dxa"/>
                  <w:shd w:val="clear" w:color="auto" w:fill="FFFFFF"/>
                  <w:tcMar>
                    <w:top w:w="0" w:type="dxa"/>
                    <w:left w:w="0" w:type="dxa"/>
                    <w:bottom w:w="0" w:type="dxa"/>
                    <w:right w:w="0" w:type="dxa"/>
                  </w:tcMar>
                  <w:vAlign w:val="center"/>
                </w:tcPr>
                <w:p w14:paraId="203030D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bookmarkEnd w:id="13"/>
          </w:tbl>
          <w:p w14:paraId="3DFC1C43">
            <w:pPr>
              <w:rPr>
                <w:rFonts w:ascii="Times New Roman" w:hAnsi="Times New Roman" w:eastAsia="宋体" w:cs="Times New Roman"/>
                <w:color w:val="FF0000"/>
                <w:kern w:val="0"/>
                <w:sz w:val="24"/>
                <w:szCs w:val="24"/>
              </w:rPr>
            </w:pPr>
          </w:p>
        </w:tc>
      </w:tr>
    </w:tbl>
    <w:p w14:paraId="00B59692">
      <w:pPr>
        <w:pStyle w:val="4"/>
        <w:rPr>
          <w:rFonts w:hint="eastAsia"/>
          <w:color w:val="FF000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9071" w:type="dxa"/>
        <w:jc w:val="center"/>
        <w:tblLayout w:type="fixed"/>
        <w:tblCellMar>
          <w:top w:w="0" w:type="dxa"/>
          <w:left w:w="0" w:type="dxa"/>
          <w:bottom w:w="0" w:type="dxa"/>
          <w:right w:w="0" w:type="dxa"/>
        </w:tblCellMar>
      </w:tblPr>
      <w:tblGrid>
        <w:gridCol w:w="9071"/>
      </w:tblGrid>
      <w:tr w14:paraId="344ABF0B">
        <w:trPr>
          <w:trHeight w:val="13864" w:hRule="atLeast"/>
          <w:jc w:val="center"/>
        </w:trPr>
        <w:tc>
          <w:tcPr>
            <w:tcW w:w="90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8257B62">
            <w:pPr>
              <w:spacing w:line="360" w:lineRule="auto"/>
              <w:textAlignment w:val="center"/>
              <w:rPr>
                <w:rFonts w:ascii="Times New Roman" w:hAnsi="Times New Roman" w:eastAsia="宋体" w:cs="Times New Roman"/>
                <w:b/>
                <w:bCs/>
                <w:color w:val="auto"/>
                <w:sz w:val="24"/>
                <w:szCs w:val="24"/>
              </w:rPr>
            </w:pPr>
            <w:r>
              <w:rPr>
                <w:rFonts w:hint="eastAsia" w:ascii="Times New Roman" w:hAnsi="Times New Roman" w:cs="Times New Roman"/>
                <w:b/>
                <w:bCs/>
                <w:color w:val="auto"/>
                <w:sz w:val="24"/>
                <w:szCs w:val="20"/>
              </w:rPr>
              <w:t>4.2.3.3预测结果</w:t>
            </w:r>
          </w:p>
          <w:p w14:paraId="0A4E8945">
            <w:pPr>
              <w:pStyle w:val="22"/>
              <w:spacing w:line="360" w:lineRule="auto"/>
              <w:ind w:left="0" w:leftChars="0" w:firstLine="480"/>
              <w:rPr>
                <w:rFonts w:hAnsi="宋体" w:eastAsia="宋体" w:cs="宋体"/>
                <w:color w:val="FF0000"/>
                <w:sz w:val="24"/>
                <w:szCs w:val="24"/>
              </w:rPr>
            </w:pPr>
            <w:r>
              <w:rPr>
                <w:rFonts w:hint="eastAsia" w:hAnsi="宋体" w:eastAsia="宋体" w:cs="宋体"/>
                <w:color w:val="auto"/>
                <w:sz w:val="24"/>
                <w:szCs w:val="24"/>
              </w:rPr>
              <w:t>通过预测模型计算</w:t>
            </w:r>
            <w:r>
              <w:rPr>
                <w:rFonts w:ascii="Times New Roman" w:hAnsi="Times New Roman" w:eastAsia="宋体" w:cs="Times New Roman"/>
                <w:color w:val="auto"/>
                <w:sz w:val="24"/>
                <w:szCs w:val="24"/>
              </w:rPr>
              <w:t>，项目</w:t>
            </w:r>
            <w:r>
              <w:rPr>
                <w:rFonts w:hint="eastAsia" w:ascii="Times New Roman" w:hAnsi="Times New Roman" w:eastAsia="宋体" w:cs="Times New Roman"/>
                <w:color w:val="auto"/>
                <w:sz w:val="24"/>
                <w:szCs w:val="24"/>
                <w:lang w:val="en-US" w:eastAsia="zh-CN"/>
              </w:rPr>
              <w:t>厂</w:t>
            </w:r>
            <w:r>
              <w:rPr>
                <w:rFonts w:ascii="Times New Roman" w:hAnsi="Times New Roman" w:eastAsia="宋体" w:cs="Times New Roman"/>
                <w:color w:val="auto"/>
                <w:sz w:val="24"/>
                <w:szCs w:val="24"/>
              </w:rPr>
              <w:t>界噪声预测结果与达标分析见表</w:t>
            </w:r>
            <w:r>
              <w:rPr>
                <w:rFonts w:hint="eastAsia" w:ascii="Times New Roman" w:hAnsi="Times New Roman" w:eastAsia="宋体" w:cs="Times New Roman"/>
                <w:color w:val="auto"/>
                <w:sz w:val="24"/>
                <w:szCs w:val="24"/>
              </w:rPr>
              <w:t>4</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14</w:t>
            </w:r>
            <w:r>
              <w:rPr>
                <w:rFonts w:hint="eastAsia" w:ascii="Times New Roman" w:hAnsi="Times New Roman" w:eastAsia="宋体" w:cs="Times New Roman"/>
                <w:color w:val="auto"/>
                <w:sz w:val="24"/>
                <w:szCs w:val="24"/>
              </w:rPr>
              <w:t>。</w:t>
            </w:r>
          </w:p>
          <w:p w14:paraId="540B9ECC">
            <w:pPr>
              <w:pStyle w:val="7"/>
              <w:ind w:firstLine="0"/>
              <w:jc w:val="center"/>
              <w:textAlignment w:val="center"/>
              <w:rPr>
                <w:rFonts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rPr>
              <w:t>4-</w:t>
            </w:r>
            <w:r>
              <w:rPr>
                <w:rFonts w:hint="eastAsia" w:ascii="Times New Roman" w:hAnsi="Times New Roman" w:cs="Times New Roman"/>
                <w:b/>
                <w:bCs/>
                <w:color w:val="auto"/>
                <w:szCs w:val="21"/>
                <w:lang w:val="en-US" w:eastAsia="zh-CN"/>
              </w:rPr>
              <w:t>14</w:t>
            </w:r>
            <w:r>
              <w:rPr>
                <w:rFonts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 xml:space="preserve"> 厂</w:t>
            </w:r>
            <w:r>
              <w:rPr>
                <w:rFonts w:ascii="Times New Roman" w:hAnsi="Times New Roman" w:cs="Times New Roman"/>
                <w:b/>
                <w:bCs/>
                <w:color w:val="auto"/>
                <w:szCs w:val="21"/>
              </w:rPr>
              <w:t>界噪声预测结果与达标分析表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801"/>
              <w:gridCol w:w="801"/>
              <w:gridCol w:w="801"/>
              <w:gridCol w:w="990"/>
              <w:gridCol w:w="1413"/>
              <w:gridCol w:w="1414"/>
              <w:gridCol w:w="1186"/>
            </w:tblGrid>
            <w:tr w14:paraId="2F67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8" w:type="dxa"/>
                  <w:vMerge w:val="restart"/>
                  <w:vAlign w:val="center"/>
                </w:tcPr>
                <w:p w14:paraId="3BB3CDBC">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预测方位</w:t>
                  </w:r>
                </w:p>
              </w:tc>
              <w:tc>
                <w:tcPr>
                  <w:tcW w:w="2403" w:type="dxa"/>
                  <w:gridSpan w:val="3"/>
                  <w:vAlign w:val="center"/>
                </w:tcPr>
                <w:p w14:paraId="505A9B09">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val="en-US" w:eastAsia="zh-CN"/>
                    </w:rPr>
                    <w:t>最大值点</w:t>
                  </w:r>
                  <w:r>
                    <w:rPr>
                      <w:rFonts w:hint="default" w:ascii="Times New Roman" w:hAnsi="Times New Roman" w:eastAsia="宋体" w:cs="Times New Roman"/>
                      <w:b/>
                      <w:sz w:val="21"/>
                      <w:szCs w:val="21"/>
                    </w:rPr>
                    <w:t>空间相对位置/m</w:t>
                  </w:r>
                </w:p>
              </w:tc>
              <w:tc>
                <w:tcPr>
                  <w:tcW w:w="990" w:type="dxa"/>
                  <w:vMerge w:val="restart"/>
                  <w:vAlign w:val="center"/>
                </w:tcPr>
                <w:p w14:paraId="08F59806">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时段</w:t>
                  </w:r>
                </w:p>
              </w:tc>
              <w:tc>
                <w:tcPr>
                  <w:tcW w:w="1413" w:type="dxa"/>
                  <w:vMerge w:val="restart"/>
                  <w:vAlign w:val="center"/>
                </w:tcPr>
                <w:p w14:paraId="5F7053CD">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贡献值（dB(A)）</w:t>
                  </w:r>
                </w:p>
              </w:tc>
              <w:tc>
                <w:tcPr>
                  <w:tcW w:w="1414" w:type="dxa"/>
                  <w:vMerge w:val="restart"/>
                  <w:vAlign w:val="center"/>
                </w:tcPr>
                <w:p w14:paraId="442BAF2E">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标准限值（dB(A)）</w:t>
                  </w:r>
                </w:p>
              </w:tc>
              <w:tc>
                <w:tcPr>
                  <w:tcW w:w="1186" w:type="dxa"/>
                  <w:vMerge w:val="restart"/>
                  <w:vAlign w:val="center"/>
                </w:tcPr>
                <w:p w14:paraId="6146A6ED">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达标情况</w:t>
                  </w:r>
                </w:p>
              </w:tc>
            </w:tr>
            <w:tr w14:paraId="1F68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8" w:type="dxa"/>
                  <w:vMerge w:val="continue"/>
                  <w:shd w:val="clear" w:color="auto" w:fill="FFFFFF"/>
                  <w:vAlign w:val="center"/>
                </w:tcPr>
                <w:p w14:paraId="3A7CB21A">
                  <w:pPr>
                    <w:jc w:val="center"/>
                    <w:rPr>
                      <w:rFonts w:hint="default" w:ascii="Times New Roman" w:hAnsi="Times New Roman" w:eastAsia="宋体" w:cs="Times New Roman"/>
                      <w:sz w:val="21"/>
                      <w:szCs w:val="21"/>
                    </w:rPr>
                  </w:pPr>
                </w:p>
              </w:tc>
              <w:tc>
                <w:tcPr>
                  <w:tcW w:w="801" w:type="dxa"/>
                  <w:shd w:val="clear" w:color="auto" w:fill="FFFFFF"/>
                  <w:vAlign w:val="center"/>
                </w:tcPr>
                <w:p w14:paraId="5EBDD1C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801" w:type="dxa"/>
                  <w:shd w:val="clear" w:color="auto" w:fill="FFFFFF"/>
                  <w:vAlign w:val="center"/>
                </w:tcPr>
                <w:p w14:paraId="203685B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801" w:type="dxa"/>
                  <w:shd w:val="clear" w:color="auto" w:fill="FFFFFF"/>
                  <w:vAlign w:val="center"/>
                </w:tcPr>
                <w:p w14:paraId="57CBA98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w:t>
                  </w:r>
                </w:p>
              </w:tc>
              <w:tc>
                <w:tcPr>
                  <w:tcW w:w="990" w:type="dxa"/>
                  <w:vMerge w:val="continue"/>
                  <w:shd w:val="clear" w:color="auto" w:fill="FFFFFF"/>
                  <w:vAlign w:val="center"/>
                </w:tcPr>
                <w:p w14:paraId="019DB901">
                  <w:pPr>
                    <w:jc w:val="center"/>
                    <w:rPr>
                      <w:rFonts w:hint="default" w:ascii="Times New Roman" w:hAnsi="Times New Roman" w:eastAsia="宋体" w:cs="Times New Roman"/>
                      <w:sz w:val="21"/>
                      <w:szCs w:val="21"/>
                    </w:rPr>
                  </w:pPr>
                </w:p>
              </w:tc>
              <w:tc>
                <w:tcPr>
                  <w:tcW w:w="1413" w:type="dxa"/>
                  <w:vMerge w:val="continue"/>
                  <w:shd w:val="clear" w:color="auto" w:fill="FFFFFF"/>
                  <w:vAlign w:val="center"/>
                </w:tcPr>
                <w:p w14:paraId="5251F55D">
                  <w:pPr>
                    <w:jc w:val="center"/>
                    <w:rPr>
                      <w:rFonts w:hint="default" w:ascii="Times New Roman" w:hAnsi="Times New Roman" w:eastAsia="宋体" w:cs="Times New Roman"/>
                      <w:sz w:val="21"/>
                      <w:szCs w:val="21"/>
                    </w:rPr>
                  </w:pPr>
                </w:p>
              </w:tc>
              <w:tc>
                <w:tcPr>
                  <w:tcW w:w="1414" w:type="dxa"/>
                  <w:vMerge w:val="continue"/>
                  <w:shd w:val="clear" w:color="auto" w:fill="FFFFFF"/>
                  <w:vAlign w:val="center"/>
                </w:tcPr>
                <w:p w14:paraId="294626EE">
                  <w:pPr>
                    <w:jc w:val="center"/>
                    <w:rPr>
                      <w:rFonts w:hint="default" w:ascii="Times New Roman" w:hAnsi="Times New Roman" w:eastAsia="宋体" w:cs="Times New Roman"/>
                      <w:sz w:val="21"/>
                      <w:szCs w:val="21"/>
                    </w:rPr>
                  </w:pPr>
                </w:p>
              </w:tc>
              <w:tc>
                <w:tcPr>
                  <w:tcW w:w="1186" w:type="dxa"/>
                  <w:vMerge w:val="continue"/>
                  <w:shd w:val="clear" w:color="auto" w:fill="FFFFFF"/>
                  <w:vAlign w:val="center"/>
                </w:tcPr>
                <w:p w14:paraId="537F49E5">
                  <w:pPr>
                    <w:jc w:val="center"/>
                    <w:rPr>
                      <w:rFonts w:hint="default" w:ascii="Times New Roman" w:hAnsi="Times New Roman" w:eastAsia="宋体" w:cs="Times New Roman"/>
                      <w:sz w:val="21"/>
                      <w:szCs w:val="21"/>
                    </w:rPr>
                  </w:pPr>
                </w:p>
              </w:tc>
            </w:tr>
            <w:tr w14:paraId="1D11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98" w:type="dxa"/>
                  <w:shd w:val="clear" w:color="auto" w:fill="FFFFFF"/>
                  <w:vAlign w:val="center"/>
                </w:tcPr>
                <w:p w14:paraId="615DAE4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东侧</w:t>
                  </w:r>
                </w:p>
              </w:tc>
              <w:tc>
                <w:tcPr>
                  <w:tcW w:w="801" w:type="dxa"/>
                  <w:shd w:val="clear" w:color="auto" w:fill="FFFFFF"/>
                  <w:vAlign w:val="center"/>
                </w:tcPr>
                <w:p w14:paraId="38324C9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w:t>
                  </w:r>
                </w:p>
              </w:tc>
              <w:tc>
                <w:tcPr>
                  <w:tcW w:w="801" w:type="dxa"/>
                  <w:shd w:val="clear" w:color="auto" w:fill="FFFFFF"/>
                  <w:vAlign w:val="center"/>
                </w:tcPr>
                <w:p w14:paraId="0A7ECD2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-22.6</w:t>
                  </w:r>
                </w:p>
              </w:tc>
              <w:tc>
                <w:tcPr>
                  <w:tcW w:w="801" w:type="dxa"/>
                  <w:shd w:val="clear" w:color="auto" w:fill="FFFFFF"/>
                  <w:vAlign w:val="center"/>
                </w:tcPr>
                <w:p w14:paraId="1A141D9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0" w:type="dxa"/>
                  <w:shd w:val="clear" w:color="auto" w:fill="FFFFFF"/>
                  <w:vAlign w:val="center"/>
                </w:tcPr>
                <w:p w14:paraId="237B810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413" w:type="dxa"/>
                  <w:shd w:val="clear" w:color="auto" w:fill="FFFFFF"/>
                  <w:vAlign w:val="center"/>
                </w:tcPr>
                <w:p w14:paraId="0CB5F2A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45.6</w:t>
                  </w:r>
                </w:p>
              </w:tc>
              <w:tc>
                <w:tcPr>
                  <w:tcW w:w="1414" w:type="dxa"/>
                  <w:shd w:val="clear" w:color="auto" w:fill="FFFFFF"/>
                  <w:vAlign w:val="center"/>
                </w:tcPr>
                <w:p w14:paraId="2092F14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1186" w:type="dxa"/>
                  <w:shd w:val="clear" w:color="auto" w:fill="FFFFFF"/>
                  <w:vAlign w:val="center"/>
                </w:tcPr>
                <w:p w14:paraId="71D2D75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6DF2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98" w:type="dxa"/>
                  <w:shd w:val="clear" w:color="auto" w:fill="FFFFFF"/>
                  <w:vAlign w:val="center"/>
                </w:tcPr>
                <w:p w14:paraId="6981E6B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南侧</w:t>
                  </w:r>
                </w:p>
              </w:tc>
              <w:tc>
                <w:tcPr>
                  <w:tcW w:w="801" w:type="dxa"/>
                  <w:shd w:val="clear" w:color="auto" w:fill="FFFFFF"/>
                  <w:vAlign w:val="center"/>
                </w:tcPr>
                <w:p w14:paraId="65F5F2B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16.8</w:t>
                  </w:r>
                </w:p>
              </w:tc>
              <w:tc>
                <w:tcPr>
                  <w:tcW w:w="801" w:type="dxa"/>
                  <w:shd w:val="clear" w:color="auto" w:fill="FFFFFF"/>
                  <w:vAlign w:val="center"/>
                </w:tcPr>
                <w:p w14:paraId="22CE3C3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-38.7</w:t>
                  </w:r>
                </w:p>
              </w:tc>
              <w:tc>
                <w:tcPr>
                  <w:tcW w:w="801" w:type="dxa"/>
                  <w:shd w:val="clear" w:color="auto" w:fill="FFFFFF"/>
                  <w:vAlign w:val="center"/>
                </w:tcPr>
                <w:p w14:paraId="0DC459E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0" w:type="dxa"/>
                  <w:shd w:val="clear" w:color="auto" w:fill="FFFFFF"/>
                  <w:vAlign w:val="center"/>
                </w:tcPr>
                <w:p w14:paraId="5DC4826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413" w:type="dxa"/>
                  <w:shd w:val="clear" w:color="auto" w:fill="FFFFFF"/>
                  <w:vAlign w:val="center"/>
                </w:tcPr>
                <w:p w14:paraId="6715CA1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49.9</w:t>
                  </w:r>
                </w:p>
              </w:tc>
              <w:tc>
                <w:tcPr>
                  <w:tcW w:w="1414" w:type="dxa"/>
                  <w:shd w:val="clear" w:color="auto" w:fill="FFFFFF"/>
                  <w:vAlign w:val="center"/>
                </w:tcPr>
                <w:p w14:paraId="3AB6BFB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1186" w:type="dxa"/>
                  <w:shd w:val="clear" w:color="auto" w:fill="FFFFFF"/>
                  <w:vAlign w:val="center"/>
                </w:tcPr>
                <w:p w14:paraId="25F52E8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4053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98" w:type="dxa"/>
                  <w:shd w:val="clear" w:color="auto" w:fill="FFFFFF"/>
                  <w:vAlign w:val="center"/>
                </w:tcPr>
                <w:p w14:paraId="61011B6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西侧</w:t>
                  </w:r>
                </w:p>
              </w:tc>
              <w:tc>
                <w:tcPr>
                  <w:tcW w:w="801" w:type="dxa"/>
                  <w:shd w:val="clear" w:color="auto" w:fill="FFFFFF"/>
                  <w:vAlign w:val="center"/>
                </w:tcPr>
                <w:p w14:paraId="27F5BF1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-36.8</w:t>
                  </w:r>
                </w:p>
              </w:tc>
              <w:tc>
                <w:tcPr>
                  <w:tcW w:w="801" w:type="dxa"/>
                  <w:shd w:val="clear" w:color="auto" w:fill="FFFFFF"/>
                  <w:vAlign w:val="center"/>
                </w:tcPr>
                <w:p w14:paraId="7EF332E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35.3</w:t>
                  </w:r>
                </w:p>
              </w:tc>
              <w:tc>
                <w:tcPr>
                  <w:tcW w:w="801" w:type="dxa"/>
                  <w:shd w:val="clear" w:color="auto" w:fill="FFFFFF"/>
                  <w:vAlign w:val="center"/>
                </w:tcPr>
                <w:p w14:paraId="79EAF96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0" w:type="dxa"/>
                  <w:shd w:val="clear" w:color="auto" w:fill="FFFFFF"/>
                  <w:vAlign w:val="center"/>
                </w:tcPr>
                <w:p w14:paraId="10DC955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413" w:type="dxa"/>
                  <w:shd w:val="clear" w:color="auto" w:fill="FFFFFF"/>
                  <w:vAlign w:val="center"/>
                </w:tcPr>
                <w:p w14:paraId="2B78B38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52.5</w:t>
                  </w:r>
                </w:p>
              </w:tc>
              <w:tc>
                <w:tcPr>
                  <w:tcW w:w="1414" w:type="dxa"/>
                  <w:shd w:val="clear" w:color="auto" w:fill="FFFFFF"/>
                  <w:vAlign w:val="center"/>
                </w:tcPr>
                <w:p w14:paraId="4A6A4E1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1186" w:type="dxa"/>
                  <w:shd w:val="clear" w:color="auto" w:fill="FFFFFF"/>
                  <w:vAlign w:val="center"/>
                </w:tcPr>
                <w:p w14:paraId="275429F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4C14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98" w:type="dxa"/>
                  <w:shd w:val="clear" w:color="auto" w:fill="FFFFFF"/>
                  <w:vAlign w:val="center"/>
                </w:tcPr>
                <w:p w14:paraId="5D12B8C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北侧</w:t>
                  </w:r>
                </w:p>
              </w:tc>
              <w:tc>
                <w:tcPr>
                  <w:tcW w:w="801" w:type="dxa"/>
                  <w:shd w:val="clear" w:color="auto" w:fill="FFFFFF"/>
                  <w:vAlign w:val="center"/>
                </w:tcPr>
                <w:p w14:paraId="5E32265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-16.8</w:t>
                  </w:r>
                </w:p>
              </w:tc>
              <w:tc>
                <w:tcPr>
                  <w:tcW w:w="801" w:type="dxa"/>
                  <w:shd w:val="clear" w:color="auto" w:fill="FFFFFF"/>
                  <w:vAlign w:val="center"/>
                </w:tcPr>
                <w:p w14:paraId="7F68ADA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44.7</w:t>
                  </w:r>
                </w:p>
              </w:tc>
              <w:tc>
                <w:tcPr>
                  <w:tcW w:w="801" w:type="dxa"/>
                  <w:shd w:val="clear" w:color="auto" w:fill="FFFFFF"/>
                  <w:vAlign w:val="center"/>
                </w:tcPr>
                <w:p w14:paraId="02EAAF0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0" w:type="dxa"/>
                  <w:shd w:val="clear" w:color="auto" w:fill="FFFFFF"/>
                  <w:vAlign w:val="center"/>
                </w:tcPr>
                <w:p w14:paraId="66FBCA2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413" w:type="dxa"/>
                  <w:shd w:val="clear" w:color="auto" w:fill="FFFFFF"/>
                  <w:vAlign w:val="center"/>
                </w:tcPr>
                <w:p w14:paraId="456F316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54.1</w:t>
                  </w:r>
                </w:p>
              </w:tc>
              <w:tc>
                <w:tcPr>
                  <w:tcW w:w="1414" w:type="dxa"/>
                  <w:shd w:val="clear" w:color="auto" w:fill="FFFFFF"/>
                  <w:vAlign w:val="center"/>
                </w:tcPr>
                <w:p w14:paraId="55F0A02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1186" w:type="dxa"/>
                  <w:shd w:val="clear" w:color="auto" w:fill="FFFFFF"/>
                  <w:vAlign w:val="center"/>
                </w:tcPr>
                <w:p w14:paraId="46DC46D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14:paraId="000B1382">
            <w:pPr>
              <w:ind w:firstLine="420" w:firstLineChars="200"/>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表中坐标以厂界中心（</w:t>
            </w:r>
            <w:bookmarkStart w:id="15" w:name="PO_8"/>
            <w:r>
              <w:rPr>
                <w:rFonts w:hint="eastAsia" w:ascii="Times New Roman" w:hAnsi="Times New Roman" w:cs="Times New Roman"/>
                <w:b w:val="0"/>
                <w:bCs/>
                <w:color w:val="auto"/>
                <w:sz w:val="21"/>
                <w:szCs w:val="21"/>
                <w:lang w:val="en-US" w:eastAsia="zh-CN"/>
              </w:rPr>
              <w:t>119.999336,30.566072</w:t>
            </w:r>
            <w:bookmarkEnd w:id="15"/>
            <w:r>
              <w:rPr>
                <w:rFonts w:hint="eastAsia" w:ascii="Times New Roman" w:hAnsi="Times New Roman" w:cs="Times New Roman"/>
                <w:b w:val="0"/>
                <w:bCs/>
                <w:color w:val="auto"/>
                <w:sz w:val="21"/>
                <w:szCs w:val="21"/>
                <w:lang w:val="en-US" w:eastAsia="zh-CN"/>
              </w:rPr>
              <w:t>）为坐标原点，正东向为X轴正方向，正北向为Y轴正方向</w:t>
            </w:r>
          </w:p>
          <w:p w14:paraId="5BA5D75D">
            <w:pPr>
              <w:pStyle w:val="22"/>
              <w:spacing w:after="0" w:line="500" w:lineRule="exact"/>
              <w:ind w:left="0" w:leftChars="0" w:firstLine="480"/>
              <w:rPr>
                <w:rFonts w:hint="default" w:ascii="Times New Roman" w:hAnsi="Times New Roman" w:cs="Times New Roman"/>
                <w:bCs/>
                <w:color w:val="FF0000"/>
                <w:sz w:val="24"/>
                <w:szCs w:val="24"/>
              </w:rPr>
            </w:pPr>
            <w:r>
              <w:rPr>
                <w:rFonts w:ascii="Times New Roman" w:hAnsi="Times New Roman" w:eastAsia="宋体" w:cs="Times New Roman"/>
                <w:color w:val="auto"/>
                <w:sz w:val="24"/>
                <w:szCs w:val="24"/>
              </w:rPr>
              <w:t>由上表可知，本项目实施后</w:t>
            </w:r>
            <w:r>
              <w:rPr>
                <w:rFonts w:hint="eastAsia" w:ascii="Times New Roman" w:hAnsi="Times New Roman" w:eastAsia="宋体" w:cs="Times New Roman"/>
                <w:color w:val="auto"/>
                <w:sz w:val="24"/>
                <w:szCs w:val="24"/>
                <w:lang w:val="en-US" w:eastAsia="zh-CN"/>
              </w:rPr>
              <w:t>厂</w:t>
            </w:r>
            <w:r>
              <w:rPr>
                <w:rFonts w:ascii="Times New Roman" w:hAnsi="Times New Roman" w:eastAsia="宋体" w:cs="Times New Roman"/>
                <w:color w:val="auto"/>
                <w:sz w:val="24"/>
                <w:szCs w:val="24"/>
              </w:rPr>
              <w:t>界四周</w:t>
            </w:r>
            <w:r>
              <w:rPr>
                <w:rFonts w:hint="eastAsia" w:ascii="Times New Roman" w:hAnsi="Times New Roman" w:eastAsia="宋体" w:cs="Times New Roman"/>
                <w:color w:val="auto"/>
                <w:sz w:val="24"/>
                <w:szCs w:val="24"/>
                <w:lang w:val="en-US" w:eastAsia="zh-CN"/>
              </w:rPr>
              <w:t>昼</w:t>
            </w:r>
            <w:r>
              <w:rPr>
                <w:rFonts w:ascii="Times New Roman" w:hAnsi="Times New Roman" w:eastAsia="宋体" w:cs="Times New Roman"/>
                <w:color w:val="auto"/>
                <w:sz w:val="24"/>
                <w:szCs w:val="24"/>
              </w:rPr>
              <w:t>间噪声</w:t>
            </w:r>
            <w:r>
              <w:rPr>
                <w:rFonts w:hint="eastAsia" w:ascii="Times New Roman" w:hAnsi="Times New Roman" w:eastAsia="宋体" w:cs="Times New Roman"/>
                <w:color w:val="auto"/>
                <w:sz w:val="24"/>
                <w:szCs w:val="24"/>
                <w:lang w:val="en-US" w:eastAsia="zh-CN"/>
              </w:rPr>
              <w:t>贡献值均</w:t>
            </w:r>
            <w:r>
              <w:rPr>
                <w:rFonts w:ascii="Times New Roman" w:hAnsi="Times New Roman" w:eastAsia="宋体" w:cs="Times New Roman"/>
                <w:color w:val="auto"/>
                <w:sz w:val="24"/>
                <w:szCs w:val="24"/>
              </w:rPr>
              <w:t>能够达到《工业企业厂界环境噪声排放标准》（GB12348-2008）中的</w:t>
            </w: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rPr>
              <w:t>类标准。</w:t>
            </w:r>
          </w:p>
          <w:p w14:paraId="0A1D199F">
            <w:pPr>
              <w:spacing w:line="360" w:lineRule="auto"/>
              <w:textAlignment w:val="center"/>
              <w:rPr>
                <w:rFonts w:ascii="Times New Roman" w:hAnsi="Times New Roman" w:eastAsia="宋体" w:cs="Times New Roman"/>
                <w:b/>
                <w:color w:val="auto"/>
                <w:sz w:val="24"/>
                <w:szCs w:val="24"/>
              </w:rPr>
            </w:pPr>
            <w:r>
              <w:rPr>
                <w:rFonts w:hint="eastAsia" w:ascii="Times New Roman" w:hAnsi="Times New Roman" w:cs="Times New Roman"/>
                <w:b/>
                <w:bCs/>
                <w:color w:val="auto"/>
                <w:sz w:val="24"/>
                <w:szCs w:val="20"/>
              </w:rPr>
              <w:t xml:space="preserve">4.2.3.4 </w:t>
            </w:r>
            <w:r>
              <w:rPr>
                <w:rFonts w:hint="eastAsia" w:ascii="Times New Roman" w:hAnsi="Times New Roman" w:eastAsia="宋体" w:cs="Times New Roman"/>
                <w:b/>
                <w:color w:val="auto"/>
                <w:sz w:val="24"/>
                <w:szCs w:val="24"/>
                <w:lang w:val="en-US" w:eastAsia="zh-CN"/>
              </w:rPr>
              <w:t>监测</w:t>
            </w:r>
            <w:r>
              <w:rPr>
                <w:rFonts w:hint="eastAsia" w:ascii="Times New Roman" w:hAnsi="Times New Roman" w:eastAsia="宋体" w:cs="Times New Roman"/>
                <w:b/>
                <w:color w:val="auto"/>
                <w:sz w:val="24"/>
                <w:szCs w:val="24"/>
              </w:rPr>
              <w:t>计划</w:t>
            </w:r>
          </w:p>
          <w:p w14:paraId="103C490A">
            <w:pPr>
              <w:spacing w:line="360" w:lineRule="auto"/>
              <w:ind w:firstLine="480" w:firstLineChars="200"/>
              <w:rPr>
                <w:rFonts w:ascii="Times New Roman" w:hAnsi="Times New Roman" w:cs="Times New Roman"/>
                <w:b/>
                <w:color w:val="auto"/>
                <w:kern w:val="0"/>
                <w:szCs w:val="21"/>
              </w:rPr>
            </w:pPr>
            <w:r>
              <w:rPr>
                <w:rFonts w:ascii="Times New Roman" w:hAnsi="Times New Roman" w:eastAsia="宋体" w:cs="Times New Roman"/>
                <w:color w:val="auto"/>
                <w:sz w:val="24"/>
              </w:rPr>
              <w:t>根据导则及《排污单位自行监测技术指南</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总则》（HJ819-2017）</w:t>
            </w:r>
            <w:r>
              <w:rPr>
                <w:rFonts w:ascii="Times New Roman" w:hAnsi="Times New Roman" w:cs="Times New Roman"/>
                <w:color w:val="auto"/>
                <w:sz w:val="24"/>
              </w:rPr>
              <w:t>要求，</w:t>
            </w:r>
            <w:r>
              <w:rPr>
                <w:rFonts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rPr>
              <w:t>噪声</w:t>
            </w:r>
            <w:r>
              <w:rPr>
                <w:rFonts w:ascii="Times New Roman" w:hAnsi="Times New Roman" w:eastAsia="宋体" w:cs="Times New Roman"/>
                <w:color w:val="auto"/>
                <w:sz w:val="24"/>
                <w:szCs w:val="24"/>
              </w:rPr>
              <w:t>监测方案</w:t>
            </w:r>
            <w:r>
              <w:rPr>
                <w:rFonts w:hint="eastAsia" w:ascii="Times New Roman" w:hAnsi="Times New Roman" w:eastAsia="宋体" w:cs="Times New Roman"/>
                <w:color w:val="auto"/>
                <w:sz w:val="24"/>
                <w:szCs w:val="24"/>
              </w:rPr>
              <w:t>如表4-</w:t>
            </w:r>
            <w:r>
              <w:rPr>
                <w:rFonts w:hint="eastAsia" w:ascii="Times New Roman" w:hAnsi="Times New Roman" w:eastAsia="宋体" w:cs="Times New Roman"/>
                <w:color w:val="auto"/>
                <w:sz w:val="24"/>
                <w:szCs w:val="24"/>
                <w:lang w:val="en-US" w:eastAsia="zh-CN"/>
              </w:rPr>
              <w:t>15</w:t>
            </w:r>
            <w:r>
              <w:rPr>
                <w:rFonts w:hint="eastAsia" w:ascii="Times New Roman" w:hAnsi="Times New Roman" w:eastAsia="宋体" w:cs="Times New Roman"/>
                <w:color w:val="auto"/>
                <w:sz w:val="24"/>
                <w:szCs w:val="24"/>
              </w:rPr>
              <w:t>所示。</w:t>
            </w:r>
          </w:p>
          <w:p w14:paraId="335D10A7">
            <w:pPr>
              <w:jc w:val="center"/>
              <w:rPr>
                <w:rFonts w:ascii="Times New Roman" w:hAnsi="Times New Roman" w:cs="Times New Roman"/>
                <w:b/>
                <w:color w:val="auto"/>
                <w:kern w:val="0"/>
                <w:szCs w:val="21"/>
              </w:rPr>
            </w:pPr>
            <w:r>
              <w:rPr>
                <w:rFonts w:ascii="Times New Roman" w:hAnsi="Times New Roman" w:cs="Times New Roman"/>
                <w:b/>
                <w:color w:val="auto"/>
                <w:kern w:val="0"/>
                <w:szCs w:val="21"/>
              </w:rPr>
              <w:t>表</w:t>
            </w:r>
            <w:r>
              <w:rPr>
                <w:rFonts w:hint="eastAsia" w:ascii="Times New Roman" w:hAnsi="Times New Roman" w:cs="Times New Roman"/>
                <w:b/>
                <w:color w:val="auto"/>
                <w:kern w:val="0"/>
                <w:szCs w:val="21"/>
              </w:rPr>
              <w:t>4</w:t>
            </w:r>
            <w:r>
              <w:rPr>
                <w:rFonts w:ascii="Times New Roman" w:hAnsi="Times New Roman" w:cs="Times New Roman"/>
                <w:b/>
                <w:color w:val="auto"/>
                <w:kern w:val="0"/>
                <w:szCs w:val="21"/>
              </w:rPr>
              <w:t>-</w:t>
            </w:r>
            <w:r>
              <w:rPr>
                <w:rFonts w:hint="eastAsia" w:ascii="Times New Roman" w:hAnsi="Times New Roman" w:cs="Times New Roman"/>
                <w:b/>
                <w:color w:val="auto"/>
                <w:kern w:val="0"/>
                <w:szCs w:val="21"/>
                <w:lang w:val="en-US" w:eastAsia="zh-CN"/>
              </w:rPr>
              <w:t>15</w:t>
            </w:r>
            <w:r>
              <w:rPr>
                <w:rFonts w:ascii="Times New Roman" w:hAnsi="Times New Roman" w:cs="Times New Roman"/>
                <w:b/>
                <w:color w:val="auto"/>
                <w:kern w:val="0"/>
                <w:szCs w:val="21"/>
              </w:rPr>
              <w:t xml:space="preserve"> </w:t>
            </w:r>
            <w:r>
              <w:rPr>
                <w:rFonts w:hint="eastAsia" w:ascii="Times New Roman" w:hAnsi="Times New Roman" w:cs="Times New Roman"/>
                <w:b/>
                <w:color w:val="auto"/>
                <w:kern w:val="0"/>
                <w:szCs w:val="21"/>
              </w:rPr>
              <w:t>项目噪声</w:t>
            </w:r>
            <w:r>
              <w:rPr>
                <w:rFonts w:ascii="Times New Roman" w:hAnsi="Times New Roman" w:cs="Times New Roman"/>
                <w:b/>
                <w:color w:val="auto"/>
                <w:kern w:val="0"/>
                <w:szCs w:val="21"/>
              </w:rPr>
              <w:t>监测计划</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126"/>
              <w:gridCol w:w="1908"/>
              <w:gridCol w:w="2345"/>
            </w:tblGrid>
            <w:tr w14:paraId="29C9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noWrap/>
                  <w:vAlign w:val="center"/>
                </w:tcPr>
                <w:p w14:paraId="361F16D5">
                  <w:pPr>
                    <w:jc w:val="center"/>
                    <w:rPr>
                      <w:rFonts w:ascii="Times New Roman" w:hAnsi="Times New Roman" w:cs="Times New Roman"/>
                      <w:b/>
                      <w:color w:val="auto"/>
                      <w:szCs w:val="21"/>
                    </w:rPr>
                  </w:pPr>
                  <w:r>
                    <w:rPr>
                      <w:rFonts w:ascii="Times New Roman" w:hAnsi="Times New Roman" w:cs="Times New Roman"/>
                      <w:b/>
                      <w:color w:val="auto"/>
                      <w:szCs w:val="21"/>
                    </w:rPr>
                    <w:t>监测内容</w:t>
                  </w:r>
                </w:p>
              </w:tc>
              <w:tc>
                <w:tcPr>
                  <w:tcW w:w="2126" w:type="dxa"/>
                  <w:noWrap/>
                  <w:vAlign w:val="center"/>
                </w:tcPr>
                <w:p w14:paraId="094EF357">
                  <w:pPr>
                    <w:jc w:val="center"/>
                    <w:rPr>
                      <w:rFonts w:ascii="Times New Roman" w:hAnsi="Times New Roman" w:cs="Times New Roman"/>
                      <w:b/>
                      <w:color w:val="auto"/>
                      <w:szCs w:val="21"/>
                    </w:rPr>
                  </w:pPr>
                  <w:r>
                    <w:rPr>
                      <w:rFonts w:ascii="Times New Roman" w:hAnsi="Times New Roman" w:cs="Times New Roman"/>
                      <w:b/>
                      <w:color w:val="auto"/>
                      <w:szCs w:val="21"/>
                    </w:rPr>
                    <w:t>监测点位</w:t>
                  </w:r>
                </w:p>
              </w:tc>
              <w:tc>
                <w:tcPr>
                  <w:tcW w:w="1908" w:type="dxa"/>
                  <w:noWrap/>
                  <w:vAlign w:val="center"/>
                </w:tcPr>
                <w:p w14:paraId="6786B152">
                  <w:pPr>
                    <w:jc w:val="center"/>
                    <w:rPr>
                      <w:rFonts w:ascii="Times New Roman" w:hAnsi="Times New Roman" w:cs="Times New Roman"/>
                      <w:b/>
                      <w:color w:val="auto"/>
                      <w:szCs w:val="21"/>
                    </w:rPr>
                  </w:pPr>
                  <w:r>
                    <w:rPr>
                      <w:rFonts w:ascii="Times New Roman" w:hAnsi="Times New Roman" w:cs="Times New Roman"/>
                      <w:b/>
                      <w:color w:val="auto"/>
                      <w:szCs w:val="21"/>
                    </w:rPr>
                    <w:t>监测项目</w:t>
                  </w:r>
                </w:p>
              </w:tc>
              <w:tc>
                <w:tcPr>
                  <w:tcW w:w="2345" w:type="dxa"/>
                  <w:noWrap/>
                  <w:vAlign w:val="center"/>
                </w:tcPr>
                <w:p w14:paraId="75674B6C">
                  <w:pPr>
                    <w:jc w:val="center"/>
                    <w:rPr>
                      <w:rFonts w:ascii="Times New Roman" w:hAnsi="Times New Roman" w:cs="Times New Roman"/>
                      <w:b/>
                      <w:color w:val="auto"/>
                      <w:szCs w:val="21"/>
                    </w:rPr>
                  </w:pPr>
                  <w:r>
                    <w:rPr>
                      <w:rFonts w:ascii="Times New Roman" w:hAnsi="Times New Roman" w:cs="Times New Roman"/>
                      <w:b/>
                      <w:color w:val="auto"/>
                      <w:szCs w:val="21"/>
                    </w:rPr>
                    <w:t>监测频率</w:t>
                  </w:r>
                </w:p>
              </w:tc>
            </w:tr>
            <w:tr w14:paraId="65F9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noWrap/>
                  <w:vAlign w:val="center"/>
                </w:tcPr>
                <w:p w14:paraId="5BF97DE2">
                  <w:pPr>
                    <w:ind w:left="420" w:hanging="420" w:hangingChars="200"/>
                    <w:jc w:val="center"/>
                    <w:rPr>
                      <w:rFonts w:ascii="Times New Roman" w:hAnsi="Times New Roman" w:cs="Times New Roman"/>
                      <w:color w:val="auto"/>
                      <w:szCs w:val="21"/>
                    </w:rPr>
                  </w:pPr>
                  <w:r>
                    <w:rPr>
                      <w:rFonts w:ascii="Times New Roman" w:hAnsi="Times New Roman" w:cs="Times New Roman"/>
                      <w:color w:val="auto"/>
                      <w:szCs w:val="21"/>
                    </w:rPr>
                    <w:t>噪声</w:t>
                  </w:r>
                </w:p>
              </w:tc>
              <w:tc>
                <w:tcPr>
                  <w:tcW w:w="2126" w:type="dxa"/>
                  <w:noWrap/>
                  <w:vAlign w:val="center"/>
                </w:tcPr>
                <w:p w14:paraId="115F9746">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厂界</w:t>
                  </w:r>
                </w:p>
              </w:tc>
              <w:tc>
                <w:tcPr>
                  <w:tcW w:w="1908" w:type="dxa"/>
                  <w:noWrap/>
                  <w:vAlign w:val="center"/>
                </w:tcPr>
                <w:p w14:paraId="429FC3CE">
                  <w:pPr>
                    <w:ind w:left="420" w:hanging="420" w:hangingChars="200"/>
                    <w:jc w:val="center"/>
                    <w:rPr>
                      <w:rFonts w:ascii="Times New Roman" w:hAnsi="Times New Roman" w:cs="Times New Roman"/>
                      <w:color w:val="auto"/>
                      <w:szCs w:val="21"/>
                    </w:rPr>
                  </w:pPr>
                  <w:r>
                    <w:rPr>
                      <w:rFonts w:ascii="Times New Roman" w:hAnsi="Times New Roman" w:cs="Times New Roman"/>
                      <w:color w:val="auto"/>
                      <w:szCs w:val="21"/>
                    </w:rPr>
                    <w:t>Leq（A）</w:t>
                  </w:r>
                </w:p>
              </w:tc>
              <w:tc>
                <w:tcPr>
                  <w:tcW w:w="2345" w:type="dxa"/>
                  <w:noWrap/>
                  <w:vAlign w:val="center"/>
                </w:tcPr>
                <w:p w14:paraId="08F16788">
                  <w:pPr>
                    <w:ind w:left="420" w:hanging="420" w:hangingChars="200"/>
                    <w:jc w:val="center"/>
                    <w:rPr>
                      <w:rFonts w:ascii="Times New Roman" w:hAnsi="Times New Roman" w:cs="Times New Roman"/>
                      <w:color w:val="auto"/>
                      <w:szCs w:val="21"/>
                    </w:rPr>
                  </w:pPr>
                  <w:r>
                    <w:rPr>
                      <w:rFonts w:ascii="Times New Roman" w:hAnsi="Times New Roman" w:cs="Times New Roman"/>
                      <w:color w:val="auto"/>
                      <w:szCs w:val="21"/>
                    </w:rPr>
                    <w:t>1次/季</w:t>
                  </w:r>
                  <w:r>
                    <w:rPr>
                      <w:rFonts w:hint="eastAsia" w:ascii="Times New Roman" w:hAnsi="Times New Roman" w:cs="Times New Roman"/>
                      <w:color w:val="auto"/>
                      <w:szCs w:val="21"/>
                    </w:rPr>
                    <w:t>，昼间进行</w:t>
                  </w:r>
                </w:p>
              </w:tc>
            </w:tr>
          </w:tbl>
          <w:p w14:paraId="472985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default" w:ascii="Times New Roman" w:hAnsi="Times New Roman" w:eastAsia="宋体" w:cs="Times New Roman"/>
                <w:b/>
                <w:color w:val="auto"/>
                <w:sz w:val="24"/>
                <w:szCs w:val="22"/>
              </w:rPr>
            </w:pPr>
            <w:r>
              <w:rPr>
                <w:rFonts w:hint="eastAsia" w:ascii="Times New Roman" w:hAnsi="Times New Roman" w:eastAsia="宋体" w:cs="Times New Roman"/>
                <w:b/>
                <w:color w:val="auto"/>
                <w:sz w:val="24"/>
                <w:szCs w:val="22"/>
                <w:lang w:val="en-US" w:eastAsia="zh-CN"/>
              </w:rPr>
              <w:t>4.2.4</w:t>
            </w:r>
            <w:r>
              <w:rPr>
                <w:rFonts w:hint="default" w:ascii="Times New Roman" w:hAnsi="Times New Roman" w:eastAsia="宋体" w:cs="Times New Roman"/>
                <w:b/>
                <w:color w:val="auto"/>
                <w:sz w:val="24"/>
                <w:szCs w:val="22"/>
              </w:rPr>
              <w:t>固废</w:t>
            </w:r>
          </w:p>
          <w:p w14:paraId="1EAD0D02">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val="en-US" w:eastAsia="zh-CN"/>
              </w:rPr>
              <w:t>4.2.4.1</w:t>
            </w:r>
            <w:r>
              <w:rPr>
                <w:rFonts w:hint="default" w:ascii="Times New Roman" w:hAnsi="Times New Roman" w:eastAsia="宋体" w:cs="Times New Roman"/>
                <w:b/>
                <w:bCs/>
                <w:color w:val="auto"/>
                <w:sz w:val="24"/>
                <w:szCs w:val="24"/>
                <w:lang w:eastAsia="zh-CN"/>
              </w:rPr>
              <w:t>生活垃圾</w:t>
            </w:r>
          </w:p>
          <w:p w14:paraId="5572F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auto"/>
                <w:sz w:val="24"/>
                <w:szCs w:val="22"/>
                <w:lang w:eastAsia="zh-CN"/>
              </w:rPr>
              <w:t>本项目</w:t>
            </w:r>
            <w:r>
              <w:rPr>
                <w:rFonts w:hint="eastAsia" w:ascii="Times New Roman" w:hAnsi="Times New Roman" w:eastAsia="宋体" w:cs="Times New Roman"/>
                <w:color w:val="auto"/>
                <w:sz w:val="24"/>
                <w:szCs w:val="22"/>
                <w:lang w:val="en-US" w:eastAsia="zh-CN"/>
              </w:rPr>
              <w:t>新增员工32</w:t>
            </w:r>
            <w:r>
              <w:rPr>
                <w:rFonts w:hint="default" w:ascii="Times New Roman" w:hAnsi="Times New Roman" w:eastAsia="宋体" w:cs="Times New Roman"/>
                <w:color w:val="auto"/>
                <w:sz w:val="24"/>
                <w:szCs w:val="22"/>
                <w:lang w:val="en-US" w:eastAsia="zh-CN"/>
              </w:rPr>
              <w:t>人，</w:t>
            </w:r>
            <w:r>
              <w:rPr>
                <w:rFonts w:hint="default" w:ascii="Times New Roman" w:hAnsi="Times New Roman" w:eastAsia="宋体" w:cs="Times New Roman"/>
                <w:color w:val="auto"/>
                <w:kern w:val="0"/>
                <w:sz w:val="24"/>
                <w:szCs w:val="20"/>
                <w:highlight w:val="none"/>
              </w:rPr>
              <w:t>生活垃圾的产生量按1.0kg/人·d，年工作日以</w:t>
            </w:r>
            <w:r>
              <w:rPr>
                <w:rFonts w:hint="eastAsia" w:ascii="Times New Roman" w:hAnsi="Times New Roman" w:eastAsia="宋体" w:cs="Times New Roman"/>
                <w:color w:val="auto"/>
                <w:kern w:val="0"/>
                <w:sz w:val="24"/>
                <w:szCs w:val="20"/>
                <w:highlight w:val="none"/>
                <w:lang w:eastAsia="zh-CN"/>
              </w:rPr>
              <w:t>3</w:t>
            </w:r>
            <w:r>
              <w:rPr>
                <w:rFonts w:hint="eastAsia" w:ascii="Times New Roman" w:hAnsi="Times New Roman" w:eastAsia="宋体" w:cs="Times New Roman"/>
                <w:color w:val="auto"/>
                <w:kern w:val="0"/>
                <w:sz w:val="24"/>
                <w:szCs w:val="20"/>
                <w:highlight w:val="none"/>
                <w:lang w:val="en-US" w:eastAsia="zh-CN"/>
              </w:rPr>
              <w:t>0</w:t>
            </w:r>
            <w:r>
              <w:rPr>
                <w:rFonts w:hint="eastAsia" w:ascii="Times New Roman" w:hAnsi="Times New Roman" w:eastAsia="宋体" w:cs="Times New Roman"/>
                <w:color w:val="auto"/>
                <w:kern w:val="0"/>
                <w:sz w:val="24"/>
                <w:szCs w:val="20"/>
                <w:highlight w:val="none"/>
                <w:lang w:eastAsia="zh-CN"/>
              </w:rPr>
              <w:t>0d</w:t>
            </w:r>
            <w:r>
              <w:rPr>
                <w:rFonts w:hint="default" w:ascii="Times New Roman" w:hAnsi="Times New Roman" w:eastAsia="宋体" w:cs="Times New Roman"/>
                <w:color w:val="auto"/>
                <w:kern w:val="0"/>
                <w:sz w:val="24"/>
                <w:szCs w:val="20"/>
                <w:highlight w:val="none"/>
              </w:rPr>
              <w:t>计算，</w:t>
            </w:r>
            <w:r>
              <w:rPr>
                <w:rFonts w:hint="default" w:ascii="Times New Roman" w:hAnsi="Times New Roman" w:eastAsia="宋体" w:cs="Times New Roman"/>
                <w:color w:val="auto"/>
                <w:sz w:val="24"/>
                <w:szCs w:val="22"/>
                <w:highlight w:val="none"/>
                <w:lang w:eastAsia="zh-CN"/>
              </w:rPr>
              <w:t>则生活垃圾的产生量为</w:t>
            </w:r>
            <w:r>
              <w:rPr>
                <w:rFonts w:hint="eastAsia" w:ascii="Times New Roman" w:hAnsi="Times New Roman" w:eastAsia="宋体" w:cs="Times New Roman"/>
                <w:color w:val="auto"/>
                <w:sz w:val="24"/>
                <w:szCs w:val="22"/>
                <w:highlight w:val="none"/>
                <w:lang w:val="en-US" w:eastAsia="zh-CN"/>
              </w:rPr>
              <w:t>9.6</w:t>
            </w:r>
            <w:r>
              <w:rPr>
                <w:rFonts w:hint="default" w:ascii="Times New Roman" w:hAnsi="Times New Roman" w:eastAsia="宋体" w:cs="Times New Roman"/>
                <w:color w:val="auto"/>
                <w:sz w:val="24"/>
                <w:szCs w:val="22"/>
                <w:highlight w:val="none"/>
                <w:lang w:val="en-US" w:eastAsia="zh-CN"/>
              </w:rPr>
              <w:t>t/a</w:t>
            </w:r>
            <w:r>
              <w:rPr>
                <w:rFonts w:hint="eastAsia" w:ascii="Times New Roman" w:hAnsi="Times New Roman" w:eastAsia="宋体" w:cs="Times New Roman"/>
                <w:color w:val="auto"/>
                <w:sz w:val="24"/>
                <w:szCs w:val="22"/>
                <w:highlight w:val="none"/>
                <w:lang w:val="en-US" w:eastAsia="zh-CN"/>
              </w:rPr>
              <w:t>，</w:t>
            </w:r>
            <w:r>
              <w:rPr>
                <w:rFonts w:hint="default" w:ascii="Times New Roman" w:hAnsi="Times New Roman" w:eastAsia="宋体" w:cs="Times New Roman"/>
                <w:color w:val="auto"/>
                <w:sz w:val="24"/>
                <w:szCs w:val="22"/>
                <w:highlight w:val="none"/>
                <w:lang w:val="en-US" w:eastAsia="zh-CN"/>
              </w:rPr>
              <w:t>生活</w:t>
            </w:r>
            <w:r>
              <w:rPr>
                <w:rFonts w:hint="default" w:ascii="Times New Roman" w:hAnsi="Times New Roman" w:eastAsia="宋体" w:cs="Times New Roman"/>
                <w:color w:val="auto"/>
                <w:sz w:val="24"/>
                <w:szCs w:val="22"/>
                <w:lang w:val="en-US" w:eastAsia="zh-CN"/>
              </w:rPr>
              <w:t>垃圾收集后由当地环卫部门清运，不对外排放。</w:t>
            </w:r>
          </w:p>
          <w:p w14:paraId="5215A2A4">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4.2.4.2</w:t>
            </w:r>
            <w:r>
              <w:rPr>
                <w:rFonts w:hint="default" w:ascii="Times New Roman" w:hAnsi="Times New Roman" w:eastAsia="宋体" w:cs="Times New Roman"/>
                <w:b/>
                <w:bCs/>
                <w:color w:val="auto"/>
                <w:sz w:val="24"/>
                <w:szCs w:val="24"/>
                <w:highlight w:val="none"/>
                <w:lang w:eastAsia="zh-CN"/>
              </w:rPr>
              <w:t>生产</w:t>
            </w:r>
            <w:r>
              <w:rPr>
                <w:rFonts w:hint="default" w:ascii="Times New Roman" w:hAnsi="Times New Roman" w:eastAsia="宋体" w:cs="Times New Roman"/>
                <w:b/>
                <w:bCs/>
                <w:color w:val="auto"/>
                <w:sz w:val="24"/>
                <w:szCs w:val="24"/>
                <w:highlight w:val="none"/>
              </w:rPr>
              <w:t>固废</w:t>
            </w:r>
          </w:p>
          <w:p w14:paraId="6911C86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lang w:val="en-US" w:eastAsia="zh-CN"/>
              </w:rPr>
              <w:t>一般废包装材料</w:t>
            </w:r>
          </w:p>
          <w:p w14:paraId="0AF1F30E">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本项目元器件包装袋以及方针、焊锡丝包装盒，按照其用量及包装规格计算，包装袋产生量约为30850个，包装盒产生量约为13个，包装袋单个以0.2kg计，包装盒以0.15kg计，则废包装材料产生量为6.172t/a，根据《固体废物分类与代码目录》，该固废属于SW17可再生类废物，其中包装袋代码为900-003-S17，包装盒代码为900-005-S17，集中收集后出售给废旧物资回收单位。</w:t>
            </w:r>
          </w:p>
          <w:p w14:paraId="08D6E5A1">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color w:val="auto"/>
                <w:sz w:val="24"/>
                <w:szCs w:val="24"/>
                <w:lang w:val="en-US" w:eastAsia="zh-CN"/>
              </w:rPr>
            </w:pPr>
          </w:p>
          <w:p w14:paraId="3283D2E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rPr>
                <w:rFonts w:hint="default" w:ascii="Times New Roman" w:hAnsi="Times New Roman"/>
                <w:color w:val="auto"/>
                <w:sz w:val="24"/>
                <w:szCs w:val="24"/>
                <w:lang w:val="en-US"/>
              </w:rPr>
            </w:pPr>
            <w:r>
              <w:rPr>
                <w:rFonts w:hint="eastAsia" w:ascii="Times New Roman" w:hAnsi="Times New Roman"/>
                <w:color w:val="auto"/>
                <w:sz w:val="24"/>
                <w:szCs w:val="24"/>
                <w:lang w:val="en-US" w:eastAsia="zh-CN"/>
              </w:rPr>
              <w:t>废塑料</w:t>
            </w:r>
          </w:p>
          <w:p w14:paraId="3CFF5F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rPr>
                <w:rFonts w:hint="eastAsia" w:ascii="Times New Roman" w:hAnsi="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本项目在注塑过程中会产生少量废塑料，其产生量约占原料用量的0.1%，本项目BMC材料用量为20t/a，则废塑料产生量为0.02t/a，</w:t>
            </w:r>
            <w:r>
              <w:rPr>
                <w:rFonts w:hint="eastAsia" w:ascii="Times New Roman" w:hAnsi="Times New Roman"/>
                <w:color w:val="auto"/>
                <w:sz w:val="24"/>
                <w:szCs w:val="24"/>
                <w:lang w:val="en-US" w:eastAsia="zh-CN"/>
              </w:rPr>
              <w:t>根据《固体废物分类与代码目录》，该固废属于SW17可再生类废物，代码为900-003-S17，集中收集后出售给废旧物资回收单位。</w:t>
            </w:r>
          </w:p>
          <w:p w14:paraId="73189B1B">
            <w:pPr>
              <w:pStyle w:val="11"/>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3</w:t>
            </w:r>
            <w:r>
              <w:rPr>
                <w:rFonts w:ascii="Times New Roman" w:hAnsi="Times New Roman"/>
                <w:color w:val="auto"/>
              </w:rPr>
              <w:t>）</w:t>
            </w:r>
            <w:r>
              <w:rPr>
                <w:rFonts w:hint="eastAsia" w:ascii="Times New Roman" w:hAnsi="Times New Roman"/>
                <w:color w:val="auto"/>
                <w:lang w:val="en-US" w:eastAsia="zh-CN"/>
              </w:rPr>
              <w:t>焊渣</w:t>
            </w:r>
          </w:p>
          <w:p w14:paraId="1BA6125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eastAsia" w:ascii="Times New Roman" w:hAnsi="Times New Roman"/>
                <w:color w:val="auto"/>
                <w:sz w:val="24"/>
                <w:szCs w:val="24"/>
                <w:lang w:val="en-US" w:eastAsia="zh-CN"/>
              </w:rPr>
            </w:pPr>
            <w:r>
              <w:rPr>
                <w:rFonts w:hint="default" w:ascii="Times New Roman" w:hAnsi="Times New Roman"/>
                <w:color w:val="auto"/>
              </w:rPr>
              <w:t>本项目</w:t>
            </w:r>
            <w:r>
              <w:rPr>
                <w:rFonts w:hint="eastAsia" w:ascii="Times New Roman" w:hAnsi="Times New Roman"/>
                <w:color w:val="auto"/>
                <w:lang w:val="en-US" w:eastAsia="zh-CN"/>
              </w:rPr>
              <w:t>在焊锡过程中会产</w:t>
            </w:r>
            <w:r>
              <w:rPr>
                <w:rFonts w:hint="eastAsia" w:ascii="Times New Roman" w:hAnsi="Times New Roman"/>
                <w:color w:val="000000" w:themeColor="text1"/>
                <w:lang w:val="en-US" w:eastAsia="zh-CN"/>
                <w14:textFill>
                  <w14:solidFill>
                    <w14:schemeClr w14:val="tx1"/>
                  </w14:solidFill>
                </w14:textFill>
              </w:rPr>
              <w:t>生一定量焊渣，其产生量约为0.005t/a，</w:t>
            </w:r>
            <w:r>
              <w:rPr>
                <w:rFonts w:hint="eastAsia" w:ascii="Times New Roman" w:hAnsi="Times New Roman"/>
                <w:color w:val="000000" w:themeColor="text1"/>
                <w:sz w:val="24"/>
                <w:szCs w:val="24"/>
                <w:lang w:val="en-US" w:eastAsia="zh-CN"/>
                <w14:textFill>
                  <w14:solidFill>
                    <w14:schemeClr w14:val="tx1"/>
                  </w14:solidFill>
                </w14:textFill>
              </w:rPr>
              <w:t>根据《固体废物分类与代码目录》，该固废属于SW59其他工业固体废物，代码为900-099-S59，集中收集后出售给废旧物资回收单位。</w:t>
            </w:r>
          </w:p>
          <w:p w14:paraId="5FBE8930">
            <w:pPr>
              <w:pStyle w:val="11"/>
              <w:spacing w:line="500" w:lineRule="exact"/>
              <w:ind w:left="-21" w:leftChars="-10"/>
              <w:rPr>
                <w:rFonts w:hint="default" w:ascii="Times New Roman" w:hAnsi="Times New Roman" w:eastAsiaTheme="minorEastAsia"/>
                <w:snapToGrid w:val="0"/>
                <w:color w:val="000000" w:themeColor="text1"/>
                <w:kern w:val="0"/>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4</w:t>
            </w:r>
            <w:r>
              <w:rPr>
                <w:rFonts w:ascii="Times New Roman" w:hAnsi="Times New Roman"/>
                <w:color w:val="000000" w:themeColor="text1"/>
                <w14:textFill>
                  <w14:solidFill>
                    <w14:schemeClr w14:val="tx1"/>
                  </w14:solidFill>
                </w14:textFill>
              </w:rPr>
              <w:t>）</w:t>
            </w:r>
            <w:r>
              <w:rPr>
                <w:rFonts w:hint="eastAsia" w:ascii="Times New Roman" w:hAnsi="Times New Roman"/>
                <w:snapToGrid w:val="0"/>
                <w:color w:val="000000" w:themeColor="text1"/>
                <w:kern w:val="0"/>
                <w:lang w:val="en-US" w:eastAsia="zh-CN"/>
                <w14:textFill>
                  <w14:solidFill>
                    <w14:schemeClr w14:val="tx1"/>
                  </w14:solidFill>
                </w14:textFill>
              </w:rPr>
              <w:t>废活性炭</w:t>
            </w:r>
          </w:p>
          <w:p w14:paraId="5241CD06">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本项目焊锡、清洗废气和塑封废气分别采用活性炭吸附处理，</w:t>
            </w:r>
            <w:r>
              <w:rPr>
                <w:rFonts w:hint="eastAsia" w:ascii="Times New Roman" w:hAnsi="Times New Roman" w:cs="Times New Roman"/>
                <w:color w:val="auto"/>
                <w:sz w:val="24"/>
                <w:szCs w:val="24"/>
                <w:lang w:val="en-US" w:eastAsia="zh-CN"/>
              </w:rPr>
              <w:t>其装填量及更换周期类比《浙江省分散吸附-集中再生活性炭法挥发性有机物治理体系建设技术指南（试行）》中的相关要求，具体见表4-16。</w:t>
            </w:r>
          </w:p>
          <w:p w14:paraId="4C0E2D00">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b/>
                <w:color w:val="auto"/>
                <w:kern w:val="0"/>
                <w:szCs w:val="21"/>
              </w:rPr>
            </w:pPr>
            <w:r>
              <w:rPr>
                <w:rFonts w:ascii="Times New Roman" w:hAnsi="Times New Roman" w:cs="Times New Roman"/>
                <w:b/>
                <w:color w:val="auto"/>
                <w:kern w:val="0"/>
                <w:szCs w:val="21"/>
              </w:rPr>
              <w:t>表</w:t>
            </w:r>
            <w:r>
              <w:rPr>
                <w:rFonts w:hint="eastAsia" w:ascii="Times New Roman" w:hAnsi="Times New Roman" w:cs="Times New Roman"/>
                <w:b/>
                <w:color w:val="auto"/>
                <w:kern w:val="0"/>
                <w:szCs w:val="21"/>
                <w:lang w:val="en-US" w:eastAsia="zh-CN"/>
              </w:rPr>
              <w:t>4</w:t>
            </w:r>
            <w:r>
              <w:rPr>
                <w:rFonts w:ascii="Times New Roman" w:hAnsi="Times New Roman" w:cs="Times New Roman"/>
                <w:b/>
                <w:color w:val="auto"/>
                <w:kern w:val="0"/>
                <w:szCs w:val="21"/>
              </w:rPr>
              <w:t>-</w:t>
            </w:r>
            <w:r>
              <w:rPr>
                <w:rFonts w:hint="eastAsia" w:ascii="Times New Roman" w:hAnsi="Times New Roman" w:cs="Times New Roman"/>
                <w:b/>
                <w:color w:val="auto"/>
                <w:kern w:val="0"/>
                <w:szCs w:val="21"/>
                <w:lang w:val="en-US" w:eastAsia="zh-CN"/>
              </w:rPr>
              <w:t>16</w:t>
            </w:r>
            <w:r>
              <w:rPr>
                <w:rFonts w:ascii="Times New Roman" w:hAnsi="Times New Roman" w:cs="Times New Roman"/>
                <w:b/>
                <w:color w:val="auto"/>
                <w:kern w:val="0"/>
                <w:szCs w:val="21"/>
              </w:rPr>
              <w:t xml:space="preserve"> </w:t>
            </w:r>
            <w:r>
              <w:rPr>
                <w:rFonts w:hint="eastAsia" w:ascii="Times New Roman" w:hAnsi="Times New Roman" w:cs="Times New Roman"/>
                <w:b/>
                <w:color w:val="auto"/>
                <w:kern w:val="0"/>
                <w:szCs w:val="21"/>
              </w:rPr>
              <w:t>废气收集参数和最少活性炭装填量参考表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88"/>
              <w:gridCol w:w="1663"/>
              <w:gridCol w:w="1971"/>
              <w:gridCol w:w="1197"/>
              <w:gridCol w:w="1197"/>
            </w:tblGrid>
            <w:tr w14:paraId="6D66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Merge w:val="restart"/>
                  <w:noWrap/>
                  <w:vAlign w:val="center"/>
                </w:tcPr>
                <w:p w14:paraId="17C852CF">
                  <w:pPr>
                    <w:jc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color w:val="auto"/>
                      <w:szCs w:val="21"/>
                      <w:lang w:val="en-US" w:eastAsia="zh-CN"/>
                    </w:rPr>
                    <w:t>序号</w:t>
                  </w:r>
                </w:p>
              </w:tc>
              <w:tc>
                <w:tcPr>
                  <w:tcW w:w="1788" w:type="dxa"/>
                  <w:vMerge w:val="restart"/>
                  <w:noWrap/>
                  <w:vAlign w:val="center"/>
                </w:tcPr>
                <w:p w14:paraId="5718BE25">
                  <w:pPr>
                    <w:jc w:val="center"/>
                    <w:rPr>
                      <w:rFonts w:hint="eastAsia"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风量（Q）范围</w:t>
                  </w:r>
                </w:p>
                <w:p w14:paraId="48607A4A">
                  <w:pPr>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Nm</w:t>
                  </w:r>
                  <w:r>
                    <w:rPr>
                      <w:rFonts w:hint="eastAsia" w:ascii="Times New Roman" w:hAnsi="Times New Roman" w:cs="Times New Roman"/>
                      <w:b/>
                      <w:color w:val="auto"/>
                      <w:szCs w:val="21"/>
                      <w:vertAlign w:val="superscript"/>
                      <w:lang w:val="en-US" w:eastAsia="zh-CN"/>
                    </w:rPr>
                    <w:t>3</w:t>
                  </w:r>
                  <w:r>
                    <w:rPr>
                      <w:rFonts w:hint="eastAsia" w:ascii="Times New Roman" w:hAnsi="Times New Roman" w:cs="Times New Roman"/>
                      <w:b/>
                      <w:color w:val="auto"/>
                      <w:szCs w:val="21"/>
                      <w:lang w:val="en-US" w:eastAsia="zh-CN"/>
                    </w:rPr>
                    <w:t>/h</w:t>
                  </w:r>
                </w:p>
              </w:tc>
              <w:tc>
                <w:tcPr>
                  <w:tcW w:w="1663" w:type="dxa"/>
                  <w:vMerge w:val="restart"/>
                  <w:noWrap/>
                  <w:vAlign w:val="center"/>
                </w:tcPr>
                <w:p w14:paraId="536A15C4">
                  <w:pPr>
                    <w:jc w:val="center"/>
                    <w:rPr>
                      <w:rFonts w:hint="eastAsia" w:ascii="Times New Roman" w:hAnsi="Times New Roman" w:cs="Times New Roman"/>
                      <w:b/>
                      <w:color w:val="auto"/>
                      <w:szCs w:val="21"/>
                    </w:rPr>
                  </w:pPr>
                  <w:r>
                    <w:rPr>
                      <w:rFonts w:hint="eastAsia" w:ascii="Times New Roman" w:hAnsi="Times New Roman" w:cs="Times New Roman"/>
                      <w:b/>
                      <w:color w:val="auto"/>
                      <w:szCs w:val="21"/>
                    </w:rPr>
                    <w:t>VOCs初始浓度范围</w:t>
                  </w:r>
                </w:p>
                <w:p w14:paraId="7213F607">
                  <w:pPr>
                    <w:jc w:val="center"/>
                    <w:rPr>
                      <w:rFonts w:ascii="Times New Roman" w:hAnsi="Times New Roman" w:cs="Times New Roman"/>
                      <w:b/>
                      <w:color w:val="auto"/>
                      <w:szCs w:val="21"/>
                    </w:rPr>
                  </w:pPr>
                  <w:r>
                    <w:rPr>
                      <w:rFonts w:hint="eastAsia" w:ascii="Times New Roman" w:hAnsi="Times New Roman" w:cs="Times New Roman"/>
                      <w:b/>
                      <w:color w:val="auto"/>
                      <w:szCs w:val="21"/>
                    </w:rPr>
                    <w:t>mg/Nm</w:t>
                  </w:r>
                  <w:r>
                    <w:rPr>
                      <w:rFonts w:hint="eastAsia" w:ascii="Times New Roman" w:hAnsi="Times New Roman" w:cs="Times New Roman"/>
                      <w:b/>
                      <w:color w:val="auto"/>
                      <w:szCs w:val="21"/>
                      <w:vertAlign w:val="superscript"/>
                    </w:rPr>
                    <w:t>3</w:t>
                  </w:r>
                </w:p>
              </w:tc>
              <w:tc>
                <w:tcPr>
                  <w:tcW w:w="1971" w:type="dxa"/>
                  <w:vMerge w:val="restart"/>
                  <w:noWrap/>
                  <w:vAlign w:val="center"/>
                </w:tcPr>
                <w:p w14:paraId="1C41E689">
                  <w:pPr>
                    <w:jc w:val="center"/>
                    <w:rPr>
                      <w:rFonts w:hint="eastAsia" w:ascii="Times New Roman" w:hAnsi="Times New Roman" w:cs="Times New Roman"/>
                      <w:b/>
                      <w:color w:val="auto"/>
                      <w:szCs w:val="21"/>
                    </w:rPr>
                  </w:pPr>
                  <w:r>
                    <w:rPr>
                      <w:rFonts w:hint="eastAsia" w:ascii="Times New Roman" w:hAnsi="Times New Roman" w:cs="Times New Roman"/>
                      <w:b/>
                      <w:color w:val="auto"/>
                      <w:szCs w:val="21"/>
                    </w:rPr>
                    <w:t>活性炭最少装填量/</w:t>
                  </w:r>
                </w:p>
                <w:p w14:paraId="1270BDAE">
                  <w:pPr>
                    <w:jc w:val="center"/>
                    <w:rPr>
                      <w:rFonts w:hint="eastAsia" w:ascii="Times New Roman" w:hAnsi="Times New Roman" w:cs="Times New Roman"/>
                      <w:b/>
                      <w:color w:val="auto"/>
                      <w:szCs w:val="21"/>
                    </w:rPr>
                  </w:pPr>
                  <w:r>
                    <w:rPr>
                      <w:rFonts w:hint="eastAsia" w:ascii="Times New Roman" w:hAnsi="Times New Roman" w:cs="Times New Roman"/>
                      <w:b/>
                      <w:color w:val="auto"/>
                      <w:szCs w:val="21"/>
                    </w:rPr>
                    <w:t>吨（按500小时使用</w:t>
                  </w:r>
                </w:p>
                <w:p w14:paraId="0DE78D1A">
                  <w:pPr>
                    <w:jc w:val="center"/>
                    <w:rPr>
                      <w:rFonts w:ascii="Times New Roman" w:hAnsi="Times New Roman" w:cs="Times New Roman"/>
                      <w:b/>
                      <w:color w:val="auto"/>
                      <w:szCs w:val="21"/>
                    </w:rPr>
                  </w:pPr>
                  <w:r>
                    <w:rPr>
                      <w:rFonts w:hint="eastAsia" w:ascii="Times New Roman" w:hAnsi="Times New Roman" w:cs="Times New Roman"/>
                      <w:b/>
                      <w:color w:val="auto"/>
                      <w:szCs w:val="21"/>
                    </w:rPr>
                    <w:t>时间计）</w:t>
                  </w:r>
                </w:p>
              </w:tc>
              <w:tc>
                <w:tcPr>
                  <w:tcW w:w="2394" w:type="dxa"/>
                  <w:gridSpan w:val="2"/>
                  <w:noWrap/>
                  <w:vAlign w:val="center"/>
                </w:tcPr>
                <w:p w14:paraId="65D938E3">
                  <w:pPr>
                    <w:jc w:val="center"/>
                    <w:rPr>
                      <w:rFonts w:hint="eastAsia"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本项目情况</w:t>
                  </w:r>
                </w:p>
              </w:tc>
            </w:tr>
            <w:tr w14:paraId="296E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vMerge w:val="continue"/>
                  <w:noWrap/>
                  <w:vAlign w:val="center"/>
                </w:tcPr>
                <w:p w14:paraId="6E56D034">
                  <w:pPr>
                    <w:jc w:val="center"/>
                    <w:rPr>
                      <w:rFonts w:hint="eastAsia" w:ascii="Times New Roman" w:hAnsi="Times New Roman" w:cs="Times New Roman"/>
                      <w:b/>
                      <w:color w:val="FF0000"/>
                      <w:szCs w:val="21"/>
                      <w:lang w:val="en-US" w:eastAsia="zh-CN"/>
                    </w:rPr>
                  </w:pPr>
                </w:p>
              </w:tc>
              <w:tc>
                <w:tcPr>
                  <w:tcW w:w="1788" w:type="dxa"/>
                  <w:vMerge w:val="continue"/>
                  <w:noWrap/>
                  <w:vAlign w:val="center"/>
                </w:tcPr>
                <w:p w14:paraId="5637FE06">
                  <w:pPr>
                    <w:jc w:val="center"/>
                    <w:rPr>
                      <w:rFonts w:hint="eastAsia" w:ascii="Times New Roman" w:hAnsi="Times New Roman" w:cs="Times New Roman"/>
                      <w:b/>
                      <w:color w:val="FF0000"/>
                      <w:szCs w:val="21"/>
                      <w:lang w:val="en-US" w:eastAsia="zh-CN"/>
                    </w:rPr>
                  </w:pPr>
                </w:p>
              </w:tc>
              <w:tc>
                <w:tcPr>
                  <w:tcW w:w="1663" w:type="dxa"/>
                  <w:vMerge w:val="continue"/>
                  <w:noWrap/>
                  <w:vAlign w:val="center"/>
                </w:tcPr>
                <w:p w14:paraId="6FC373E5">
                  <w:pPr>
                    <w:jc w:val="center"/>
                    <w:rPr>
                      <w:rFonts w:hint="eastAsia" w:ascii="Times New Roman" w:hAnsi="Times New Roman" w:cs="Times New Roman"/>
                      <w:b/>
                      <w:color w:val="FF0000"/>
                      <w:szCs w:val="21"/>
                    </w:rPr>
                  </w:pPr>
                </w:p>
              </w:tc>
              <w:tc>
                <w:tcPr>
                  <w:tcW w:w="1971" w:type="dxa"/>
                  <w:vMerge w:val="continue"/>
                  <w:noWrap/>
                  <w:vAlign w:val="center"/>
                </w:tcPr>
                <w:p w14:paraId="07AAE986">
                  <w:pPr>
                    <w:jc w:val="center"/>
                    <w:rPr>
                      <w:rFonts w:hint="eastAsia" w:ascii="Times New Roman" w:hAnsi="Times New Roman" w:cs="Times New Roman"/>
                      <w:b/>
                      <w:color w:val="FF0000"/>
                      <w:szCs w:val="21"/>
                    </w:rPr>
                  </w:pPr>
                </w:p>
              </w:tc>
              <w:tc>
                <w:tcPr>
                  <w:tcW w:w="1197" w:type="dxa"/>
                  <w:noWrap/>
                  <w:vAlign w:val="center"/>
                </w:tcPr>
                <w:p w14:paraId="1869AA3C">
                  <w:pPr>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焊锡、清洗废气</w:t>
                  </w:r>
                </w:p>
              </w:tc>
              <w:tc>
                <w:tcPr>
                  <w:tcW w:w="1197" w:type="dxa"/>
                  <w:noWrap/>
                  <w:vAlign w:val="center"/>
                </w:tcPr>
                <w:p w14:paraId="1087DA26">
                  <w:pPr>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塑封废气</w:t>
                  </w:r>
                </w:p>
              </w:tc>
            </w:tr>
            <w:tr w14:paraId="37B0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593D885A">
                  <w:pPr>
                    <w:ind w:left="420" w:hanging="420" w:hangingChars="20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1</w:t>
                  </w:r>
                </w:p>
              </w:tc>
              <w:tc>
                <w:tcPr>
                  <w:tcW w:w="1788" w:type="dxa"/>
                  <w:vMerge w:val="restart"/>
                  <w:noWrap/>
                  <w:vAlign w:val="center"/>
                </w:tcPr>
                <w:p w14:paraId="04AD6CF4">
                  <w:pPr>
                    <w:jc w:val="center"/>
                    <w:rPr>
                      <w:rFonts w:hint="eastAsia" w:ascii="Times New Roman" w:hAnsi="Times New Roman" w:cs="Times New Roman" w:eastAsiaTheme="minorEastAsia"/>
                      <w:b w:val="0"/>
                      <w:bCs w:val="0"/>
                      <w:color w:val="auto"/>
                      <w:szCs w:val="21"/>
                      <w:lang w:eastAsia="zh-CN"/>
                    </w:rPr>
                  </w:pPr>
                  <w:r>
                    <w:rPr>
                      <w:rFonts w:hint="eastAsia" w:ascii="Times New Roman" w:hAnsi="Times New Roman" w:cs="Times New Roman" w:eastAsiaTheme="minorEastAsia"/>
                      <w:b w:val="0"/>
                      <w:bCs w:val="0"/>
                      <w:color w:val="auto"/>
                      <w:szCs w:val="21"/>
                      <w:lang w:eastAsia="zh-CN"/>
                    </w:rPr>
                    <w:t>Q&lt;5000</w:t>
                  </w:r>
                </w:p>
              </w:tc>
              <w:tc>
                <w:tcPr>
                  <w:tcW w:w="1663" w:type="dxa"/>
                  <w:noWrap/>
                  <w:vAlign w:val="center"/>
                </w:tcPr>
                <w:p w14:paraId="7F0E4659">
                  <w:pPr>
                    <w:ind w:left="420" w:hanging="420" w:hangingChars="200"/>
                    <w:jc w:val="center"/>
                    <w:rPr>
                      <w:rFonts w:ascii="Times New Roman" w:hAnsi="Times New Roman" w:cs="Times New Roman"/>
                      <w:b w:val="0"/>
                      <w:bCs w:val="0"/>
                      <w:color w:val="auto"/>
                      <w:szCs w:val="21"/>
                    </w:rPr>
                  </w:pPr>
                  <w:r>
                    <w:rPr>
                      <w:rFonts w:hint="eastAsia" w:ascii="Times New Roman" w:hAnsi="Times New Roman" w:cs="Times New Roman"/>
                      <w:b w:val="0"/>
                      <w:bCs w:val="0"/>
                      <w:color w:val="auto"/>
                      <w:szCs w:val="21"/>
                    </w:rPr>
                    <w:t>0~200</w:t>
                  </w:r>
                </w:p>
              </w:tc>
              <w:tc>
                <w:tcPr>
                  <w:tcW w:w="1971" w:type="dxa"/>
                  <w:noWrap/>
                  <w:vAlign w:val="center"/>
                </w:tcPr>
                <w:p w14:paraId="02CBA7B4">
                  <w:pPr>
                    <w:ind w:left="420" w:hanging="420" w:hangingChars="20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0.5</w:t>
                  </w:r>
                </w:p>
              </w:tc>
              <w:tc>
                <w:tcPr>
                  <w:tcW w:w="1197" w:type="dxa"/>
                  <w:vMerge w:val="restart"/>
                  <w:noWrap/>
                  <w:vAlign w:val="center"/>
                </w:tcPr>
                <w:p w14:paraId="3672A11A">
                  <w:pPr>
                    <w:jc w:val="both"/>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本项目焊锡、清洗废气风量2000m</w:t>
                  </w:r>
                  <w:r>
                    <w:rPr>
                      <w:rFonts w:hint="eastAsia" w:ascii="Times New Roman" w:hAnsi="Times New Roman" w:cs="Times New Roman"/>
                      <w:color w:val="auto"/>
                      <w:szCs w:val="21"/>
                      <w:vertAlign w:val="superscript"/>
                      <w:lang w:val="en-US" w:eastAsia="zh-CN"/>
                    </w:rPr>
                    <w:t>3</w:t>
                  </w:r>
                  <w:r>
                    <w:rPr>
                      <w:rFonts w:hint="eastAsia" w:ascii="Times New Roman" w:hAnsi="Times New Roman" w:cs="Times New Roman"/>
                      <w:color w:val="auto"/>
                      <w:szCs w:val="21"/>
                      <w:lang w:val="en-US" w:eastAsia="zh-CN"/>
                    </w:rPr>
                    <w:t>/h；初始浓度小于</w:t>
                  </w:r>
                  <w:r>
                    <w:rPr>
                      <w:rFonts w:hint="eastAsia" w:ascii="Times New Roman" w:hAnsi="Times New Roman" w:cs="Times New Roman"/>
                      <w:color w:val="auto"/>
                      <w:szCs w:val="21"/>
                    </w:rPr>
                    <w:t>200</w:t>
                  </w:r>
                </w:p>
              </w:tc>
              <w:tc>
                <w:tcPr>
                  <w:tcW w:w="1197" w:type="dxa"/>
                  <w:vMerge w:val="restart"/>
                  <w:noWrap/>
                  <w:vAlign w:val="center"/>
                </w:tcPr>
                <w:p w14:paraId="610ADA51">
                  <w:pPr>
                    <w:jc w:val="both"/>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本项目塑封废气风量3500m</w:t>
                  </w:r>
                  <w:r>
                    <w:rPr>
                      <w:rFonts w:hint="eastAsia" w:ascii="Times New Roman" w:hAnsi="Times New Roman" w:cs="Times New Roman"/>
                      <w:color w:val="auto"/>
                      <w:szCs w:val="21"/>
                      <w:vertAlign w:val="superscript"/>
                      <w:lang w:val="en-US" w:eastAsia="zh-CN"/>
                    </w:rPr>
                    <w:t>3</w:t>
                  </w:r>
                  <w:r>
                    <w:rPr>
                      <w:rFonts w:hint="eastAsia" w:ascii="Times New Roman" w:hAnsi="Times New Roman" w:cs="Times New Roman"/>
                      <w:color w:val="auto"/>
                      <w:szCs w:val="21"/>
                      <w:lang w:val="en-US" w:eastAsia="zh-CN"/>
                    </w:rPr>
                    <w:t>/h；初始浓度小于</w:t>
                  </w:r>
                  <w:r>
                    <w:rPr>
                      <w:rFonts w:hint="eastAsia" w:ascii="Times New Roman" w:hAnsi="Times New Roman" w:cs="Times New Roman"/>
                      <w:color w:val="auto"/>
                      <w:szCs w:val="21"/>
                    </w:rPr>
                    <w:t>200</w:t>
                  </w:r>
                </w:p>
              </w:tc>
            </w:tr>
            <w:tr w14:paraId="2ADF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591E5933">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w:t>
                  </w:r>
                </w:p>
              </w:tc>
              <w:tc>
                <w:tcPr>
                  <w:tcW w:w="1788" w:type="dxa"/>
                  <w:vMerge w:val="continue"/>
                  <w:noWrap/>
                  <w:vAlign w:val="center"/>
                </w:tcPr>
                <w:p w14:paraId="14DDF351">
                  <w:pPr>
                    <w:jc w:val="center"/>
                    <w:rPr>
                      <w:rFonts w:hint="eastAsia" w:ascii="Times New Roman" w:hAnsi="Times New Roman" w:cs="Times New Roman"/>
                      <w:color w:val="auto"/>
                      <w:szCs w:val="21"/>
                      <w:lang w:val="en-US" w:eastAsia="zh-CN"/>
                    </w:rPr>
                  </w:pPr>
                </w:p>
              </w:tc>
              <w:tc>
                <w:tcPr>
                  <w:tcW w:w="1663" w:type="dxa"/>
                  <w:noWrap/>
                  <w:vAlign w:val="center"/>
                </w:tcPr>
                <w:p w14:paraId="36EE5E61">
                  <w:pPr>
                    <w:ind w:left="42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200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00</w:t>
                  </w:r>
                </w:p>
              </w:tc>
              <w:tc>
                <w:tcPr>
                  <w:tcW w:w="1971" w:type="dxa"/>
                  <w:noWrap/>
                  <w:vAlign w:val="center"/>
                </w:tcPr>
                <w:p w14:paraId="07108511">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w:t>
                  </w:r>
                </w:p>
              </w:tc>
              <w:tc>
                <w:tcPr>
                  <w:tcW w:w="1197" w:type="dxa"/>
                  <w:vMerge w:val="continue"/>
                  <w:noWrap/>
                  <w:vAlign w:val="center"/>
                </w:tcPr>
                <w:p w14:paraId="273B4B20">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0FD67E6D">
                  <w:pPr>
                    <w:ind w:left="420" w:hanging="420" w:hangingChars="200"/>
                    <w:jc w:val="center"/>
                    <w:rPr>
                      <w:rFonts w:hint="eastAsia" w:ascii="Times New Roman" w:hAnsi="Times New Roman" w:cs="Times New Roman"/>
                      <w:color w:val="FF0000"/>
                      <w:szCs w:val="21"/>
                      <w:lang w:val="en-US" w:eastAsia="zh-CN"/>
                    </w:rPr>
                  </w:pPr>
                </w:p>
              </w:tc>
            </w:tr>
            <w:tr w14:paraId="272A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762735D6">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w:t>
                  </w:r>
                </w:p>
              </w:tc>
              <w:tc>
                <w:tcPr>
                  <w:tcW w:w="1788" w:type="dxa"/>
                  <w:vMerge w:val="continue"/>
                  <w:noWrap/>
                  <w:vAlign w:val="center"/>
                </w:tcPr>
                <w:p w14:paraId="103697B8">
                  <w:pPr>
                    <w:jc w:val="center"/>
                    <w:rPr>
                      <w:rFonts w:hint="eastAsia" w:ascii="Times New Roman" w:hAnsi="Times New Roman" w:cs="Times New Roman"/>
                      <w:color w:val="auto"/>
                      <w:szCs w:val="21"/>
                      <w:lang w:val="en-US" w:eastAsia="zh-CN"/>
                    </w:rPr>
                  </w:pPr>
                </w:p>
              </w:tc>
              <w:tc>
                <w:tcPr>
                  <w:tcW w:w="1663" w:type="dxa"/>
                  <w:noWrap/>
                  <w:vAlign w:val="center"/>
                </w:tcPr>
                <w:p w14:paraId="3A0B25AA">
                  <w:pPr>
                    <w:ind w:left="42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300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4</w:t>
                  </w:r>
                  <w:r>
                    <w:rPr>
                      <w:rFonts w:hint="eastAsia" w:ascii="Times New Roman" w:hAnsi="Times New Roman" w:cs="Times New Roman"/>
                      <w:color w:val="auto"/>
                      <w:szCs w:val="21"/>
                    </w:rPr>
                    <w:t>00</w:t>
                  </w:r>
                </w:p>
              </w:tc>
              <w:tc>
                <w:tcPr>
                  <w:tcW w:w="1971" w:type="dxa"/>
                  <w:noWrap/>
                  <w:vAlign w:val="center"/>
                </w:tcPr>
                <w:p w14:paraId="761E5036">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w:t>
                  </w:r>
                </w:p>
              </w:tc>
              <w:tc>
                <w:tcPr>
                  <w:tcW w:w="1197" w:type="dxa"/>
                  <w:vMerge w:val="continue"/>
                  <w:noWrap/>
                  <w:vAlign w:val="center"/>
                </w:tcPr>
                <w:p w14:paraId="2D2AB473">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7B57B266">
                  <w:pPr>
                    <w:ind w:left="420" w:hanging="420" w:hangingChars="200"/>
                    <w:jc w:val="center"/>
                    <w:rPr>
                      <w:rFonts w:hint="eastAsia" w:ascii="Times New Roman" w:hAnsi="Times New Roman" w:cs="Times New Roman"/>
                      <w:color w:val="FF0000"/>
                      <w:szCs w:val="21"/>
                      <w:lang w:val="en-US" w:eastAsia="zh-CN"/>
                    </w:rPr>
                  </w:pPr>
                </w:p>
              </w:tc>
            </w:tr>
            <w:tr w14:paraId="6954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024606EB">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w:t>
                  </w:r>
                </w:p>
              </w:tc>
              <w:tc>
                <w:tcPr>
                  <w:tcW w:w="1788" w:type="dxa"/>
                  <w:vMerge w:val="continue"/>
                  <w:noWrap/>
                  <w:vAlign w:val="center"/>
                </w:tcPr>
                <w:p w14:paraId="28056E2C">
                  <w:pPr>
                    <w:jc w:val="center"/>
                    <w:rPr>
                      <w:rFonts w:hint="eastAsia" w:ascii="Times New Roman" w:hAnsi="Times New Roman" w:cs="Times New Roman"/>
                      <w:color w:val="auto"/>
                      <w:szCs w:val="21"/>
                      <w:lang w:val="en-US" w:eastAsia="zh-CN"/>
                    </w:rPr>
                  </w:pPr>
                </w:p>
              </w:tc>
              <w:tc>
                <w:tcPr>
                  <w:tcW w:w="1663" w:type="dxa"/>
                  <w:noWrap/>
                  <w:vAlign w:val="center"/>
                </w:tcPr>
                <w:p w14:paraId="2D94615C">
                  <w:pPr>
                    <w:ind w:left="42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400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5</w:t>
                  </w:r>
                  <w:r>
                    <w:rPr>
                      <w:rFonts w:hint="eastAsia" w:ascii="Times New Roman" w:hAnsi="Times New Roman" w:cs="Times New Roman"/>
                      <w:color w:val="auto"/>
                      <w:szCs w:val="21"/>
                    </w:rPr>
                    <w:t>00</w:t>
                  </w:r>
                </w:p>
              </w:tc>
              <w:tc>
                <w:tcPr>
                  <w:tcW w:w="1971" w:type="dxa"/>
                  <w:noWrap/>
                  <w:vAlign w:val="center"/>
                </w:tcPr>
                <w:p w14:paraId="22854854">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w:t>
                  </w:r>
                </w:p>
              </w:tc>
              <w:tc>
                <w:tcPr>
                  <w:tcW w:w="1197" w:type="dxa"/>
                  <w:vMerge w:val="continue"/>
                  <w:noWrap/>
                  <w:vAlign w:val="center"/>
                </w:tcPr>
                <w:p w14:paraId="40F6353A">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6B0777EB">
                  <w:pPr>
                    <w:ind w:left="420" w:hanging="420" w:hangingChars="200"/>
                    <w:jc w:val="center"/>
                    <w:rPr>
                      <w:rFonts w:hint="eastAsia" w:ascii="Times New Roman" w:hAnsi="Times New Roman" w:cs="Times New Roman"/>
                      <w:color w:val="FF0000"/>
                      <w:szCs w:val="21"/>
                      <w:lang w:val="en-US" w:eastAsia="zh-CN"/>
                    </w:rPr>
                  </w:pPr>
                </w:p>
              </w:tc>
            </w:tr>
            <w:tr w14:paraId="6DEC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6C6F5E33">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w:t>
                  </w:r>
                </w:p>
              </w:tc>
              <w:tc>
                <w:tcPr>
                  <w:tcW w:w="1788" w:type="dxa"/>
                  <w:vMerge w:val="restart"/>
                  <w:noWrap/>
                  <w:vAlign w:val="center"/>
                </w:tcPr>
                <w:p w14:paraId="610D3870">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5000≤Q&lt;10000</w:t>
                  </w:r>
                </w:p>
              </w:tc>
              <w:tc>
                <w:tcPr>
                  <w:tcW w:w="1663" w:type="dxa"/>
                  <w:noWrap/>
                  <w:vAlign w:val="center"/>
                </w:tcPr>
                <w:p w14:paraId="7987FF1D">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rPr>
                    <w:t>0~200</w:t>
                  </w:r>
                </w:p>
              </w:tc>
              <w:tc>
                <w:tcPr>
                  <w:tcW w:w="1971" w:type="dxa"/>
                  <w:noWrap/>
                  <w:vAlign w:val="center"/>
                </w:tcPr>
                <w:p w14:paraId="6910C717">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w:t>
                  </w:r>
                </w:p>
              </w:tc>
              <w:tc>
                <w:tcPr>
                  <w:tcW w:w="1197" w:type="dxa"/>
                  <w:vMerge w:val="continue"/>
                  <w:noWrap/>
                  <w:vAlign w:val="center"/>
                </w:tcPr>
                <w:p w14:paraId="7A16A2E8">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1A8F99FF">
                  <w:pPr>
                    <w:ind w:left="420" w:hanging="420" w:hangingChars="200"/>
                    <w:jc w:val="center"/>
                    <w:rPr>
                      <w:rFonts w:hint="eastAsia" w:ascii="Times New Roman" w:hAnsi="Times New Roman" w:cs="Times New Roman"/>
                      <w:color w:val="FF0000"/>
                      <w:szCs w:val="21"/>
                      <w:lang w:val="en-US" w:eastAsia="zh-CN"/>
                    </w:rPr>
                  </w:pPr>
                </w:p>
              </w:tc>
            </w:tr>
            <w:tr w14:paraId="4261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076C2BC0">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6</w:t>
                  </w:r>
                </w:p>
              </w:tc>
              <w:tc>
                <w:tcPr>
                  <w:tcW w:w="1788" w:type="dxa"/>
                  <w:vMerge w:val="continue"/>
                  <w:noWrap/>
                  <w:vAlign w:val="center"/>
                </w:tcPr>
                <w:p w14:paraId="746E2CA8">
                  <w:pPr>
                    <w:jc w:val="center"/>
                    <w:rPr>
                      <w:rFonts w:hint="eastAsia" w:ascii="Times New Roman" w:hAnsi="Times New Roman" w:cs="Times New Roman"/>
                      <w:color w:val="auto"/>
                      <w:szCs w:val="21"/>
                      <w:lang w:val="en-US" w:eastAsia="zh-CN"/>
                    </w:rPr>
                  </w:pPr>
                </w:p>
              </w:tc>
              <w:tc>
                <w:tcPr>
                  <w:tcW w:w="1663" w:type="dxa"/>
                  <w:noWrap/>
                  <w:vAlign w:val="center"/>
                </w:tcPr>
                <w:p w14:paraId="552A42D6">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200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00</w:t>
                  </w:r>
                </w:p>
              </w:tc>
              <w:tc>
                <w:tcPr>
                  <w:tcW w:w="1971" w:type="dxa"/>
                  <w:noWrap/>
                  <w:vAlign w:val="center"/>
                </w:tcPr>
                <w:p w14:paraId="474A6F78">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w:t>
                  </w:r>
                </w:p>
              </w:tc>
              <w:tc>
                <w:tcPr>
                  <w:tcW w:w="1197" w:type="dxa"/>
                  <w:vMerge w:val="continue"/>
                  <w:noWrap/>
                  <w:vAlign w:val="center"/>
                </w:tcPr>
                <w:p w14:paraId="34401C1A">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66CB0016">
                  <w:pPr>
                    <w:ind w:left="420" w:hanging="420" w:hangingChars="200"/>
                    <w:jc w:val="center"/>
                    <w:rPr>
                      <w:rFonts w:hint="eastAsia" w:ascii="Times New Roman" w:hAnsi="Times New Roman" w:cs="Times New Roman"/>
                      <w:color w:val="FF0000"/>
                      <w:szCs w:val="21"/>
                      <w:lang w:val="en-US" w:eastAsia="zh-CN"/>
                    </w:rPr>
                  </w:pPr>
                </w:p>
              </w:tc>
            </w:tr>
            <w:tr w14:paraId="4DD9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1D342B23">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w:t>
                  </w:r>
                </w:p>
              </w:tc>
              <w:tc>
                <w:tcPr>
                  <w:tcW w:w="1788" w:type="dxa"/>
                  <w:vMerge w:val="continue"/>
                  <w:noWrap/>
                  <w:vAlign w:val="center"/>
                </w:tcPr>
                <w:p w14:paraId="4964990D">
                  <w:pPr>
                    <w:jc w:val="center"/>
                    <w:rPr>
                      <w:rFonts w:hint="eastAsia" w:ascii="Times New Roman" w:hAnsi="Times New Roman" w:cs="Times New Roman"/>
                      <w:color w:val="auto"/>
                      <w:szCs w:val="21"/>
                      <w:lang w:val="en-US" w:eastAsia="zh-CN"/>
                    </w:rPr>
                  </w:pPr>
                </w:p>
              </w:tc>
              <w:tc>
                <w:tcPr>
                  <w:tcW w:w="1663" w:type="dxa"/>
                  <w:noWrap/>
                  <w:vAlign w:val="center"/>
                </w:tcPr>
                <w:p w14:paraId="40CB3F9D">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300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4</w:t>
                  </w:r>
                  <w:r>
                    <w:rPr>
                      <w:rFonts w:hint="eastAsia" w:ascii="Times New Roman" w:hAnsi="Times New Roman" w:cs="Times New Roman"/>
                      <w:color w:val="auto"/>
                      <w:szCs w:val="21"/>
                    </w:rPr>
                    <w:t>00</w:t>
                  </w:r>
                </w:p>
              </w:tc>
              <w:tc>
                <w:tcPr>
                  <w:tcW w:w="1971" w:type="dxa"/>
                  <w:noWrap/>
                  <w:vAlign w:val="center"/>
                </w:tcPr>
                <w:p w14:paraId="5E93A325">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w:t>
                  </w:r>
                </w:p>
              </w:tc>
              <w:tc>
                <w:tcPr>
                  <w:tcW w:w="1197" w:type="dxa"/>
                  <w:vMerge w:val="continue"/>
                  <w:noWrap/>
                  <w:vAlign w:val="center"/>
                </w:tcPr>
                <w:p w14:paraId="2C784240">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0BAFD38D">
                  <w:pPr>
                    <w:ind w:left="420" w:hanging="420" w:hangingChars="200"/>
                    <w:jc w:val="center"/>
                    <w:rPr>
                      <w:rFonts w:hint="eastAsia" w:ascii="Times New Roman" w:hAnsi="Times New Roman" w:cs="Times New Roman"/>
                      <w:color w:val="FF0000"/>
                      <w:szCs w:val="21"/>
                      <w:lang w:val="en-US" w:eastAsia="zh-CN"/>
                    </w:rPr>
                  </w:pPr>
                </w:p>
              </w:tc>
            </w:tr>
            <w:tr w14:paraId="72B8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4EB53E98">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8</w:t>
                  </w:r>
                </w:p>
              </w:tc>
              <w:tc>
                <w:tcPr>
                  <w:tcW w:w="1788" w:type="dxa"/>
                  <w:vMerge w:val="continue"/>
                  <w:noWrap/>
                  <w:vAlign w:val="center"/>
                </w:tcPr>
                <w:p w14:paraId="4591CB29">
                  <w:pPr>
                    <w:jc w:val="center"/>
                    <w:rPr>
                      <w:rFonts w:hint="eastAsia" w:ascii="Times New Roman" w:hAnsi="Times New Roman" w:cs="Times New Roman"/>
                      <w:color w:val="auto"/>
                      <w:szCs w:val="21"/>
                      <w:lang w:val="en-US" w:eastAsia="zh-CN"/>
                    </w:rPr>
                  </w:pPr>
                </w:p>
              </w:tc>
              <w:tc>
                <w:tcPr>
                  <w:tcW w:w="1663" w:type="dxa"/>
                  <w:noWrap/>
                  <w:vAlign w:val="center"/>
                </w:tcPr>
                <w:p w14:paraId="20EC29E0">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400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5</w:t>
                  </w:r>
                  <w:r>
                    <w:rPr>
                      <w:rFonts w:hint="eastAsia" w:ascii="Times New Roman" w:hAnsi="Times New Roman" w:cs="Times New Roman"/>
                      <w:color w:val="auto"/>
                      <w:szCs w:val="21"/>
                    </w:rPr>
                    <w:t>00</w:t>
                  </w:r>
                </w:p>
              </w:tc>
              <w:tc>
                <w:tcPr>
                  <w:tcW w:w="1971" w:type="dxa"/>
                  <w:noWrap/>
                  <w:vAlign w:val="center"/>
                </w:tcPr>
                <w:p w14:paraId="56F29503">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w:t>
                  </w:r>
                </w:p>
              </w:tc>
              <w:tc>
                <w:tcPr>
                  <w:tcW w:w="1197" w:type="dxa"/>
                  <w:vMerge w:val="continue"/>
                  <w:noWrap/>
                  <w:vAlign w:val="center"/>
                </w:tcPr>
                <w:p w14:paraId="4694987F">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6EEA5715">
                  <w:pPr>
                    <w:ind w:left="420" w:hanging="420" w:hangingChars="200"/>
                    <w:jc w:val="center"/>
                    <w:rPr>
                      <w:rFonts w:hint="eastAsia" w:ascii="Times New Roman" w:hAnsi="Times New Roman" w:cs="Times New Roman"/>
                      <w:color w:val="FF0000"/>
                      <w:szCs w:val="21"/>
                      <w:lang w:val="en-US" w:eastAsia="zh-CN"/>
                    </w:rPr>
                  </w:pPr>
                </w:p>
              </w:tc>
            </w:tr>
            <w:tr w14:paraId="5A1C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5BE9C4F6">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9</w:t>
                  </w:r>
                </w:p>
              </w:tc>
              <w:tc>
                <w:tcPr>
                  <w:tcW w:w="1788" w:type="dxa"/>
                  <w:vMerge w:val="restart"/>
                  <w:noWrap/>
                  <w:vAlign w:val="center"/>
                </w:tcPr>
                <w:p w14:paraId="6CAC3CAB">
                  <w:pPr>
                    <w:jc w:val="center"/>
                    <w:rPr>
                      <w:rFonts w:hint="eastAsia"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10000≤Q&lt;20000</w:t>
                  </w:r>
                </w:p>
              </w:tc>
              <w:tc>
                <w:tcPr>
                  <w:tcW w:w="1663" w:type="dxa"/>
                  <w:noWrap/>
                  <w:vAlign w:val="center"/>
                </w:tcPr>
                <w:p w14:paraId="7CE2D2CF">
                  <w:pPr>
                    <w:ind w:left="420" w:leftChars="0" w:hanging="420" w:hangingChars="200"/>
                    <w:jc w:val="center"/>
                    <w:rPr>
                      <w:rFonts w:ascii="Times New Roman" w:hAnsi="Times New Roman" w:cs="Times New Roman"/>
                      <w:b w:val="0"/>
                      <w:bCs w:val="0"/>
                      <w:color w:val="auto"/>
                      <w:szCs w:val="21"/>
                    </w:rPr>
                  </w:pPr>
                  <w:r>
                    <w:rPr>
                      <w:rFonts w:hint="eastAsia" w:ascii="Times New Roman" w:hAnsi="Times New Roman" w:cs="Times New Roman"/>
                      <w:b w:val="0"/>
                      <w:bCs w:val="0"/>
                      <w:color w:val="auto"/>
                      <w:szCs w:val="21"/>
                    </w:rPr>
                    <w:t>0~200</w:t>
                  </w:r>
                </w:p>
              </w:tc>
              <w:tc>
                <w:tcPr>
                  <w:tcW w:w="1971" w:type="dxa"/>
                  <w:noWrap/>
                  <w:vAlign w:val="center"/>
                </w:tcPr>
                <w:p w14:paraId="3EE68A84">
                  <w:pPr>
                    <w:ind w:left="420" w:hanging="420" w:hangingChars="200"/>
                    <w:jc w:val="center"/>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1.5</w:t>
                  </w:r>
                </w:p>
              </w:tc>
              <w:tc>
                <w:tcPr>
                  <w:tcW w:w="1197" w:type="dxa"/>
                  <w:vMerge w:val="continue"/>
                  <w:noWrap/>
                  <w:vAlign w:val="center"/>
                </w:tcPr>
                <w:p w14:paraId="145CE9D4">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4D40E2DF">
                  <w:pPr>
                    <w:ind w:left="420" w:hanging="420" w:hangingChars="200"/>
                    <w:jc w:val="center"/>
                    <w:rPr>
                      <w:rFonts w:hint="eastAsia" w:ascii="Times New Roman" w:hAnsi="Times New Roman" w:cs="Times New Roman"/>
                      <w:color w:val="FF0000"/>
                      <w:szCs w:val="21"/>
                      <w:lang w:val="en-US" w:eastAsia="zh-CN"/>
                    </w:rPr>
                  </w:pPr>
                </w:p>
              </w:tc>
            </w:tr>
            <w:tr w14:paraId="1F16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41E058B4">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1788" w:type="dxa"/>
                  <w:vMerge w:val="continue"/>
                  <w:noWrap/>
                  <w:vAlign w:val="center"/>
                </w:tcPr>
                <w:p w14:paraId="06A7AE10">
                  <w:pPr>
                    <w:jc w:val="center"/>
                    <w:rPr>
                      <w:rFonts w:hint="eastAsia" w:ascii="Times New Roman" w:hAnsi="Times New Roman" w:cs="Times New Roman"/>
                      <w:color w:val="auto"/>
                      <w:szCs w:val="21"/>
                      <w:lang w:val="en-US" w:eastAsia="zh-CN"/>
                    </w:rPr>
                  </w:pPr>
                </w:p>
              </w:tc>
              <w:tc>
                <w:tcPr>
                  <w:tcW w:w="1663" w:type="dxa"/>
                  <w:noWrap/>
                  <w:vAlign w:val="center"/>
                </w:tcPr>
                <w:p w14:paraId="0DB9447E">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200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00</w:t>
                  </w:r>
                </w:p>
              </w:tc>
              <w:tc>
                <w:tcPr>
                  <w:tcW w:w="1971" w:type="dxa"/>
                  <w:noWrap/>
                  <w:vAlign w:val="center"/>
                </w:tcPr>
                <w:p w14:paraId="539F7752">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w:t>
                  </w:r>
                </w:p>
              </w:tc>
              <w:tc>
                <w:tcPr>
                  <w:tcW w:w="1197" w:type="dxa"/>
                  <w:vMerge w:val="continue"/>
                  <w:noWrap/>
                  <w:vAlign w:val="center"/>
                </w:tcPr>
                <w:p w14:paraId="2E29495E">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201020AB">
                  <w:pPr>
                    <w:ind w:left="420" w:hanging="420" w:hangingChars="200"/>
                    <w:jc w:val="center"/>
                    <w:rPr>
                      <w:rFonts w:hint="eastAsia" w:ascii="Times New Roman" w:hAnsi="Times New Roman" w:cs="Times New Roman"/>
                      <w:color w:val="FF0000"/>
                      <w:szCs w:val="21"/>
                      <w:lang w:val="en-US" w:eastAsia="zh-CN"/>
                    </w:rPr>
                  </w:pPr>
                </w:p>
              </w:tc>
            </w:tr>
            <w:tr w14:paraId="3F22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394AC663">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11</w:t>
                  </w:r>
                </w:p>
              </w:tc>
              <w:tc>
                <w:tcPr>
                  <w:tcW w:w="1788" w:type="dxa"/>
                  <w:vMerge w:val="continue"/>
                  <w:noWrap/>
                  <w:vAlign w:val="center"/>
                </w:tcPr>
                <w:p w14:paraId="5E98750A">
                  <w:pPr>
                    <w:jc w:val="center"/>
                    <w:rPr>
                      <w:rFonts w:hint="eastAsia" w:ascii="Times New Roman" w:hAnsi="Times New Roman" w:cs="Times New Roman"/>
                      <w:color w:val="auto"/>
                      <w:szCs w:val="21"/>
                      <w:lang w:val="en-US" w:eastAsia="zh-CN"/>
                    </w:rPr>
                  </w:pPr>
                </w:p>
              </w:tc>
              <w:tc>
                <w:tcPr>
                  <w:tcW w:w="1663" w:type="dxa"/>
                  <w:noWrap/>
                  <w:vAlign w:val="center"/>
                </w:tcPr>
                <w:p w14:paraId="1C775725">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300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4</w:t>
                  </w:r>
                  <w:r>
                    <w:rPr>
                      <w:rFonts w:hint="eastAsia" w:ascii="Times New Roman" w:hAnsi="Times New Roman" w:cs="Times New Roman"/>
                      <w:color w:val="auto"/>
                      <w:szCs w:val="21"/>
                    </w:rPr>
                    <w:t>00</w:t>
                  </w:r>
                </w:p>
              </w:tc>
              <w:tc>
                <w:tcPr>
                  <w:tcW w:w="1971" w:type="dxa"/>
                  <w:noWrap/>
                  <w:vAlign w:val="center"/>
                </w:tcPr>
                <w:p w14:paraId="2EB96A25">
                  <w:pPr>
                    <w:ind w:left="420" w:hanging="420" w:hangingChars="20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w:t>
                  </w:r>
                </w:p>
              </w:tc>
              <w:tc>
                <w:tcPr>
                  <w:tcW w:w="1197" w:type="dxa"/>
                  <w:vMerge w:val="continue"/>
                  <w:noWrap/>
                  <w:vAlign w:val="center"/>
                </w:tcPr>
                <w:p w14:paraId="02AB4E96">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43F9BFA9">
                  <w:pPr>
                    <w:ind w:left="420" w:hanging="420" w:hangingChars="200"/>
                    <w:jc w:val="center"/>
                    <w:rPr>
                      <w:rFonts w:hint="eastAsia" w:ascii="Times New Roman" w:hAnsi="Times New Roman" w:cs="Times New Roman"/>
                      <w:color w:val="FF0000"/>
                      <w:szCs w:val="21"/>
                      <w:lang w:val="en-US" w:eastAsia="zh-CN"/>
                    </w:rPr>
                  </w:pPr>
                </w:p>
              </w:tc>
            </w:tr>
            <w:tr w14:paraId="4DEF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ign w:val="center"/>
                </w:tcPr>
                <w:p w14:paraId="7A8927E2">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12</w:t>
                  </w:r>
                </w:p>
              </w:tc>
              <w:tc>
                <w:tcPr>
                  <w:tcW w:w="1788" w:type="dxa"/>
                  <w:vMerge w:val="continue"/>
                  <w:noWrap/>
                  <w:vAlign w:val="center"/>
                </w:tcPr>
                <w:p w14:paraId="7620F54E">
                  <w:pPr>
                    <w:jc w:val="center"/>
                    <w:rPr>
                      <w:rFonts w:hint="eastAsia" w:ascii="Times New Roman" w:hAnsi="Times New Roman" w:cs="Times New Roman"/>
                      <w:color w:val="auto"/>
                      <w:szCs w:val="21"/>
                      <w:lang w:val="en-US" w:eastAsia="zh-CN"/>
                    </w:rPr>
                  </w:pPr>
                </w:p>
              </w:tc>
              <w:tc>
                <w:tcPr>
                  <w:tcW w:w="1663" w:type="dxa"/>
                  <w:noWrap/>
                  <w:vAlign w:val="center"/>
                </w:tcPr>
                <w:p w14:paraId="6491B611">
                  <w:pPr>
                    <w:ind w:left="420" w:leftChars="0" w:hanging="420" w:hangingChars="20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400</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5</w:t>
                  </w:r>
                  <w:r>
                    <w:rPr>
                      <w:rFonts w:hint="eastAsia" w:ascii="Times New Roman" w:hAnsi="Times New Roman" w:cs="Times New Roman"/>
                      <w:color w:val="auto"/>
                      <w:szCs w:val="21"/>
                    </w:rPr>
                    <w:t>00</w:t>
                  </w:r>
                </w:p>
              </w:tc>
              <w:tc>
                <w:tcPr>
                  <w:tcW w:w="1971" w:type="dxa"/>
                  <w:noWrap/>
                  <w:vAlign w:val="center"/>
                </w:tcPr>
                <w:p w14:paraId="31A0575C">
                  <w:pPr>
                    <w:ind w:left="420" w:hanging="420" w:hangingChars="20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1197" w:type="dxa"/>
                  <w:vMerge w:val="continue"/>
                  <w:noWrap/>
                  <w:vAlign w:val="center"/>
                </w:tcPr>
                <w:p w14:paraId="290F1DD6">
                  <w:pPr>
                    <w:ind w:left="420" w:hanging="420" w:hangingChars="200"/>
                    <w:jc w:val="center"/>
                    <w:rPr>
                      <w:rFonts w:hint="eastAsia" w:ascii="Times New Roman" w:hAnsi="Times New Roman" w:cs="Times New Roman"/>
                      <w:color w:val="FF0000"/>
                      <w:szCs w:val="21"/>
                      <w:lang w:val="en-US" w:eastAsia="zh-CN"/>
                    </w:rPr>
                  </w:pPr>
                </w:p>
              </w:tc>
              <w:tc>
                <w:tcPr>
                  <w:tcW w:w="1197" w:type="dxa"/>
                  <w:vMerge w:val="continue"/>
                  <w:noWrap/>
                  <w:vAlign w:val="center"/>
                </w:tcPr>
                <w:p w14:paraId="002E1BFD">
                  <w:pPr>
                    <w:ind w:left="420" w:hanging="420" w:hangingChars="200"/>
                    <w:jc w:val="center"/>
                    <w:rPr>
                      <w:rFonts w:hint="eastAsia" w:ascii="Times New Roman" w:hAnsi="Times New Roman" w:cs="Times New Roman"/>
                      <w:color w:val="FF0000"/>
                      <w:szCs w:val="21"/>
                      <w:lang w:val="en-US" w:eastAsia="zh-CN"/>
                    </w:rPr>
                  </w:pPr>
                </w:p>
              </w:tc>
            </w:tr>
          </w:tbl>
          <w:p w14:paraId="0343CC5C">
            <w:pPr>
              <w:pStyle w:val="58"/>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FF0000"/>
                <w:sz w:val="24"/>
                <w:szCs w:val="24"/>
                <w:lang w:val="en-US" w:eastAsia="zh-CN"/>
              </w:rPr>
            </w:pPr>
            <w:r>
              <w:rPr>
                <w:rFonts w:hint="eastAsia" w:ascii="Times New Roman" w:hAnsi="Times New Roman" w:cs="Times New Roman"/>
                <w:color w:val="auto"/>
                <w:sz w:val="24"/>
                <w:szCs w:val="24"/>
                <w:lang w:val="en-US" w:eastAsia="zh-CN"/>
              </w:rPr>
              <w:t>由上表得知，本项目两套废气处理设施，均以0.5t/次填装量，更换次数均为5次/年，则废活性炭产生量为5.047t/a（包括吸附的有机废气量0.047t/a）。对照《国家危险废物名录》(2021年版)，该废物属危险固废HW49其他废物，危废代码：900-039-49，集中收集后委托资质单位进行处置。</w:t>
            </w:r>
          </w:p>
          <w:p w14:paraId="3A7925C0">
            <w:pPr>
              <w:pStyle w:val="11"/>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5</w:t>
            </w:r>
            <w:r>
              <w:rPr>
                <w:rFonts w:ascii="Times New Roman" w:hAnsi="Times New Roman"/>
                <w:color w:val="auto"/>
              </w:rPr>
              <w:t>）</w:t>
            </w:r>
            <w:r>
              <w:rPr>
                <w:rFonts w:hint="eastAsia" w:ascii="Times New Roman" w:hAnsi="Times New Roman"/>
                <w:snapToGrid w:val="0"/>
                <w:color w:val="auto"/>
                <w:kern w:val="0"/>
                <w:lang w:val="en-US" w:eastAsia="zh-CN"/>
              </w:rPr>
              <w:t>废过滤棉</w:t>
            </w:r>
          </w:p>
          <w:p w14:paraId="0BE33D20">
            <w:pPr>
              <w:pStyle w:val="58"/>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auto"/>
                <w:sz w:val="24"/>
                <w:szCs w:val="24"/>
                <w:lang w:val="en-US" w:eastAsia="zh-CN"/>
              </w:rPr>
              <w:t>本项目焊锡、清洗废气采用过滤棉处理，过滤棉2个月更换一次，其废过滤棉产生量约为0.02t/a，</w:t>
            </w:r>
            <w:r>
              <w:rPr>
                <w:rFonts w:hint="eastAsia" w:ascii="Times New Roman" w:hAnsi="Times New Roman" w:cs="Times New Roman"/>
                <w:color w:val="auto"/>
                <w:sz w:val="24"/>
                <w:szCs w:val="24"/>
                <w:lang w:val="en-US" w:eastAsia="zh-CN"/>
              </w:rPr>
              <w:t>对照《国家危险废物名录》(2021年版)，该废物属危险固废HW49其他废物，危废代码：900-041-49，集中收集后委托资质单位进行处置。</w:t>
            </w:r>
          </w:p>
          <w:p w14:paraId="4657B2AE">
            <w:pPr>
              <w:pStyle w:val="11"/>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6</w:t>
            </w:r>
            <w:r>
              <w:rPr>
                <w:rFonts w:ascii="Times New Roman" w:hAnsi="Times New Roman"/>
                <w:color w:val="auto"/>
              </w:rPr>
              <w:t>）</w:t>
            </w:r>
            <w:r>
              <w:rPr>
                <w:rFonts w:hint="eastAsia" w:ascii="Times New Roman" w:hAnsi="Times New Roman"/>
                <w:color w:val="auto"/>
                <w:lang w:val="en-US" w:eastAsia="zh-CN"/>
              </w:rPr>
              <w:t>废丝网纸</w:t>
            </w:r>
          </w:p>
          <w:p w14:paraId="5A7D86CA">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本项目刷锡膏过程产生的废丝网纸约0.05t/a，</w:t>
            </w:r>
            <w:r>
              <w:rPr>
                <w:rFonts w:hint="eastAsia" w:ascii="Times New Roman" w:hAnsi="Times New Roman"/>
                <w:color w:val="auto"/>
                <w:sz w:val="24"/>
                <w:szCs w:val="24"/>
                <w:lang w:val="en-US" w:eastAsia="zh-CN"/>
              </w:rPr>
              <w:t>根据《固体废物分类与代码目录》，该固废属于SW17可再生类废物，代码为900-005-S17，集中收集后出售给废旧物资回收单位。</w:t>
            </w:r>
          </w:p>
          <w:p w14:paraId="21EEBC66">
            <w:pPr>
              <w:pStyle w:val="11"/>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7</w:t>
            </w:r>
            <w:r>
              <w:rPr>
                <w:rFonts w:ascii="Times New Roman" w:hAnsi="Times New Roman"/>
                <w:color w:val="auto"/>
              </w:rPr>
              <w:t>）</w:t>
            </w:r>
            <w:r>
              <w:rPr>
                <w:rFonts w:hint="eastAsia" w:ascii="Times New Roman" w:hAnsi="Times New Roman"/>
                <w:color w:val="auto"/>
                <w:lang w:val="en-US" w:eastAsia="zh-CN"/>
              </w:rPr>
              <w:t>废清洗液</w:t>
            </w:r>
          </w:p>
          <w:p w14:paraId="0BCF36ED">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本项目超声波清洗液需定期更换，其产生量约为0.45t/a。</w:t>
            </w:r>
            <w:r>
              <w:rPr>
                <w:rFonts w:hint="eastAsia" w:ascii="Times New Roman" w:hAnsi="Times New Roman" w:cs="Times New Roman"/>
                <w:color w:val="auto"/>
                <w:sz w:val="24"/>
                <w:szCs w:val="24"/>
                <w:lang w:val="en-US" w:eastAsia="zh-CN"/>
              </w:rPr>
              <w:t>对照《国家危险废物名录》(2</w:t>
            </w:r>
            <w:r>
              <w:rPr>
                <w:rFonts w:hint="eastAsia" w:ascii="Times New Roman" w:hAnsi="Times New Roman" w:cs="Times New Roman"/>
                <w:color w:val="000000" w:themeColor="text1"/>
                <w:sz w:val="24"/>
                <w:szCs w:val="24"/>
                <w:lang w:val="en-US" w:eastAsia="zh-CN"/>
                <w14:textFill>
                  <w14:solidFill>
                    <w14:schemeClr w14:val="tx1"/>
                  </w14:solidFill>
                </w14:textFill>
              </w:rPr>
              <w:t>021年版)，该废物属危险固废HW06废有机溶剂与含有机溶剂废物，危废代码：900-404-06，集中收集后委托资质单位进行处置。</w:t>
            </w:r>
          </w:p>
          <w:p w14:paraId="30CEE7D1">
            <w:pPr>
              <w:pStyle w:val="11"/>
              <w:spacing w:line="360" w:lineRule="auto"/>
              <w:ind w:left="-21" w:leftChars="-10"/>
              <w:rPr>
                <w:rFonts w:hint="default" w:ascii="Times New Roman" w:hAnsi="Times New Roman" w:eastAsiaTheme="minorEastAsia"/>
                <w:snapToGrid w:val="0"/>
                <w:color w:val="auto"/>
                <w:kern w:val="0"/>
                <w:lang w:val="en-US" w:eastAsia="zh-CN"/>
              </w:rPr>
            </w:pPr>
            <w:r>
              <w:rPr>
                <w:rFonts w:ascii="Times New Roman" w:hAnsi="Times New Roman"/>
                <w:color w:val="auto"/>
              </w:rPr>
              <w:t>（</w:t>
            </w:r>
            <w:r>
              <w:rPr>
                <w:rFonts w:hint="eastAsia" w:ascii="Times New Roman" w:hAnsi="Times New Roman"/>
                <w:color w:val="auto"/>
                <w:lang w:val="en-US" w:eastAsia="zh-CN"/>
              </w:rPr>
              <w:t>8</w:t>
            </w:r>
            <w:r>
              <w:rPr>
                <w:rFonts w:ascii="Times New Roman" w:hAnsi="Times New Roman"/>
                <w:color w:val="auto"/>
              </w:rPr>
              <w:t>）</w:t>
            </w:r>
            <w:r>
              <w:rPr>
                <w:rFonts w:hint="eastAsia" w:ascii="Times New Roman" w:hAnsi="Times New Roman"/>
                <w:color w:val="auto"/>
                <w:lang w:val="en-US" w:eastAsia="zh-CN"/>
              </w:rPr>
              <w:t>边角料</w:t>
            </w:r>
          </w:p>
          <w:p w14:paraId="11E499D3">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本项目在剪脚、分板过程中会产生一定量边角料，其产生量约为0.05t/a。</w:t>
            </w:r>
            <w:r>
              <w:rPr>
                <w:rFonts w:hint="eastAsia" w:ascii="Times New Roman" w:hAnsi="Times New Roman" w:cs="Times New Roman"/>
                <w:color w:val="auto"/>
                <w:sz w:val="24"/>
                <w:szCs w:val="24"/>
                <w:lang w:val="en-US" w:eastAsia="zh-CN"/>
              </w:rPr>
              <w:t>对照《国家危险废物名录》(2021年版)，该废物属危险固废HW49其他废物，危废代码：900-045-49，集中收集后委托资质单位进行处置。</w:t>
            </w:r>
          </w:p>
          <w:p w14:paraId="0A3D68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4"/>
                <w:szCs w:val="24"/>
              </w:rPr>
              <w:t>根据《固体废物鉴别标准 通则》规定，判断每种副产物均属于固体废物，见表</w:t>
            </w:r>
            <w:r>
              <w:rPr>
                <w:rFonts w:hint="eastAsia" w:ascii="Times New Roman" w:hAnsi="Times New Roman" w:eastAsia="宋体" w:cs="Times New Roman"/>
                <w:color w:val="auto"/>
                <w:sz w:val="24"/>
                <w:szCs w:val="24"/>
                <w:lang w:val="en-US" w:eastAsia="zh-CN"/>
              </w:rPr>
              <w:t>4-17</w:t>
            </w:r>
            <w:r>
              <w:rPr>
                <w:rFonts w:hint="default" w:ascii="Times New Roman" w:hAnsi="Times New Roman" w:eastAsia="宋体" w:cs="Times New Roman"/>
                <w:color w:val="auto"/>
                <w:sz w:val="24"/>
                <w:szCs w:val="24"/>
              </w:rPr>
              <w:t>。</w:t>
            </w:r>
          </w:p>
          <w:p w14:paraId="2905389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cs="Times New Roman"/>
                <w:b/>
                <w:bCs/>
                <w:color w:val="auto"/>
                <w:sz w:val="21"/>
                <w:szCs w:val="21"/>
                <w:lang w:val="en-US" w:eastAsia="zh-CN"/>
              </w:rPr>
              <w:t>4-17</w:t>
            </w:r>
            <w:r>
              <w:rPr>
                <w:rFonts w:hint="default" w:ascii="Times New Roman" w:hAnsi="Times New Roman" w:eastAsia="宋体" w:cs="Times New Roman"/>
                <w:b/>
                <w:bCs/>
                <w:color w:val="auto"/>
                <w:sz w:val="21"/>
                <w:szCs w:val="21"/>
              </w:rPr>
              <w:t xml:space="preserve">  副产物固体废物属性判定表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5"/>
              <w:gridCol w:w="1275"/>
              <w:gridCol w:w="1436"/>
              <w:gridCol w:w="629"/>
              <w:gridCol w:w="1050"/>
              <w:gridCol w:w="1364"/>
              <w:gridCol w:w="2135"/>
            </w:tblGrid>
            <w:tr w14:paraId="1D4B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05514E30">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75" w:type="dxa"/>
                  <w:noWrap w:val="0"/>
                  <w:vAlign w:val="center"/>
                </w:tcPr>
                <w:p w14:paraId="1E1A5936">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副产物名称</w:t>
                  </w:r>
                </w:p>
              </w:tc>
              <w:tc>
                <w:tcPr>
                  <w:tcW w:w="1436" w:type="dxa"/>
                  <w:noWrap w:val="0"/>
                  <w:vAlign w:val="center"/>
                </w:tcPr>
                <w:p w14:paraId="7A19510E">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产生工序</w:t>
                  </w:r>
                </w:p>
              </w:tc>
              <w:tc>
                <w:tcPr>
                  <w:tcW w:w="629" w:type="dxa"/>
                  <w:noWrap w:val="0"/>
                  <w:vAlign w:val="center"/>
                </w:tcPr>
                <w:p w14:paraId="6C1D945B">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形态</w:t>
                  </w:r>
                </w:p>
              </w:tc>
              <w:tc>
                <w:tcPr>
                  <w:tcW w:w="1050" w:type="dxa"/>
                  <w:noWrap w:val="0"/>
                  <w:vAlign w:val="center"/>
                </w:tcPr>
                <w:p w14:paraId="0A7F2A3C">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主要成分</w:t>
                  </w:r>
                </w:p>
              </w:tc>
              <w:tc>
                <w:tcPr>
                  <w:tcW w:w="1364" w:type="dxa"/>
                  <w:noWrap w:val="0"/>
                  <w:vAlign w:val="center"/>
                </w:tcPr>
                <w:p w14:paraId="69858226">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是否属于固体废物</w:t>
                  </w:r>
                </w:p>
              </w:tc>
              <w:tc>
                <w:tcPr>
                  <w:tcW w:w="2135" w:type="dxa"/>
                  <w:noWrap w:val="0"/>
                  <w:vAlign w:val="center"/>
                </w:tcPr>
                <w:p w14:paraId="57350E58">
                  <w:pPr>
                    <w:keepNext w:val="0"/>
                    <w:keepLines w:val="0"/>
                    <w:pageBreakBefore w:val="0"/>
                    <w:kinsoku/>
                    <w:bidi w:val="0"/>
                    <w:spacing w:line="240" w:lineRule="auto"/>
                    <w:ind w:left="0" w:left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判定依据</w:t>
                  </w:r>
                </w:p>
              </w:tc>
            </w:tr>
            <w:tr w14:paraId="54BE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79066780">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75" w:type="dxa"/>
                  <w:noWrap w:val="0"/>
                  <w:vAlign w:val="center"/>
                </w:tcPr>
                <w:p w14:paraId="68ACD875">
                  <w:pPr>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生活垃圾</w:t>
                  </w:r>
                </w:p>
              </w:tc>
              <w:tc>
                <w:tcPr>
                  <w:tcW w:w="1436" w:type="dxa"/>
                  <w:noWrap w:val="0"/>
                  <w:vAlign w:val="center"/>
                </w:tcPr>
                <w:p w14:paraId="6C6866B1">
                  <w:pPr>
                    <w:jc w:val="center"/>
                    <w:rPr>
                      <w:rFonts w:hint="default" w:ascii="Times New Roman" w:hAnsi="Times New Roman" w:cs="Times New Roman"/>
                      <w:color w:val="FF0000"/>
                      <w:sz w:val="21"/>
                      <w:szCs w:val="21"/>
                    </w:rPr>
                  </w:pPr>
                  <w:r>
                    <w:rPr>
                      <w:rFonts w:hint="default" w:ascii="Times New Roman" w:hAnsi="Times New Roman" w:cs="Times New Roman"/>
                      <w:bCs/>
                      <w:color w:val="auto"/>
                      <w:szCs w:val="21"/>
                    </w:rPr>
                    <w:t>职工生活</w:t>
                  </w:r>
                </w:p>
              </w:tc>
              <w:tc>
                <w:tcPr>
                  <w:tcW w:w="629" w:type="dxa"/>
                  <w:noWrap w:val="0"/>
                  <w:vAlign w:val="center"/>
                </w:tcPr>
                <w:p w14:paraId="54EB946B">
                  <w:pPr>
                    <w:snapToGrid w:val="0"/>
                    <w:jc w:val="center"/>
                    <w:rPr>
                      <w:rFonts w:hint="default" w:ascii="Times New Roman" w:hAnsi="Times New Roman" w:cs="Times New Roman"/>
                      <w:color w:val="FF0000"/>
                      <w:sz w:val="21"/>
                      <w:szCs w:val="21"/>
                    </w:rPr>
                  </w:pPr>
                  <w:r>
                    <w:rPr>
                      <w:rFonts w:hint="default" w:ascii="Times New Roman" w:hAnsi="Times New Roman" w:cs="Times New Roman"/>
                      <w:bCs/>
                      <w:color w:val="auto"/>
                      <w:szCs w:val="21"/>
                    </w:rPr>
                    <w:t>固态</w:t>
                  </w:r>
                </w:p>
              </w:tc>
              <w:tc>
                <w:tcPr>
                  <w:tcW w:w="1050" w:type="dxa"/>
                  <w:noWrap w:val="0"/>
                  <w:vAlign w:val="center"/>
                </w:tcPr>
                <w:p w14:paraId="2A855781">
                  <w:pPr>
                    <w:snapToGrid w:val="0"/>
                    <w:jc w:val="center"/>
                    <w:rPr>
                      <w:rFonts w:hint="default" w:ascii="Times New Roman" w:hAnsi="Times New Roman" w:cs="Times New Roman"/>
                      <w:color w:val="auto"/>
                      <w:sz w:val="21"/>
                      <w:szCs w:val="21"/>
                    </w:rPr>
                  </w:pPr>
                  <w:r>
                    <w:rPr>
                      <w:rFonts w:hint="default" w:ascii="Times New Roman" w:hAnsi="Times New Roman" w:cs="Times New Roman"/>
                      <w:bCs/>
                      <w:color w:val="auto"/>
                      <w:szCs w:val="21"/>
                    </w:rPr>
                    <w:t>生活垃圾</w:t>
                  </w:r>
                </w:p>
              </w:tc>
              <w:tc>
                <w:tcPr>
                  <w:tcW w:w="1364" w:type="dxa"/>
                  <w:noWrap w:val="0"/>
                  <w:vAlign w:val="center"/>
                </w:tcPr>
                <w:p w14:paraId="7C0B0E2B">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p>
              </w:tc>
              <w:tc>
                <w:tcPr>
                  <w:tcW w:w="2135" w:type="dxa"/>
                  <w:noWrap w:val="0"/>
                  <w:vAlign w:val="center"/>
                </w:tcPr>
                <w:p w14:paraId="1012DB11">
                  <w:pPr>
                    <w:jc w:val="center"/>
                    <w:rPr>
                      <w:rFonts w:hint="default" w:ascii="Times New Roman" w:hAnsi="Times New Roman" w:cs="Times New Roman"/>
                      <w:color w:val="auto"/>
                      <w:sz w:val="21"/>
                      <w:szCs w:val="21"/>
                    </w:rPr>
                  </w:pPr>
                  <w:r>
                    <w:rPr>
                      <w:rFonts w:hint="default" w:ascii="Times New Roman" w:hAnsi="Times New Roman" w:cs="Times New Roman"/>
                      <w:bCs/>
                      <w:color w:val="auto"/>
                      <w:szCs w:val="21"/>
                    </w:rPr>
                    <w:t>4.1h因丧失原有功能而无法继续使用的物质。</w:t>
                  </w:r>
                </w:p>
              </w:tc>
            </w:tr>
            <w:tr w14:paraId="5370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15B87890">
                  <w:pPr>
                    <w:keepNext w:val="0"/>
                    <w:keepLines w:val="0"/>
                    <w:pageBreakBefore w:val="0"/>
                    <w:kinsoku/>
                    <w:bidi w:val="0"/>
                    <w:spacing w:line="240" w:lineRule="auto"/>
                    <w:ind w:left="0" w:leftChars="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2</w:t>
                  </w:r>
                </w:p>
              </w:tc>
              <w:tc>
                <w:tcPr>
                  <w:tcW w:w="1275" w:type="dxa"/>
                  <w:noWrap w:val="0"/>
                  <w:vAlign w:val="center"/>
                </w:tcPr>
                <w:p w14:paraId="42F2B582">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一般废包装材料</w:t>
                  </w:r>
                </w:p>
              </w:tc>
              <w:tc>
                <w:tcPr>
                  <w:tcW w:w="1436" w:type="dxa"/>
                  <w:noWrap w:val="0"/>
                  <w:vAlign w:val="center"/>
                </w:tcPr>
                <w:p w14:paraId="2BC9868F">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原料使用完毕</w:t>
                  </w:r>
                </w:p>
              </w:tc>
              <w:tc>
                <w:tcPr>
                  <w:tcW w:w="629" w:type="dxa"/>
                  <w:noWrap w:val="0"/>
                  <w:vAlign w:val="center"/>
                </w:tcPr>
                <w:p w14:paraId="6ACA1BBA">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固态</w:t>
                  </w:r>
                </w:p>
              </w:tc>
              <w:tc>
                <w:tcPr>
                  <w:tcW w:w="1050" w:type="dxa"/>
                  <w:noWrap w:val="0"/>
                  <w:vAlign w:val="center"/>
                </w:tcPr>
                <w:p w14:paraId="032353D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塑料袋、纸盒</w:t>
                  </w:r>
                </w:p>
              </w:tc>
              <w:tc>
                <w:tcPr>
                  <w:tcW w:w="1364" w:type="dxa"/>
                  <w:noWrap w:val="0"/>
                  <w:vAlign w:val="center"/>
                </w:tcPr>
                <w:p w14:paraId="63393769">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p>
              </w:tc>
              <w:tc>
                <w:tcPr>
                  <w:tcW w:w="2135" w:type="dxa"/>
                  <w:noWrap w:val="0"/>
                  <w:vAlign w:val="center"/>
                </w:tcPr>
                <w:p w14:paraId="181E747F">
                  <w:pPr>
                    <w:snapToGrid w:val="0"/>
                    <w:jc w:val="center"/>
                    <w:rPr>
                      <w:rFonts w:hint="default" w:ascii="Times New Roman" w:hAnsi="Times New Roman" w:cs="Times New Roman"/>
                      <w:color w:val="auto"/>
                      <w:sz w:val="21"/>
                      <w:szCs w:val="21"/>
                      <w:lang w:val="en-US"/>
                    </w:rPr>
                  </w:pPr>
                  <w:r>
                    <w:rPr>
                      <w:rFonts w:ascii="Times New Roman" w:hAnsi="Times New Roman" w:cs="Times New Roman"/>
                      <w:bCs/>
                      <w:color w:val="auto"/>
                      <w:szCs w:val="21"/>
                    </w:rPr>
                    <w:t>4.1h因丧失原有功能而无法继续使用的物质</w:t>
                  </w:r>
                </w:p>
              </w:tc>
            </w:tr>
            <w:tr w14:paraId="031A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33528694">
                  <w:pPr>
                    <w:keepNext w:val="0"/>
                    <w:keepLines w:val="0"/>
                    <w:pageBreakBefore w:val="0"/>
                    <w:kinsoku/>
                    <w:bidi w:val="0"/>
                    <w:spacing w:line="240" w:lineRule="auto"/>
                    <w:ind w:left="0" w:leftChars="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3</w:t>
                  </w:r>
                </w:p>
              </w:tc>
              <w:tc>
                <w:tcPr>
                  <w:tcW w:w="1275" w:type="dxa"/>
                  <w:noWrap w:val="0"/>
                  <w:vAlign w:val="center"/>
                </w:tcPr>
                <w:p w14:paraId="6ECD9932">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Cs w:val="21"/>
                      <w:lang w:val="en-US" w:eastAsia="zh-CN"/>
                    </w:rPr>
                    <w:t>废塑料</w:t>
                  </w:r>
                </w:p>
              </w:tc>
              <w:tc>
                <w:tcPr>
                  <w:tcW w:w="1436" w:type="dxa"/>
                  <w:noWrap w:val="0"/>
                  <w:vAlign w:val="center"/>
                </w:tcPr>
                <w:p w14:paraId="6C842190">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注塑</w:t>
                  </w:r>
                </w:p>
              </w:tc>
              <w:tc>
                <w:tcPr>
                  <w:tcW w:w="629" w:type="dxa"/>
                  <w:noWrap w:val="0"/>
                  <w:vAlign w:val="center"/>
                </w:tcPr>
                <w:p w14:paraId="23AE6C8A">
                  <w:pPr>
                    <w:snapToGrid w:val="0"/>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Cs w:val="21"/>
                      <w:lang w:val="en-US" w:eastAsia="zh-CN"/>
                    </w:rPr>
                    <w:t>固态</w:t>
                  </w:r>
                </w:p>
              </w:tc>
              <w:tc>
                <w:tcPr>
                  <w:tcW w:w="1050" w:type="dxa"/>
                  <w:noWrap w:val="0"/>
                  <w:vAlign w:val="center"/>
                </w:tcPr>
                <w:p w14:paraId="5D82AFC8">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BMC材料</w:t>
                  </w:r>
                </w:p>
              </w:tc>
              <w:tc>
                <w:tcPr>
                  <w:tcW w:w="1364" w:type="dxa"/>
                  <w:noWrap w:val="0"/>
                  <w:vAlign w:val="center"/>
                </w:tcPr>
                <w:p w14:paraId="347E3DD6">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p>
              </w:tc>
              <w:tc>
                <w:tcPr>
                  <w:tcW w:w="2135" w:type="dxa"/>
                  <w:noWrap w:val="0"/>
                  <w:vAlign w:val="center"/>
                </w:tcPr>
                <w:p w14:paraId="50172CE3">
                  <w:pPr>
                    <w:snapToGrid w:val="0"/>
                    <w:jc w:val="center"/>
                    <w:rPr>
                      <w:rFonts w:hint="default" w:ascii="Times New Roman" w:hAnsi="Times New Roman" w:cs="Times New Roman"/>
                      <w:color w:val="auto"/>
                      <w:sz w:val="21"/>
                      <w:szCs w:val="21"/>
                      <w:lang w:val="en-US"/>
                    </w:rPr>
                  </w:pPr>
                  <w:r>
                    <w:rPr>
                      <w:rFonts w:ascii="Times New Roman" w:hAnsi="Times New Roman" w:cs="Times New Roman"/>
                      <w:bCs/>
                      <w:color w:val="auto"/>
                      <w:szCs w:val="21"/>
                    </w:rPr>
                    <w:t>4.1h因丧失原有功能而无法继续使用的物质</w:t>
                  </w:r>
                </w:p>
              </w:tc>
            </w:tr>
            <w:tr w14:paraId="190B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71964958">
                  <w:pPr>
                    <w:keepNext w:val="0"/>
                    <w:keepLines w:val="0"/>
                    <w:pageBreakBefore w:val="0"/>
                    <w:kinsoku/>
                    <w:bidi w:val="0"/>
                    <w:spacing w:line="240" w:lineRule="auto"/>
                    <w:ind w:left="0" w:lef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275" w:type="dxa"/>
                  <w:noWrap w:val="0"/>
                  <w:vAlign w:val="center"/>
                </w:tcPr>
                <w:p w14:paraId="169C3DC4">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焊渣</w:t>
                  </w:r>
                </w:p>
              </w:tc>
              <w:tc>
                <w:tcPr>
                  <w:tcW w:w="1436" w:type="dxa"/>
                  <w:shd w:val="clear" w:color="auto" w:fill="auto"/>
                  <w:noWrap w:val="0"/>
                  <w:vAlign w:val="center"/>
                </w:tcPr>
                <w:p w14:paraId="2B3CCF6C">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焊锡</w:t>
                  </w:r>
                </w:p>
              </w:tc>
              <w:tc>
                <w:tcPr>
                  <w:tcW w:w="629" w:type="dxa"/>
                  <w:shd w:val="clear" w:color="auto" w:fill="auto"/>
                  <w:noWrap w:val="0"/>
                  <w:vAlign w:val="center"/>
                </w:tcPr>
                <w:p w14:paraId="36A602E1">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2D09242F">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焊渣</w:t>
                  </w:r>
                </w:p>
              </w:tc>
              <w:tc>
                <w:tcPr>
                  <w:tcW w:w="1364" w:type="dxa"/>
                  <w:shd w:val="clear" w:color="auto" w:fill="auto"/>
                  <w:noWrap w:val="0"/>
                  <w:vAlign w:val="center"/>
                </w:tcPr>
                <w:p w14:paraId="066B541E">
                  <w:pPr>
                    <w:keepNext w:val="0"/>
                    <w:keepLines w:val="0"/>
                    <w:pageBreakBefore w:val="0"/>
                    <w:kinsoku/>
                    <w:bidi w:val="0"/>
                    <w:spacing w:line="240" w:lineRule="auto"/>
                    <w:ind w:left="0" w:lef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2135" w:type="dxa"/>
                  <w:shd w:val="clear" w:color="auto" w:fill="auto"/>
                  <w:noWrap w:val="0"/>
                  <w:vAlign w:val="center"/>
                </w:tcPr>
                <w:p w14:paraId="13204D68">
                  <w:pPr>
                    <w:snapToGrid w:val="0"/>
                    <w:jc w:val="center"/>
                    <w:rPr>
                      <w:rFonts w:hint="default" w:ascii="Times New Roman" w:hAnsi="Times New Roman" w:cs="Times New Roman"/>
                      <w:color w:val="FF0000"/>
                      <w:szCs w:val="21"/>
                      <w:lang w:val="en-US"/>
                    </w:rPr>
                  </w:pPr>
                  <w:r>
                    <w:rPr>
                      <w:rFonts w:hint="default" w:ascii="Times New Roman" w:hAnsi="Times New Roman" w:cs="Times New Roman"/>
                      <w:bCs/>
                      <w:color w:val="auto"/>
                      <w:szCs w:val="21"/>
                    </w:rPr>
                    <w:t>4.</w:t>
                  </w:r>
                  <w:r>
                    <w:rPr>
                      <w:rFonts w:hint="eastAsia" w:ascii="Times New Roman" w:hAnsi="Times New Roman" w:cs="Times New Roman"/>
                      <w:bCs/>
                      <w:color w:val="auto"/>
                      <w:szCs w:val="21"/>
                      <w:lang w:val="en-US" w:eastAsia="zh-CN"/>
                    </w:rPr>
                    <w:t>2b其他处理过程中产生的残余物质</w:t>
                  </w:r>
                </w:p>
              </w:tc>
            </w:tr>
            <w:tr w14:paraId="29E2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4DF17C0C">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275" w:type="dxa"/>
                  <w:noWrap w:val="0"/>
                  <w:vAlign w:val="center"/>
                </w:tcPr>
                <w:p w14:paraId="3C8B76BF">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废活性炭</w:t>
                  </w:r>
                </w:p>
              </w:tc>
              <w:tc>
                <w:tcPr>
                  <w:tcW w:w="1436" w:type="dxa"/>
                  <w:shd w:val="clear" w:color="auto" w:fill="auto"/>
                  <w:noWrap w:val="0"/>
                  <w:vAlign w:val="center"/>
                </w:tcPr>
                <w:p w14:paraId="4EF68A4F">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废气处理</w:t>
                  </w:r>
                </w:p>
              </w:tc>
              <w:tc>
                <w:tcPr>
                  <w:tcW w:w="629" w:type="dxa"/>
                  <w:shd w:val="clear" w:color="auto" w:fill="auto"/>
                  <w:noWrap w:val="0"/>
                  <w:vAlign w:val="center"/>
                </w:tcPr>
                <w:p w14:paraId="587253ED">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0C454A71">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废活性炭</w:t>
                  </w:r>
                </w:p>
              </w:tc>
              <w:tc>
                <w:tcPr>
                  <w:tcW w:w="1364" w:type="dxa"/>
                  <w:shd w:val="clear" w:color="auto" w:fill="auto"/>
                  <w:noWrap w:val="0"/>
                  <w:vAlign w:val="center"/>
                </w:tcPr>
                <w:p w14:paraId="1573E99D">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2135" w:type="dxa"/>
                  <w:shd w:val="clear" w:color="auto" w:fill="auto"/>
                  <w:noWrap w:val="0"/>
                  <w:vAlign w:val="center"/>
                </w:tcPr>
                <w:p w14:paraId="4CB44B03">
                  <w:pPr>
                    <w:snapToGrid w:val="0"/>
                    <w:jc w:val="center"/>
                    <w:rPr>
                      <w:rFonts w:hint="default" w:ascii="Times New Roman" w:hAnsi="Times New Roman" w:cs="Times New Roman"/>
                      <w:bCs/>
                      <w:color w:val="FF0000"/>
                      <w:szCs w:val="21"/>
                    </w:rPr>
                  </w:pPr>
                  <w:r>
                    <w:rPr>
                      <w:rFonts w:ascii="Times New Roman" w:hAnsi="Times New Roman" w:cs="Times New Roman"/>
                      <w:color w:val="000000" w:themeColor="text1"/>
                      <w:szCs w:val="21"/>
                      <w14:textFill>
                        <w14:solidFill>
                          <w14:schemeClr w14:val="tx1"/>
                        </w14:solidFill>
                      </w14:textFill>
                    </w:rPr>
                    <w:t>4.3</w:t>
                  </w:r>
                  <w:r>
                    <w:rPr>
                      <w:rFonts w:hint="eastAsia" w:ascii="Times New Roman" w:hAnsi="Times New Roman" w:cs="Times New Roman"/>
                      <w:color w:val="000000" w:themeColor="text1"/>
                      <w:szCs w:val="21"/>
                      <w14:textFill>
                        <w14:solidFill>
                          <w14:schemeClr w14:val="tx1"/>
                        </w14:solidFill>
                      </w14:textFill>
                    </w:rPr>
                    <w:t>l烟气、臭气和废水净化过程中产生的废活性炭、过滤器滤膜等过滤介质</w:t>
                  </w:r>
                </w:p>
              </w:tc>
            </w:tr>
            <w:tr w14:paraId="5FE6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5AA4A4AE">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275" w:type="dxa"/>
                  <w:noWrap w:val="0"/>
                  <w:vAlign w:val="center"/>
                </w:tcPr>
                <w:p w14:paraId="4E984422">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废过滤棉</w:t>
                  </w:r>
                </w:p>
              </w:tc>
              <w:tc>
                <w:tcPr>
                  <w:tcW w:w="1436" w:type="dxa"/>
                  <w:shd w:val="clear" w:color="auto" w:fill="auto"/>
                  <w:noWrap w:val="0"/>
                  <w:vAlign w:val="center"/>
                </w:tcPr>
                <w:p w14:paraId="304658F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废气处理</w:t>
                  </w:r>
                </w:p>
              </w:tc>
              <w:tc>
                <w:tcPr>
                  <w:tcW w:w="629" w:type="dxa"/>
                  <w:shd w:val="clear" w:color="auto" w:fill="auto"/>
                  <w:noWrap w:val="0"/>
                  <w:vAlign w:val="center"/>
                </w:tcPr>
                <w:p w14:paraId="0D3064D2">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7B37DFF0">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废过滤棉</w:t>
                  </w:r>
                </w:p>
              </w:tc>
              <w:tc>
                <w:tcPr>
                  <w:tcW w:w="1364" w:type="dxa"/>
                  <w:shd w:val="clear" w:color="auto" w:fill="auto"/>
                  <w:noWrap w:val="0"/>
                  <w:vAlign w:val="center"/>
                </w:tcPr>
                <w:p w14:paraId="0DEDABF6">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是</w:t>
                  </w:r>
                </w:p>
              </w:tc>
              <w:tc>
                <w:tcPr>
                  <w:tcW w:w="2135" w:type="dxa"/>
                  <w:shd w:val="clear" w:color="auto" w:fill="auto"/>
                  <w:noWrap w:val="0"/>
                  <w:vAlign w:val="center"/>
                </w:tcPr>
                <w:p w14:paraId="48C94A19">
                  <w:pPr>
                    <w:snapToGrid w:val="0"/>
                    <w:jc w:val="center"/>
                    <w:rPr>
                      <w:rFonts w:ascii="Times New Roman" w:hAnsi="Times New Roman" w:cs="Times New Roman"/>
                      <w:color w:val="auto"/>
                      <w:szCs w:val="21"/>
                    </w:rPr>
                  </w:pPr>
                  <w:r>
                    <w:rPr>
                      <w:rFonts w:ascii="Times New Roman" w:hAnsi="Times New Roman" w:cs="Times New Roman"/>
                      <w:color w:val="auto"/>
                      <w:szCs w:val="21"/>
                    </w:rPr>
                    <w:t>4.3</w:t>
                  </w:r>
                  <w:r>
                    <w:rPr>
                      <w:rFonts w:hint="eastAsia" w:ascii="Times New Roman" w:hAnsi="Times New Roman" w:cs="Times New Roman"/>
                      <w:color w:val="auto"/>
                      <w:szCs w:val="21"/>
                    </w:rPr>
                    <w:t>l烟气、臭气和废水净化过程中产生的废活性炭、过滤器滤膜等过滤介质</w:t>
                  </w:r>
                </w:p>
              </w:tc>
            </w:tr>
            <w:tr w14:paraId="2F7E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5C8032C2">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275" w:type="dxa"/>
                  <w:noWrap w:val="0"/>
                  <w:vAlign w:val="center"/>
                </w:tcPr>
                <w:p w14:paraId="601D2726">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废丝网纸</w:t>
                  </w:r>
                </w:p>
              </w:tc>
              <w:tc>
                <w:tcPr>
                  <w:tcW w:w="1436" w:type="dxa"/>
                  <w:shd w:val="clear" w:color="auto" w:fill="auto"/>
                  <w:noWrap w:val="0"/>
                  <w:vAlign w:val="center"/>
                </w:tcPr>
                <w:p w14:paraId="32C4A63E">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刷锡膏</w:t>
                  </w:r>
                </w:p>
              </w:tc>
              <w:tc>
                <w:tcPr>
                  <w:tcW w:w="629" w:type="dxa"/>
                  <w:shd w:val="clear" w:color="auto" w:fill="auto"/>
                  <w:noWrap w:val="0"/>
                  <w:vAlign w:val="center"/>
                </w:tcPr>
                <w:p w14:paraId="270ACD54">
                  <w:pPr>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32CAB214">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废丝网纸</w:t>
                  </w:r>
                </w:p>
              </w:tc>
              <w:tc>
                <w:tcPr>
                  <w:tcW w:w="1364" w:type="dxa"/>
                  <w:shd w:val="clear" w:color="auto" w:fill="auto"/>
                  <w:noWrap w:val="0"/>
                  <w:vAlign w:val="center"/>
                </w:tcPr>
                <w:p w14:paraId="308D5072">
                  <w:pPr>
                    <w:keepNext w:val="0"/>
                    <w:keepLines w:val="0"/>
                    <w:pageBreakBefore w:val="0"/>
                    <w:kinsoku/>
                    <w:bidi w:val="0"/>
                    <w:spacing w:line="240" w:lineRule="auto"/>
                    <w:ind w:left="0" w:leftChars="0"/>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是</w:t>
                  </w:r>
                </w:p>
              </w:tc>
              <w:tc>
                <w:tcPr>
                  <w:tcW w:w="2135" w:type="dxa"/>
                  <w:shd w:val="clear" w:color="auto" w:fill="auto"/>
                  <w:noWrap w:val="0"/>
                  <w:vAlign w:val="center"/>
                </w:tcPr>
                <w:p w14:paraId="1D83E72D">
                  <w:pPr>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4.2m其他生产过程中产生的副产物</w:t>
                  </w:r>
                </w:p>
              </w:tc>
            </w:tr>
            <w:tr w14:paraId="14A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35F3C167">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275" w:type="dxa"/>
                  <w:noWrap w:val="0"/>
                  <w:vAlign w:val="center"/>
                </w:tcPr>
                <w:p w14:paraId="3F6F3077">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废清洗液</w:t>
                  </w:r>
                </w:p>
              </w:tc>
              <w:tc>
                <w:tcPr>
                  <w:tcW w:w="1436" w:type="dxa"/>
                  <w:shd w:val="clear" w:color="auto" w:fill="auto"/>
                  <w:noWrap w:val="0"/>
                  <w:vAlign w:val="center"/>
                </w:tcPr>
                <w:p w14:paraId="7331BDD5">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超声波清洗</w:t>
                  </w:r>
                </w:p>
              </w:tc>
              <w:tc>
                <w:tcPr>
                  <w:tcW w:w="629" w:type="dxa"/>
                  <w:shd w:val="clear" w:color="auto" w:fill="auto"/>
                  <w:noWrap w:val="0"/>
                  <w:vAlign w:val="center"/>
                </w:tcPr>
                <w:p w14:paraId="7793BFF3">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液态</w:t>
                  </w:r>
                </w:p>
              </w:tc>
              <w:tc>
                <w:tcPr>
                  <w:tcW w:w="1050" w:type="dxa"/>
                  <w:shd w:val="clear" w:color="auto" w:fill="auto"/>
                  <w:noWrap w:val="0"/>
                  <w:vAlign w:val="center"/>
                </w:tcPr>
                <w:p w14:paraId="7DEADB8D">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废清洗液</w:t>
                  </w:r>
                </w:p>
              </w:tc>
              <w:tc>
                <w:tcPr>
                  <w:tcW w:w="1364" w:type="dxa"/>
                  <w:shd w:val="clear" w:color="auto" w:fill="auto"/>
                  <w:noWrap w:val="0"/>
                  <w:vAlign w:val="center"/>
                </w:tcPr>
                <w:p w14:paraId="5F35F0A3">
                  <w:pPr>
                    <w:keepNext w:val="0"/>
                    <w:keepLines w:val="0"/>
                    <w:pageBreakBefore w:val="0"/>
                    <w:kinsoku/>
                    <w:bidi w:val="0"/>
                    <w:spacing w:line="240" w:lineRule="auto"/>
                    <w:ind w:left="0" w:leftChars="0"/>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是</w:t>
                  </w:r>
                </w:p>
              </w:tc>
              <w:tc>
                <w:tcPr>
                  <w:tcW w:w="2135" w:type="dxa"/>
                  <w:shd w:val="clear" w:color="auto" w:fill="auto"/>
                  <w:noWrap w:val="0"/>
                  <w:vAlign w:val="center"/>
                </w:tcPr>
                <w:p w14:paraId="32F33C5E">
                  <w:pPr>
                    <w:snapToGrid w:val="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4.2m其他生产过程中产生的副产物</w:t>
                  </w:r>
                </w:p>
              </w:tc>
            </w:tr>
            <w:tr w14:paraId="6979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5" w:type="dxa"/>
                  <w:noWrap w:val="0"/>
                  <w:vAlign w:val="center"/>
                </w:tcPr>
                <w:p w14:paraId="7EFFFAE0">
                  <w:pPr>
                    <w:keepNext w:val="0"/>
                    <w:keepLines w:val="0"/>
                    <w:pageBreakBefore w:val="0"/>
                    <w:kinsoku/>
                    <w:bidi w:val="0"/>
                    <w:spacing w:line="240" w:lineRule="auto"/>
                    <w:ind w:left="0" w:lef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275" w:type="dxa"/>
                  <w:noWrap w:val="0"/>
                  <w:vAlign w:val="center"/>
                </w:tcPr>
                <w:p w14:paraId="1629344A">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边角料</w:t>
                  </w:r>
                </w:p>
              </w:tc>
              <w:tc>
                <w:tcPr>
                  <w:tcW w:w="1436" w:type="dxa"/>
                  <w:shd w:val="clear" w:color="auto" w:fill="auto"/>
                  <w:noWrap w:val="0"/>
                  <w:vAlign w:val="center"/>
                </w:tcPr>
                <w:p w14:paraId="55795F8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剪脚、分板</w:t>
                  </w:r>
                </w:p>
              </w:tc>
              <w:tc>
                <w:tcPr>
                  <w:tcW w:w="629" w:type="dxa"/>
                  <w:shd w:val="clear" w:color="auto" w:fill="auto"/>
                  <w:noWrap w:val="0"/>
                  <w:vAlign w:val="center"/>
                </w:tcPr>
                <w:p w14:paraId="353159C9">
                  <w:pPr>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1050" w:type="dxa"/>
                  <w:shd w:val="clear" w:color="auto" w:fill="auto"/>
                  <w:noWrap w:val="0"/>
                  <w:vAlign w:val="center"/>
                </w:tcPr>
                <w:p w14:paraId="6AFE20D0">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电路板残料</w:t>
                  </w:r>
                </w:p>
              </w:tc>
              <w:tc>
                <w:tcPr>
                  <w:tcW w:w="1364" w:type="dxa"/>
                  <w:shd w:val="clear" w:color="auto" w:fill="auto"/>
                  <w:noWrap w:val="0"/>
                  <w:vAlign w:val="center"/>
                </w:tcPr>
                <w:p w14:paraId="1CB3D59C">
                  <w:pPr>
                    <w:keepNext w:val="0"/>
                    <w:keepLines w:val="0"/>
                    <w:pageBreakBefore w:val="0"/>
                    <w:kinsoku/>
                    <w:bidi w:val="0"/>
                    <w:spacing w:line="240" w:lineRule="auto"/>
                    <w:ind w:left="0" w:leftChars="0"/>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是</w:t>
                  </w:r>
                </w:p>
              </w:tc>
              <w:tc>
                <w:tcPr>
                  <w:tcW w:w="2135" w:type="dxa"/>
                  <w:shd w:val="clear" w:color="auto" w:fill="auto"/>
                  <w:noWrap w:val="0"/>
                  <w:vAlign w:val="center"/>
                </w:tcPr>
                <w:p w14:paraId="628365A3">
                  <w:pPr>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4.2a产品加工和制造过程中产生的下脚料、边角料、残余物质等</w:t>
                  </w:r>
                </w:p>
              </w:tc>
            </w:tr>
          </w:tbl>
          <w:p w14:paraId="790F25AC">
            <w:pPr>
              <w:keepNext w:val="0"/>
              <w:keepLines w:val="0"/>
              <w:pageBreakBefore w:val="0"/>
              <w:kinsoku/>
              <w:wordWrap/>
              <w:overflowPunct/>
              <w:topLinePunct w:val="0"/>
              <w:autoSpaceDE/>
              <w:autoSpaceDN/>
              <w:bidi w:val="0"/>
              <w:adjustRightInd/>
              <w:snapToGrid w:val="0"/>
              <w:spacing w:beforeAutospacing="0" w:afterAutospacing="0" w:line="500" w:lineRule="exact"/>
              <w:textAlignment w:val="center"/>
              <w:rPr>
                <w:rFonts w:ascii="Times New Roman" w:hAnsi="Times New Roman" w:cs="Times New Roman"/>
                <w:b/>
                <w:bCs/>
                <w:color w:val="auto"/>
                <w:szCs w:val="20"/>
              </w:rPr>
            </w:pPr>
            <w:r>
              <w:rPr>
                <w:rFonts w:hint="eastAsia" w:ascii="Times New Roman" w:hAnsi="Times New Roman" w:cs="Times New Roman"/>
                <w:b/>
                <w:bCs/>
                <w:color w:val="auto"/>
                <w:sz w:val="24"/>
                <w:szCs w:val="24"/>
                <w:lang w:val="en-US" w:eastAsia="zh-CN"/>
              </w:rPr>
              <w:t>4.2.4.3</w:t>
            </w:r>
            <w:r>
              <w:rPr>
                <w:rFonts w:ascii="Times New Roman" w:hAnsi="Times New Roman" w:eastAsia="宋体" w:cs="Times New Roman"/>
                <w:b/>
                <w:color w:val="auto"/>
                <w:sz w:val="24"/>
              </w:rPr>
              <w:t>固废</w:t>
            </w:r>
            <w:r>
              <w:rPr>
                <w:rFonts w:hint="eastAsia" w:ascii="Times New Roman" w:hAnsi="Times New Roman" w:eastAsia="宋体" w:cs="Times New Roman"/>
                <w:b/>
                <w:color w:val="auto"/>
                <w:sz w:val="24"/>
              </w:rPr>
              <w:t>污染源强核算及环境管理要求</w:t>
            </w:r>
          </w:p>
          <w:p w14:paraId="378EF85F">
            <w:pPr>
              <w:pStyle w:val="7"/>
              <w:spacing w:line="460" w:lineRule="exact"/>
              <w:ind w:firstLine="0"/>
              <w:jc w:val="center"/>
              <w:textAlignment w:val="center"/>
              <w:rPr>
                <w:rFonts w:ascii="Times New Roman" w:hAnsi="Times New Roman" w:cs="Times New Roman"/>
                <w:b/>
                <w:bCs/>
                <w:color w:val="auto"/>
                <w:szCs w:val="20"/>
              </w:rPr>
            </w:pPr>
            <w:r>
              <w:rPr>
                <w:rFonts w:ascii="Times New Roman" w:hAnsi="Times New Roman" w:cs="Times New Roman"/>
                <w:b/>
                <w:bCs/>
                <w:color w:val="auto"/>
                <w:szCs w:val="20"/>
              </w:rPr>
              <w:t>表</w:t>
            </w:r>
            <w:r>
              <w:rPr>
                <w:rFonts w:hint="eastAsia" w:ascii="Times New Roman" w:hAnsi="Times New Roman" w:cs="Times New Roman"/>
                <w:b/>
                <w:bCs/>
                <w:color w:val="auto"/>
                <w:szCs w:val="20"/>
              </w:rPr>
              <w:t>4</w:t>
            </w:r>
            <w:r>
              <w:rPr>
                <w:rFonts w:ascii="Times New Roman" w:hAnsi="Times New Roman" w:cs="Times New Roman"/>
                <w:b/>
                <w:bCs/>
                <w:color w:val="auto"/>
                <w:szCs w:val="20"/>
              </w:rPr>
              <w:t>-</w:t>
            </w:r>
            <w:r>
              <w:rPr>
                <w:rFonts w:hint="eastAsia" w:ascii="Times New Roman" w:hAnsi="Times New Roman" w:cs="Times New Roman"/>
                <w:b/>
                <w:bCs/>
                <w:color w:val="auto"/>
                <w:szCs w:val="20"/>
                <w:lang w:val="en-US" w:eastAsia="zh-CN"/>
              </w:rPr>
              <w:t>18</w:t>
            </w:r>
            <w:r>
              <w:rPr>
                <w:rFonts w:hint="eastAsia" w:ascii="Times New Roman" w:hAnsi="Times New Roman" w:cs="Times New Roman"/>
                <w:b/>
                <w:bCs/>
                <w:color w:val="auto"/>
                <w:szCs w:val="20"/>
              </w:rPr>
              <w:t xml:space="preserve">  </w:t>
            </w:r>
            <w:r>
              <w:rPr>
                <w:rFonts w:ascii="Times New Roman" w:hAnsi="Times New Roman" w:cs="Times New Roman"/>
                <w:b/>
                <w:color w:val="auto"/>
                <w:kern w:val="0"/>
                <w:szCs w:val="21"/>
              </w:rPr>
              <w:t>固体废物污染源源强核算结果及相关参数一览表</w:t>
            </w:r>
          </w:p>
          <w:tbl>
            <w:tblPr>
              <w:tblStyle w:val="23"/>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800"/>
              <w:gridCol w:w="667"/>
              <w:gridCol w:w="444"/>
              <w:gridCol w:w="687"/>
              <w:gridCol w:w="960"/>
              <w:gridCol w:w="661"/>
              <w:gridCol w:w="889"/>
              <w:gridCol w:w="661"/>
              <w:gridCol w:w="474"/>
              <w:gridCol w:w="593"/>
              <w:gridCol w:w="1057"/>
            </w:tblGrid>
            <w:tr w14:paraId="791A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5E66C68E">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序号</w:t>
                  </w:r>
                </w:p>
              </w:tc>
              <w:tc>
                <w:tcPr>
                  <w:tcW w:w="474" w:type="pct"/>
                  <w:vAlign w:val="center"/>
                </w:tcPr>
                <w:p w14:paraId="238DDD7A">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固废名称</w:t>
                  </w:r>
                </w:p>
              </w:tc>
              <w:tc>
                <w:tcPr>
                  <w:tcW w:w="395" w:type="pct"/>
                  <w:vAlign w:val="center"/>
                </w:tcPr>
                <w:p w14:paraId="3DF4FDCC">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产生工序</w:t>
                  </w:r>
                </w:p>
              </w:tc>
              <w:tc>
                <w:tcPr>
                  <w:tcW w:w="263" w:type="pct"/>
                  <w:vAlign w:val="center"/>
                </w:tcPr>
                <w:p w14:paraId="44893D74">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形态</w:t>
                  </w:r>
                </w:p>
              </w:tc>
              <w:tc>
                <w:tcPr>
                  <w:tcW w:w="407" w:type="pct"/>
                  <w:vAlign w:val="center"/>
                </w:tcPr>
                <w:p w14:paraId="40FD52AC">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属性</w:t>
                  </w:r>
                </w:p>
              </w:tc>
              <w:tc>
                <w:tcPr>
                  <w:tcW w:w="568" w:type="pct"/>
                  <w:vAlign w:val="center"/>
                </w:tcPr>
                <w:p w14:paraId="2BDA0707">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废物类别及</w:t>
                  </w:r>
                </w:p>
                <w:p w14:paraId="50AEA8EC">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代码</w:t>
                  </w:r>
                </w:p>
              </w:tc>
              <w:tc>
                <w:tcPr>
                  <w:tcW w:w="391" w:type="pct"/>
                  <w:vAlign w:val="center"/>
                </w:tcPr>
                <w:p w14:paraId="175382FE">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产生量</w:t>
                  </w:r>
                </w:p>
              </w:tc>
              <w:tc>
                <w:tcPr>
                  <w:tcW w:w="526" w:type="pct"/>
                  <w:vAlign w:val="center"/>
                </w:tcPr>
                <w:p w14:paraId="5BFC0B08">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主要成分</w:t>
                  </w:r>
                </w:p>
              </w:tc>
              <w:tc>
                <w:tcPr>
                  <w:tcW w:w="391" w:type="pct"/>
                  <w:vAlign w:val="center"/>
                </w:tcPr>
                <w:p w14:paraId="1405BB0E">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有害</w:t>
                  </w:r>
                </w:p>
                <w:p w14:paraId="5039C1BB">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成分</w:t>
                  </w:r>
                </w:p>
              </w:tc>
              <w:tc>
                <w:tcPr>
                  <w:tcW w:w="280" w:type="pct"/>
                  <w:vAlign w:val="center"/>
                </w:tcPr>
                <w:p w14:paraId="7733E4E7">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产废</w:t>
                  </w:r>
                </w:p>
                <w:p w14:paraId="50E6F43A">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周期</w:t>
                  </w:r>
                </w:p>
              </w:tc>
              <w:tc>
                <w:tcPr>
                  <w:tcW w:w="351" w:type="pct"/>
                  <w:vAlign w:val="center"/>
                </w:tcPr>
                <w:p w14:paraId="505C6E69">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危险</w:t>
                  </w:r>
                </w:p>
                <w:p w14:paraId="1E0EEA0A">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特性</w:t>
                  </w:r>
                </w:p>
              </w:tc>
              <w:tc>
                <w:tcPr>
                  <w:tcW w:w="626" w:type="pct"/>
                  <w:vAlign w:val="center"/>
                </w:tcPr>
                <w:p w14:paraId="60AD6DBD">
                  <w:pPr>
                    <w:widowControl/>
                    <w:snapToGrid w:val="0"/>
                    <w:jc w:val="center"/>
                    <w:rPr>
                      <w:rFonts w:ascii="Times New Roman" w:hAnsi="Times New Roman" w:cs="Times New Roman"/>
                      <w:b/>
                      <w:bCs w:val="0"/>
                      <w:color w:val="auto"/>
                      <w:szCs w:val="21"/>
                    </w:rPr>
                  </w:pPr>
                  <w:r>
                    <w:rPr>
                      <w:rFonts w:ascii="Times New Roman" w:hAnsi="Times New Roman" w:cs="Times New Roman"/>
                      <w:b/>
                      <w:bCs w:val="0"/>
                      <w:color w:val="auto"/>
                      <w:szCs w:val="21"/>
                    </w:rPr>
                    <w:t>防治措施</w:t>
                  </w:r>
                </w:p>
              </w:tc>
            </w:tr>
            <w:tr w14:paraId="138F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4F747E1B">
                  <w:pPr>
                    <w:pStyle w:val="48"/>
                    <w:adjustRightInd w:val="0"/>
                    <w:snapToGrid w:val="0"/>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474" w:type="pct"/>
                  <w:vAlign w:val="center"/>
                </w:tcPr>
                <w:p w14:paraId="38F018FF">
                  <w:pPr>
                    <w:jc w:val="center"/>
                    <w:rPr>
                      <w:rFonts w:ascii="Times New Roman" w:hAnsi="Times New Roman" w:cs="Times New Roman"/>
                      <w:color w:val="FF0000"/>
                      <w:szCs w:val="21"/>
                    </w:rPr>
                  </w:pPr>
                  <w:r>
                    <w:rPr>
                      <w:rFonts w:hint="default" w:ascii="Times New Roman" w:hAnsi="Times New Roman" w:cs="Times New Roman"/>
                      <w:color w:val="auto"/>
                      <w:szCs w:val="21"/>
                    </w:rPr>
                    <w:t>生活垃圾</w:t>
                  </w:r>
                </w:p>
              </w:tc>
              <w:tc>
                <w:tcPr>
                  <w:tcW w:w="395" w:type="pct"/>
                  <w:vAlign w:val="center"/>
                </w:tcPr>
                <w:p w14:paraId="1CAE390A">
                  <w:pPr>
                    <w:jc w:val="center"/>
                    <w:rPr>
                      <w:rFonts w:ascii="Times New Roman" w:hAnsi="Times New Roman" w:cs="Times New Roman"/>
                      <w:color w:val="FF0000"/>
                      <w:szCs w:val="21"/>
                    </w:rPr>
                  </w:pPr>
                  <w:r>
                    <w:rPr>
                      <w:rFonts w:hint="default" w:ascii="Times New Roman" w:hAnsi="Times New Roman" w:cs="Times New Roman"/>
                      <w:bCs/>
                      <w:color w:val="auto"/>
                      <w:szCs w:val="21"/>
                    </w:rPr>
                    <w:t>职工生活</w:t>
                  </w:r>
                </w:p>
              </w:tc>
              <w:tc>
                <w:tcPr>
                  <w:tcW w:w="263" w:type="pct"/>
                  <w:vAlign w:val="center"/>
                </w:tcPr>
                <w:p w14:paraId="7E0D78B0">
                  <w:pPr>
                    <w:snapToGrid w:val="0"/>
                    <w:jc w:val="center"/>
                    <w:rPr>
                      <w:rFonts w:ascii="Times New Roman" w:hAnsi="Times New Roman" w:cs="Times New Roman"/>
                      <w:color w:val="FF0000"/>
                      <w:szCs w:val="21"/>
                    </w:rPr>
                  </w:pPr>
                  <w:r>
                    <w:rPr>
                      <w:rFonts w:hint="default" w:ascii="Times New Roman" w:hAnsi="Times New Roman" w:cs="Times New Roman"/>
                      <w:bCs/>
                      <w:color w:val="auto"/>
                      <w:szCs w:val="21"/>
                    </w:rPr>
                    <w:t>固态</w:t>
                  </w:r>
                </w:p>
              </w:tc>
              <w:tc>
                <w:tcPr>
                  <w:tcW w:w="407" w:type="pct"/>
                  <w:vAlign w:val="center"/>
                </w:tcPr>
                <w:p w14:paraId="5021BEA9">
                  <w:pPr>
                    <w:pStyle w:val="49"/>
                    <w:spacing w:line="240" w:lineRule="auto"/>
                    <w:rPr>
                      <w:rFonts w:ascii="Times New Roman" w:hAnsi="Times New Roman" w:cs="Times New Roman"/>
                      <w:color w:val="auto"/>
                      <w:szCs w:val="21"/>
                    </w:rPr>
                  </w:pPr>
                  <w:r>
                    <w:rPr>
                      <w:rFonts w:hint="eastAsia" w:ascii="Times New Roman" w:hAnsi="Times New Roman" w:cs="Times New Roman"/>
                      <w:color w:val="auto"/>
                      <w:szCs w:val="21"/>
                    </w:rPr>
                    <w:t>/</w:t>
                  </w:r>
                </w:p>
              </w:tc>
              <w:tc>
                <w:tcPr>
                  <w:tcW w:w="568" w:type="pct"/>
                  <w:vAlign w:val="center"/>
                </w:tcPr>
                <w:p w14:paraId="110C74B5">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391" w:type="pct"/>
                  <w:vAlign w:val="center"/>
                </w:tcPr>
                <w:p w14:paraId="521F4E44">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9.6</w:t>
                  </w:r>
                  <w:r>
                    <w:rPr>
                      <w:rFonts w:ascii="Times New Roman" w:hAnsi="Times New Roman" w:cs="Times New Roman"/>
                      <w:color w:val="auto"/>
                      <w:szCs w:val="21"/>
                    </w:rPr>
                    <w:t>t/a</w:t>
                  </w:r>
                </w:p>
              </w:tc>
              <w:tc>
                <w:tcPr>
                  <w:tcW w:w="526" w:type="pct"/>
                  <w:vAlign w:val="center"/>
                </w:tcPr>
                <w:p w14:paraId="1057928E">
                  <w:pPr>
                    <w:snapToGrid w:val="0"/>
                    <w:jc w:val="center"/>
                    <w:rPr>
                      <w:rFonts w:ascii="Times New Roman" w:hAnsi="Times New Roman" w:cs="Times New Roman"/>
                      <w:color w:val="auto"/>
                      <w:szCs w:val="21"/>
                    </w:rPr>
                  </w:pPr>
                  <w:r>
                    <w:rPr>
                      <w:rFonts w:ascii="Times New Roman" w:hAnsi="Times New Roman" w:cs="Times New Roman"/>
                      <w:color w:val="auto"/>
                      <w:szCs w:val="21"/>
                    </w:rPr>
                    <w:t>生活垃圾</w:t>
                  </w:r>
                </w:p>
              </w:tc>
              <w:tc>
                <w:tcPr>
                  <w:tcW w:w="391" w:type="pct"/>
                  <w:vAlign w:val="center"/>
                </w:tcPr>
                <w:p w14:paraId="21A9EAFD">
                  <w:pPr>
                    <w:widowControl/>
                    <w:snapToGrid w:val="0"/>
                    <w:jc w:val="center"/>
                    <w:rPr>
                      <w:rFonts w:ascii="Times New Roman" w:hAnsi="Times New Roman" w:cs="Times New Roman"/>
                      <w:color w:val="auto"/>
                      <w:szCs w:val="21"/>
                    </w:rPr>
                  </w:pPr>
                  <w:r>
                    <w:rPr>
                      <w:rFonts w:ascii="Times New Roman" w:hAnsi="Times New Roman" w:cs="Times New Roman"/>
                      <w:color w:val="auto"/>
                      <w:szCs w:val="21"/>
                    </w:rPr>
                    <w:t>/</w:t>
                  </w:r>
                </w:p>
              </w:tc>
              <w:tc>
                <w:tcPr>
                  <w:tcW w:w="280" w:type="pct"/>
                  <w:vAlign w:val="center"/>
                </w:tcPr>
                <w:p w14:paraId="1EF198B3">
                  <w:pPr>
                    <w:widowControl/>
                    <w:snapToGrid w:val="0"/>
                    <w:jc w:val="center"/>
                    <w:rPr>
                      <w:rFonts w:ascii="Times New Roman" w:hAnsi="Times New Roman" w:cs="Times New Roman"/>
                      <w:color w:val="auto"/>
                      <w:szCs w:val="21"/>
                    </w:rPr>
                  </w:pPr>
                  <w:r>
                    <w:rPr>
                      <w:rFonts w:hint="eastAsia" w:ascii="Times New Roman" w:hAnsi="Times New Roman" w:cs="Times New Roman"/>
                      <w:color w:val="auto"/>
                      <w:szCs w:val="21"/>
                    </w:rPr>
                    <w:t>1</w:t>
                  </w:r>
                  <w:r>
                    <w:rPr>
                      <w:rFonts w:ascii="Times New Roman" w:hAnsi="Times New Roman" w:cs="Times New Roman"/>
                      <w:color w:val="auto"/>
                      <w:szCs w:val="21"/>
                    </w:rPr>
                    <w:t>天</w:t>
                  </w:r>
                </w:p>
              </w:tc>
              <w:tc>
                <w:tcPr>
                  <w:tcW w:w="351" w:type="pct"/>
                  <w:vAlign w:val="center"/>
                </w:tcPr>
                <w:p w14:paraId="431EDD03">
                  <w:pPr>
                    <w:widowControl/>
                    <w:snapToGrid w:val="0"/>
                    <w:jc w:val="center"/>
                    <w:rPr>
                      <w:rFonts w:ascii="Times New Roman" w:hAnsi="Times New Roman" w:cs="Times New Roman"/>
                      <w:color w:val="auto"/>
                      <w:szCs w:val="21"/>
                    </w:rPr>
                  </w:pPr>
                  <w:r>
                    <w:rPr>
                      <w:rFonts w:ascii="Times New Roman" w:hAnsi="Times New Roman" w:cs="Times New Roman"/>
                      <w:color w:val="auto"/>
                      <w:szCs w:val="21"/>
                    </w:rPr>
                    <w:t>/</w:t>
                  </w:r>
                </w:p>
              </w:tc>
              <w:tc>
                <w:tcPr>
                  <w:tcW w:w="626" w:type="pct"/>
                  <w:vAlign w:val="center"/>
                </w:tcPr>
                <w:p w14:paraId="737A6EFC">
                  <w:pPr>
                    <w:pStyle w:val="49"/>
                    <w:spacing w:line="240" w:lineRule="auto"/>
                    <w:rPr>
                      <w:rFonts w:ascii="Times New Roman" w:hAnsi="Times New Roman" w:cs="Times New Roman"/>
                      <w:color w:val="auto"/>
                      <w:szCs w:val="21"/>
                    </w:rPr>
                  </w:pPr>
                  <w:r>
                    <w:rPr>
                      <w:rFonts w:ascii="Times New Roman" w:hAnsi="Times New Roman" w:cs="Times New Roman"/>
                      <w:color w:val="auto"/>
                      <w:szCs w:val="21"/>
                    </w:rPr>
                    <w:t>委托当地环卫</w:t>
                  </w:r>
                </w:p>
                <w:p w14:paraId="2BC79AF6">
                  <w:pPr>
                    <w:pStyle w:val="49"/>
                    <w:spacing w:line="240" w:lineRule="auto"/>
                    <w:rPr>
                      <w:rFonts w:ascii="Times New Roman" w:hAnsi="Times New Roman" w:cs="Times New Roman"/>
                      <w:color w:val="auto"/>
                      <w:szCs w:val="21"/>
                    </w:rPr>
                  </w:pPr>
                  <w:r>
                    <w:rPr>
                      <w:rFonts w:ascii="Times New Roman" w:hAnsi="Times New Roman" w:cs="Times New Roman"/>
                      <w:color w:val="auto"/>
                      <w:szCs w:val="21"/>
                    </w:rPr>
                    <w:t>部门清运处理</w:t>
                  </w:r>
                </w:p>
              </w:tc>
            </w:tr>
            <w:tr w14:paraId="4A61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7DC41F63">
                  <w:pPr>
                    <w:pStyle w:val="48"/>
                    <w:adjustRightInd w:val="0"/>
                    <w:snapToGrid w:val="0"/>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474" w:type="pct"/>
                  <w:vAlign w:val="center"/>
                </w:tcPr>
                <w:p w14:paraId="3D5E9245">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eastAsiaTheme="minorEastAsia"/>
                      <w:color w:val="auto"/>
                      <w:sz w:val="21"/>
                      <w:szCs w:val="21"/>
                      <w:lang w:val="en-US" w:eastAsia="zh-CN"/>
                    </w:rPr>
                    <w:t>一般废包装材料</w:t>
                  </w:r>
                </w:p>
              </w:tc>
              <w:tc>
                <w:tcPr>
                  <w:tcW w:w="395" w:type="pct"/>
                  <w:vAlign w:val="center"/>
                </w:tcPr>
                <w:p w14:paraId="21F4B51F">
                  <w:pPr>
                    <w:jc w:val="center"/>
                    <w:rPr>
                      <w:rFonts w:hint="default" w:ascii="Times New Roman" w:hAnsi="Times New Roman" w:eastAsiaTheme="minorEastAsia"/>
                      <w:color w:val="FF0000"/>
                      <w:szCs w:val="21"/>
                      <w:lang w:val="en-US" w:eastAsia="zh-CN"/>
                    </w:rPr>
                  </w:pPr>
                  <w:r>
                    <w:rPr>
                      <w:rFonts w:hint="eastAsia" w:ascii="Times New Roman" w:hAnsi="Times New Roman" w:cs="Times New Roman"/>
                      <w:color w:val="auto"/>
                      <w:sz w:val="21"/>
                      <w:szCs w:val="21"/>
                      <w:lang w:val="en-US" w:eastAsia="zh-CN"/>
                    </w:rPr>
                    <w:t>原料使用完毕</w:t>
                  </w:r>
                </w:p>
              </w:tc>
              <w:tc>
                <w:tcPr>
                  <w:tcW w:w="263" w:type="pct"/>
                  <w:vAlign w:val="center"/>
                </w:tcPr>
                <w:p w14:paraId="5FD171C0">
                  <w:pPr>
                    <w:snapToGrid w:val="0"/>
                    <w:jc w:val="center"/>
                    <w:rPr>
                      <w:rFonts w:ascii="Times New Roman" w:hAnsi="Times New Roman" w:cs="Times New Roman"/>
                      <w:color w:val="FF0000"/>
                      <w:szCs w:val="21"/>
                    </w:rPr>
                  </w:pPr>
                  <w:r>
                    <w:rPr>
                      <w:rFonts w:hint="default" w:ascii="Times New Roman" w:hAnsi="Times New Roman" w:cs="Times New Roman"/>
                      <w:color w:val="auto"/>
                      <w:szCs w:val="21"/>
                    </w:rPr>
                    <w:t>固态</w:t>
                  </w:r>
                </w:p>
              </w:tc>
              <w:tc>
                <w:tcPr>
                  <w:tcW w:w="407" w:type="pct"/>
                  <w:vAlign w:val="center"/>
                </w:tcPr>
                <w:p w14:paraId="07CD32B8">
                  <w:pPr>
                    <w:pStyle w:val="49"/>
                    <w:spacing w:line="240" w:lineRule="auto"/>
                    <w:rPr>
                      <w:rFonts w:ascii="Times New Roman" w:hAnsi="Times New Roman" w:cs="Times New Roman"/>
                      <w:color w:val="FF0000"/>
                      <w:szCs w:val="21"/>
                    </w:rPr>
                  </w:pPr>
                  <w:r>
                    <w:rPr>
                      <w:rFonts w:hint="eastAsia" w:ascii="Times New Roman" w:hAnsi="Times New Roman" w:cs="Times New Roman"/>
                      <w:color w:val="auto"/>
                      <w:szCs w:val="21"/>
                      <w:lang w:val="en-US" w:eastAsia="zh-CN"/>
                    </w:rPr>
                    <w:t>一般</w:t>
                  </w:r>
                  <w:r>
                    <w:rPr>
                      <w:rFonts w:ascii="Times New Roman" w:hAnsi="Times New Roman" w:cs="Times New Roman"/>
                      <w:color w:val="auto"/>
                      <w:szCs w:val="21"/>
                    </w:rPr>
                    <w:t>固废</w:t>
                  </w:r>
                </w:p>
              </w:tc>
              <w:tc>
                <w:tcPr>
                  <w:tcW w:w="568" w:type="pct"/>
                  <w:vAlign w:val="center"/>
                </w:tcPr>
                <w:p w14:paraId="56CD8043">
                  <w:pPr>
                    <w:jc w:val="center"/>
                    <w:rPr>
                      <w:rFonts w:hint="default" w:ascii="Times New Roman" w:hAnsi="Times New Roman" w:eastAsia="宋体" w:cs="Times New Roman"/>
                      <w:color w:val="FF0000"/>
                      <w:szCs w:val="21"/>
                      <w:lang w:val="en-US" w:eastAsia="zh-CN"/>
                    </w:rPr>
                  </w:pPr>
                  <w:r>
                    <w:rPr>
                      <w:rFonts w:hint="eastAsia" w:ascii="Times New Roman" w:hAnsi="Times New Roman"/>
                      <w:color w:val="auto"/>
                      <w:szCs w:val="21"/>
                      <w:highlight w:val="none"/>
                      <w:lang w:val="en-US" w:eastAsia="zh-CN"/>
                    </w:rPr>
                    <w:t>SW17，900-003-S17；900-005-S17</w:t>
                  </w:r>
                </w:p>
              </w:tc>
              <w:tc>
                <w:tcPr>
                  <w:tcW w:w="391" w:type="pct"/>
                  <w:vAlign w:val="center"/>
                </w:tcPr>
                <w:p w14:paraId="12D21F62">
                  <w:pPr>
                    <w:adjustRightInd w:val="0"/>
                    <w:snapToGrid w:val="0"/>
                    <w:jc w:val="center"/>
                    <w:rPr>
                      <w:rFonts w:ascii="Times New Roman" w:hAnsi="Times New Roman" w:cs="Times New Roman"/>
                      <w:color w:val="FF0000"/>
                      <w:szCs w:val="21"/>
                      <w:highlight w:val="yellow"/>
                    </w:rPr>
                  </w:pPr>
                  <w:r>
                    <w:rPr>
                      <w:rFonts w:hint="eastAsia" w:ascii="Times New Roman" w:hAnsi="Times New Roman" w:cs="Times New Roman"/>
                      <w:color w:val="auto"/>
                      <w:szCs w:val="21"/>
                      <w:lang w:val="en-US" w:eastAsia="zh-CN"/>
                    </w:rPr>
                    <w:t>6.172</w:t>
                  </w:r>
                  <w:r>
                    <w:rPr>
                      <w:rFonts w:hint="eastAsia" w:ascii="Times New Roman" w:hAnsi="Times New Roman" w:cs="Times New Roman"/>
                      <w:color w:val="auto"/>
                      <w:szCs w:val="21"/>
                    </w:rPr>
                    <w:t>t/a</w:t>
                  </w:r>
                </w:p>
              </w:tc>
              <w:tc>
                <w:tcPr>
                  <w:tcW w:w="526" w:type="pct"/>
                  <w:vAlign w:val="center"/>
                </w:tcPr>
                <w:p w14:paraId="7F38704B">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塑料袋，纸盒</w:t>
                  </w:r>
                </w:p>
              </w:tc>
              <w:tc>
                <w:tcPr>
                  <w:tcW w:w="391" w:type="pct"/>
                  <w:vAlign w:val="center"/>
                </w:tcPr>
                <w:p w14:paraId="785B957A">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280" w:type="pct"/>
                  <w:vAlign w:val="center"/>
                </w:tcPr>
                <w:p w14:paraId="417F9CF7">
                  <w:pPr>
                    <w:topLinePunct/>
                    <w:adjustRightInd w:val="0"/>
                    <w:snapToGrid w:val="0"/>
                    <w:jc w:val="center"/>
                    <w:rPr>
                      <w:rFonts w:ascii="Times New Roman" w:hAnsi="Times New Roman" w:cs="Times New Roman"/>
                      <w:color w:val="auto"/>
                      <w:szCs w:val="21"/>
                      <w:highlight w:val="yellow"/>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天</w:t>
                  </w:r>
                </w:p>
              </w:tc>
              <w:tc>
                <w:tcPr>
                  <w:tcW w:w="351" w:type="pct"/>
                  <w:vAlign w:val="center"/>
                </w:tcPr>
                <w:p w14:paraId="024AB01D">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 xml:space="preserve">/ </w:t>
                  </w:r>
                </w:p>
              </w:tc>
              <w:tc>
                <w:tcPr>
                  <w:tcW w:w="626" w:type="pct"/>
                  <w:vAlign w:val="center"/>
                </w:tcPr>
                <w:p w14:paraId="172E79BD">
                  <w:pPr>
                    <w:pStyle w:val="49"/>
                    <w:spacing w:line="240" w:lineRule="auto"/>
                    <w:rPr>
                      <w:rFonts w:ascii="Times New Roman" w:hAnsi="Times New Roman" w:cs="Times New Roman"/>
                      <w:color w:val="auto"/>
                      <w:szCs w:val="21"/>
                    </w:rPr>
                  </w:pPr>
                  <w:r>
                    <w:rPr>
                      <w:rFonts w:hint="eastAsia" w:ascii="Times New Roman" w:hAnsi="Times New Roman" w:cs="Times New Roman"/>
                      <w:color w:val="auto"/>
                      <w:szCs w:val="21"/>
                    </w:rPr>
                    <w:t>出售给废旧物资回收单位</w:t>
                  </w:r>
                </w:p>
              </w:tc>
            </w:tr>
            <w:tr w14:paraId="34CE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1B670522">
                  <w:pPr>
                    <w:pStyle w:val="48"/>
                    <w:adjustRightInd w:val="0"/>
                    <w:snapToGrid w:val="0"/>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val="en-US" w:eastAsia="zh-CN"/>
                    </w:rPr>
                    <w:t>3</w:t>
                  </w:r>
                </w:p>
              </w:tc>
              <w:tc>
                <w:tcPr>
                  <w:tcW w:w="474" w:type="pct"/>
                  <w:vAlign w:val="center"/>
                </w:tcPr>
                <w:p w14:paraId="0B95031B">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废塑料</w:t>
                  </w:r>
                </w:p>
              </w:tc>
              <w:tc>
                <w:tcPr>
                  <w:tcW w:w="395" w:type="pct"/>
                  <w:vAlign w:val="center"/>
                </w:tcPr>
                <w:p w14:paraId="7DCC8D90">
                  <w:pPr>
                    <w:jc w:val="center"/>
                    <w:rPr>
                      <w:rFonts w:hint="default" w:ascii="Times New Roman" w:hAnsi="Times New Roman" w:eastAsiaTheme="minorEastAsia"/>
                      <w:color w:val="FF0000"/>
                      <w:szCs w:val="21"/>
                      <w:lang w:val="en-US" w:eastAsia="zh-CN"/>
                    </w:rPr>
                  </w:pPr>
                  <w:r>
                    <w:rPr>
                      <w:rFonts w:hint="eastAsia" w:ascii="Times New Roman" w:hAnsi="Times New Roman" w:cs="Times New Roman"/>
                      <w:color w:val="auto"/>
                      <w:sz w:val="21"/>
                      <w:szCs w:val="21"/>
                      <w:lang w:val="en-US" w:eastAsia="zh-CN"/>
                    </w:rPr>
                    <w:t>注塑</w:t>
                  </w:r>
                </w:p>
              </w:tc>
              <w:tc>
                <w:tcPr>
                  <w:tcW w:w="263" w:type="pct"/>
                  <w:vAlign w:val="center"/>
                </w:tcPr>
                <w:p w14:paraId="0B0AFD30">
                  <w:pPr>
                    <w:snapToGrid w:val="0"/>
                    <w:jc w:val="center"/>
                    <w:rPr>
                      <w:rFonts w:ascii="Times New Roman" w:hAnsi="Times New Roman" w:cs="Times New Roman"/>
                      <w:color w:val="FF0000"/>
                      <w:szCs w:val="21"/>
                    </w:rPr>
                  </w:pPr>
                  <w:r>
                    <w:rPr>
                      <w:rFonts w:hint="eastAsia" w:ascii="Times New Roman" w:hAnsi="Times New Roman" w:cs="Times New Roman"/>
                      <w:color w:val="auto"/>
                      <w:szCs w:val="21"/>
                      <w:lang w:val="en-US" w:eastAsia="zh-CN"/>
                    </w:rPr>
                    <w:t>固态</w:t>
                  </w:r>
                </w:p>
              </w:tc>
              <w:tc>
                <w:tcPr>
                  <w:tcW w:w="407" w:type="pct"/>
                  <w:vAlign w:val="center"/>
                </w:tcPr>
                <w:p w14:paraId="1DFED0ED">
                  <w:pPr>
                    <w:pStyle w:val="49"/>
                    <w:spacing w:line="240" w:lineRule="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一般</w:t>
                  </w:r>
                  <w:r>
                    <w:rPr>
                      <w:rFonts w:ascii="Times New Roman" w:hAnsi="Times New Roman" w:cs="Times New Roman"/>
                      <w:color w:val="auto"/>
                      <w:szCs w:val="21"/>
                    </w:rPr>
                    <w:t>固废</w:t>
                  </w:r>
                </w:p>
              </w:tc>
              <w:tc>
                <w:tcPr>
                  <w:tcW w:w="568" w:type="pct"/>
                  <w:vAlign w:val="center"/>
                </w:tcPr>
                <w:p w14:paraId="23901DC1">
                  <w:pPr>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highlight w:val="none"/>
                      <w:lang w:val="en-US" w:eastAsia="zh-CN"/>
                    </w:rPr>
                    <w:t>SW17，900-003-S17</w:t>
                  </w:r>
                </w:p>
              </w:tc>
              <w:tc>
                <w:tcPr>
                  <w:tcW w:w="391" w:type="pct"/>
                  <w:vAlign w:val="center"/>
                </w:tcPr>
                <w:p w14:paraId="56AA6357">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auto"/>
                      <w:szCs w:val="21"/>
                      <w:lang w:val="en-US" w:eastAsia="zh-CN"/>
                    </w:rPr>
                    <w:t>0.02</w:t>
                  </w:r>
                  <w:r>
                    <w:rPr>
                      <w:rFonts w:hint="eastAsia" w:ascii="Times New Roman" w:hAnsi="Times New Roman" w:cs="Times New Roman"/>
                      <w:color w:val="auto"/>
                      <w:szCs w:val="21"/>
                    </w:rPr>
                    <w:t>t/a</w:t>
                  </w:r>
                </w:p>
              </w:tc>
              <w:tc>
                <w:tcPr>
                  <w:tcW w:w="526" w:type="pct"/>
                  <w:vAlign w:val="center"/>
                </w:tcPr>
                <w:p w14:paraId="665E0124">
                  <w:pPr>
                    <w:jc w:val="center"/>
                    <w:rPr>
                      <w:rFonts w:hint="default" w:ascii="Times New Roman" w:hAnsi="Times New Roman" w:cs="Times New Roman"/>
                      <w:color w:val="FF0000"/>
                      <w:szCs w:val="21"/>
                      <w:lang w:val="en-US"/>
                    </w:rPr>
                  </w:pPr>
                  <w:r>
                    <w:rPr>
                      <w:rFonts w:hint="eastAsia" w:ascii="Times New Roman" w:hAnsi="Times New Roman" w:cs="Times New Roman"/>
                      <w:color w:val="auto"/>
                      <w:szCs w:val="21"/>
                      <w:lang w:val="en-US" w:eastAsia="zh-CN"/>
                    </w:rPr>
                    <w:t>废塑料</w:t>
                  </w:r>
                </w:p>
              </w:tc>
              <w:tc>
                <w:tcPr>
                  <w:tcW w:w="391" w:type="pct"/>
                  <w:vAlign w:val="center"/>
                </w:tcPr>
                <w:p w14:paraId="746AD9A3">
                  <w:pPr>
                    <w:pStyle w:val="49"/>
                    <w:widowControl/>
                    <w:snapToGrid w:val="0"/>
                    <w:spacing w:line="240" w:lineRule="auto"/>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w:t>
                  </w:r>
                </w:p>
              </w:tc>
              <w:tc>
                <w:tcPr>
                  <w:tcW w:w="280" w:type="pct"/>
                  <w:vAlign w:val="center"/>
                </w:tcPr>
                <w:p w14:paraId="5212ABBF">
                  <w:pPr>
                    <w:topLinePunct/>
                    <w:adjustRightInd w:val="0"/>
                    <w:snapToGrid w:val="0"/>
                    <w:jc w:val="center"/>
                    <w:rPr>
                      <w:rFonts w:ascii="Times New Roman" w:hAnsi="Times New Roman" w:eastAsia="宋体" w:cs="Times New Roman"/>
                      <w:color w:val="auto"/>
                      <w:szCs w:val="21"/>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天</w:t>
                  </w:r>
                </w:p>
              </w:tc>
              <w:tc>
                <w:tcPr>
                  <w:tcW w:w="351" w:type="pct"/>
                  <w:vAlign w:val="center"/>
                </w:tcPr>
                <w:p w14:paraId="5AEB9A33">
                  <w:pPr>
                    <w:pStyle w:val="49"/>
                    <w:widowControl/>
                    <w:snapToGrid w:val="0"/>
                    <w:spacing w:line="240" w:lineRule="auto"/>
                    <w:rPr>
                      <w:rFonts w:hint="default" w:ascii="Times New Roman" w:hAnsi="Times New Roman" w:eastAsia="宋体" w:cs="Times New Roman"/>
                      <w:color w:val="auto"/>
                      <w:szCs w:val="21"/>
                      <w:lang w:val="en-US"/>
                    </w:rPr>
                  </w:pPr>
                  <w:r>
                    <w:rPr>
                      <w:rFonts w:hint="eastAsia" w:ascii="Times New Roman" w:hAnsi="Times New Roman" w:cs="Times New Roman"/>
                      <w:color w:val="auto"/>
                      <w:szCs w:val="21"/>
                      <w:lang w:val="en-US" w:eastAsia="zh-CN"/>
                    </w:rPr>
                    <w:t>/</w:t>
                  </w:r>
                </w:p>
              </w:tc>
              <w:tc>
                <w:tcPr>
                  <w:tcW w:w="626" w:type="pct"/>
                  <w:vAlign w:val="center"/>
                </w:tcPr>
                <w:p w14:paraId="6E7A9DB8">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rPr>
                    <w:t>出售给废旧物资回收单位</w:t>
                  </w:r>
                </w:p>
              </w:tc>
            </w:tr>
            <w:tr w14:paraId="1BA2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3423142D">
                  <w:pPr>
                    <w:pStyle w:val="48"/>
                    <w:adjustRightInd w:val="0"/>
                    <w:snapToGrid w:val="0"/>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474" w:type="pct"/>
                  <w:vAlign w:val="center"/>
                </w:tcPr>
                <w:p w14:paraId="198C5C0A">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焊渣</w:t>
                  </w:r>
                </w:p>
              </w:tc>
              <w:tc>
                <w:tcPr>
                  <w:tcW w:w="395" w:type="pct"/>
                  <w:shd w:val="clear" w:color="auto" w:fill="auto"/>
                  <w:vAlign w:val="center"/>
                </w:tcPr>
                <w:p w14:paraId="46DFC312">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焊锡</w:t>
                  </w:r>
                </w:p>
              </w:tc>
              <w:tc>
                <w:tcPr>
                  <w:tcW w:w="263" w:type="pct"/>
                  <w:shd w:val="clear" w:color="auto" w:fill="auto"/>
                  <w:vAlign w:val="center"/>
                </w:tcPr>
                <w:p w14:paraId="545BF7D7">
                  <w:pPr>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677F2370">
                  <w:pPr>
                    <w:pStyle w:val="49"/>
                    <w:spacing w:line="240" w:lineRule="auto"/>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一般</w:t>
                  </w:r>
                  <w:r>
                    <w:rPr>
                      <w:rFonts w:ascii="Times New Roman" w:hAnsi="Times New Roman" w:cs="Times New Roman"/>
                      <w:color w:val="auto"/>
                      <w:szCs w:val="21"/>
                    </w:rPr>
                    <w:t>固废</w:t>
                  </w:r>
                </w:p>
              </w:tc>
              <w:tc>
                <w:tcPr>
                  <w:tcW w:w="568" w:type="pct"/>
                  <w:shd w:val="clear" w:color="auto" w:fill="auto"/>
                  <w:vAlign w:val="center"/>
                </w:tcPr>
                <w:p w14:paraId="5BA74314">
                  <w:pPr>
                    <w:jc w:val="center"/>
                    <w:rPr>
                      <w:rFonts w:hint="default" w:ascii="Times New Roman" w:hAnsi="Times New Roman" w:eastAsiaTheme="minorEastAsia"/>
                      <w:color w:val="FF0000"/>
                      <w:szCs w:val="21"/>
                      <w:lang w:val="en-US" w:eastAsia="zh-CN"/>
                    </w:rPr>
                  </w:pPr>
                  <w:r>
                    <w:rPr>
                      <w:rFonts w:hint="eastAsia" w:ascii="Times New Roman" w:hAnsi="Times New Roman"/>
                      <w:color w:val="auto"/>
                      <w:szCs w:val="21"/>
                      <w:lang w:val="en-US" w:eastAsia="zh-CN"/>
                    </w:rPr>
                    <w:t>SW59，900-099-S59</w:t>
                  </w:r>
                </w:p>
              </w:tc>
              <w:tc>
                <w:tcPr>
                  <w:tcW w:w="391" w:type="pct"/>
                  <w:shd w:val="clear" w:color="auto" w:fill="auto"/>
                  <w:vAlign w:val="center"/>
                </w:tcPr>
                <w:p w14:paraId="37730223">
                  <w:pPr>
                    <w:adjustRightInd w:val="0"/>
                    <w:snapToGrid w:val="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0.005t/a</w:t>
                  </w:r>
                </w:p>
              </w:tc>
              <w:tc>
                <w:tcPr>
                  <w:tcW w:w="526" w:type="pct"/>
                  <w:shd w:val="clear" w:color="auto" w:fill="auto"/>
                  <w:vAlign w:val="center"/>
                </w:tcPr>
                <w:p w14:paraId="6300A645">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焊渣</w:t>
                  </w:r>
                </w:p>
              </w:tc>
              <w:tc>
                <w:tcPr>
                  <w:tcW w:w="391" w:type="pct"/>
                  <w:shd w:val="clear" w:color="auto" w:fill="auto"/>
                  <w:vAlign w:val="center"/>
                </w:tcPr>
                <w:p w14:paraId="5E1B4268">
                  <w:pPr>
                    <w:pStyle w:val="49"/>
                    <w:widowControl/>
                    <w:snapToGrid w:val="0"/>
                    <w:spacing w:line="240" w:lineRule="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280" w:type="pct"/>
                  <w:shd w:val="clear" w:color="auto" w:fill="auto"/>
                  <w:vAlign w:val="center"/>
                </w:tcPr>
                <w:p w14:paraId="40A535AD">
                  <w:pPr>
                    <w:topLinePunct/>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天</w:t>
                  </w:r>
                </w:p>
              </w:tc>
              <w:tc>
                <w:tcPr>
                  <w:tcW w:w="351" w:type="pct"/>
                  <w:shd w:val="clear" w:color="auto" w:fill="auto"/>
                  <w:vAlign w:val="center"/>
                </w:tcPr>
                <w:p w14:paraId="179BD9F6">
                  <w:pPr>
                    <w:pStyle w:val="49"/>
                    <w:widowControl/>
                    <w:snapToGrid w:val="0"/>
                    <w:spacing w:line="240" w:lineRule="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626" w:type="pct"/>
                  <w:shd w:val="clear" w:color="auto" w:fill="auto"/>
                  <w:vAlign w:val="center"/>
                </w:tcPr>
                <w:p w14:paraId="3670AACF">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rPr>
                    <w:t>出售给废旧物资回收单位</w:t>
                  </w:r>
                </w:p>
              </w:tc>
            </w:tr>
            <w:tr w14:paraId="5F63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117BB9B6">
                  <w:pPr>
                    <w:pStyle w:val="48"/>
                    <w:adjustRightInd w:val="0"/>
                    <w:snapToGrid w:val="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474" w:type="pct"/>
                  <w:vAlign w:val="center"/>
                </w:tcPr>
                <w:p w14:paraId="4F628DD6">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废活性炭</w:t>
                  </w:r>
                </w:p>
              </w:tc>
              <w:tc>
                <w:tcPr>
                  <w:tcW w:w="395" w:type="pct"/>
                  <w:shd w:val="clear" w:color="auto" w:fill="auto"/>
                  <w:vAlign w:val="center"/>
                </w:tcPr>
                <w:p w14:paraId="16D18341">
                  <w:pPr>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废气处理</w:t>
                  </w:r>
                </w:p>
              </w:tc>
              <w:tc>
                <w:tcPr>
                  <w:tcW w:w="263" w:type="pct"/>
                  <w:shd w:val="clear" w:color="auto" w:fill="auto"/>
                  <w:vAlign w:val="center"/>
                </w:tcPr>
                <w:p w14:paraId="35E74421">
                  <w:pPr>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3C92EBE7">
                  <w:pPr>
                    <w:pStyle w:val="49"/>
                    <w:spacing w:line="24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21436C31">
                  <w:pPr>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HW49，900-039-49</w:t>
                  </w:r>
                </w:p>
              </w:tc>
              <w:tc>
                <w:tcPr>
                  <w:tcW w:w="391" w:type="pct"/>
                  <w:shd w:val="clear" w:color="auto" w:fill="auto"/>
                  <w:vAlign w:val="center"/>
                </w:tcPr>
                <w:p w14:paraId="1869E678">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5.047t/a</w:t>
                  </w:r>
                </w:p>
              </w:tc>
              <w:tc>
                <w:tcPr>
                  <w:tcW w:w="526" w:type="pct"/>
                  <w:shd w:val="clear" w:color="auto" w:fill="auto"/>
                  <w:vAlign w:val="center"/>
                </w:tcPr>
                <w:p w14:paraId="174CEDD3">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废活性炭</w:t>
                  </w:r>
                </w:p>
              </w:tc>
              <w:tc>
                <w:tcPr>
                  <w:tcW w:w="391" w:type="pct"/>
                  <w:shd w:val="clear" w:color="auto" w:fill="auto"/>
                  <w:vAlign w:val="center"/>
                </w:tcPr>
                <w:p w14:paraId="44159EC5">
                  <w:pPr>
                    <w:pStyle w:val="49"/>
                    <w:widowControl/>
                    <w:snapToGrid w:val="0"/>
                    <w:spacing w:line="240" w:lineRule="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tc>
              <w:tc>
                <w:tcPr>
                  <w:tcW w:w="280" w:type="pct"/>
                  <w:shd w:val="clear" w:color="auto" w:fill="auto"/>
                  <w:vAlign w:val="center"/>
                </w:tcPr>
                <w:p w14:paraId="0383337B">
                  <w:pPr>
                    <w:topLinePunct/>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2个月</w:t>
                  </w:r>
                </w:p>
              </w:tc>
              <w:tc>
                <w:tcPr>
                  <w:tcW w:w="351" w:type="pct"/>
                  <w:shd w:val="clear" w:color="auto" w:fill="auto"/>
                  <w:vAlign w:val="center"/>
                </w:tcPr>
                <w:p w14:paraId="7711197E">
                  <w:pPr>
                    <w:pStyle w:val="49"/>
                    <w:widowControl/>
                    <w:snapToGrid w:val="0"/>
                    <w:spacing w:line="24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T</w:t>
                  </w:r>
                </w:p>
              </w:tc>
              <w:tc>
                <w:tcPr>
                  <w:tcW w:w="626" w:type="pct"/>
                  <w:shd w:val="clear" w:color="auto" w:fill="auto"/>
                  <w:vAlign w:val="center"/>
                </w:tcPr>
                <w:p w14:paraId="45335E29">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集中收集后委托资质单位进行处置</w:t>
                  </w:r>
                </w:p>
              </w:tc>
            </w:tr>
            <w:tr w14:paraId="1CD6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36CC2122">
                  <w:pPr>
                    <w:pStyle w:val="48"/>
                    <w:adjustRightInd w:val="0"/>
                    <w:snapToGrid w:val="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474" w:type="pct"/>
                  <w:vAlign w:val="center"/>
                </w:tcPr>
                <w:p w14:paraId="63E6C4A5">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废过滤棉</w:t>
                  </w:r>
                </w:p>
              </w:tc>
              <w:tc>
                <w:tcPr>
                  <w:tcW w:w="395" w:type="pct"/>
                  <w:shd w:val="clear" w:color="auto" w:fill="auto"/>
                  <w:vAlign w:val="center"/>
                </w:tcPr>
                <w:p w14:paraId="7A88D141">
                  <w:pPr>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废气处理</w:t>
                  </w:r>
                </w:p>
              </w:tc>
              <w:tc>
                <w:tcPr>
                  <w:tcW w:w="263" w:type="pct"/>
                  <w:shd w:val="clear" w:color="auto" w:fill="auto"/>
                  <w:vAlign w:val="center"/>
                </w:tcPr>
                <w:p w14:paraId="3A505332">
                  <w:pPr>
                    <w:snapToGrid w:val="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2B9860CC">
                  <w:pPr>
                    <w:pStyle w:val="49"/>
                    <w:spacing w:line="240" w:lineRule="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5C8B7169">
                  <w:pPr>
                    <w:jc w:val="center"/>
                    <w:rPr>
                      <w:rFonts w:ascii="Times New Roman" w:hAnsi="Times New Roman"/>
                      <w:color w:val="auto"/>
                      <w:szCs w:val="21"/>
                    </w:rPr>
                  </w:pPr>
                  <w:r>
                    <w:rPr>
                      <w:rFonts w:hint="eastAsia" w:ascii="Times New Roman" w:hAnsi="Times New Roman"/>
                      <w:color w:val="auto"/>
                      <w:szCs w:val="21"/>
                    </w:rPr>
                    <w:t>HW49</w:t>
                  </w:r>
                </w:p>
                <w:p w14:paraId="18AB26B8">
                  <w:pPr>
                    <w:jc w:val="center"/>
                    <w:rPr>
                      <w:rFonts w:hint="eastAsia" w:ascii="Times New Roman" w:hAnsi="Times New Roman" w:cs="Times New Roman"/>
                      <w:color w:val="FF0000"/>
                      <w:szCs w:val="21"/>
                      <w:lang w:val="en-US" w:eastAsia="zh-CN"/>
                    </w:rPr>
                  </w:pPr>
                  <w:r>
                    <w:rPr>
                      <w:rFonts w:ascii="Times New Roman" w:hAnsi="Times New Roman"/>
                      <w:color w:val="auto"/>
                      <w:szCs w:val="21"/>
                    </w:rPr>
                    <w:t>900-</w:t>
                  </w:r>
                  <w:r>
                    <w:rPr>
                      <w:rFonts w:hint="eastAsia" w:ascii="Times New Roman" w:hAnsi="Times New Roman"/>
                      <w:color w:val="auto"/>
                      <w:szCs w:val="21"/>
                    </w:rPr>
                    <w:t>0</w:t>
                  </w:r>
                  <w:r>
                    <w:rPr>
                      <w:rFonts w:hint="eastAsia" w:ascii="Times New Roman" w:hAnsi="Times New Roman"/>
                      <w:color w:val="auto"/>
                      <w:szCs w:val="21"/>
                      <w:lang w:val="en-US" w:eastAsia="zh-CN"/>
                    </w:rPr>
                    <w:t>41</w:t>
                  </w:r>
                  <w:r>
                    <w:rPr>
                      <w:rFonts w:hint="eastAsia" w:ascii="Times New Roman" w:hAnsi="Times New Roman"/>
                      <w:color w:val="auto"/>
                      <w:szCs w:val="21"/>
                    </w:rPr>
                    <w:t>-49</w:t>
                  </w:r>
                </w:p>
              </w:tc>
              <w:tc>
                <w:tcPr>
                  <w:tcW w:w="391" w:type="pct"/>
                  <w:shd w:val="clear" w:color="auto" w:fill="auto"/>
                  <w:vAlign w:val="center"/>
                </w:tcPr>
                <w:p w14:paraId="4F425C5C">
                  <w:pPr>
                    <w:adjustRightInd w:val="0"/>
                    <w:snapToGrid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0.02t/a</w:t>
                  </w:r>
                </w:p>
              </w:tc>
              <w:tc>
                <w:tcPr>
                  <w:tcW w:w="526" w:type="pct"/>
                  <w:shd w:val="clear" w:color="auto" w:fill="auto"/>
                  <w:vAlign w:val="center"/>
                </w:tcPr>
                <w:p w14:paraId="4C1D48D1">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废过滤棉</w:t>
                  </w:r>
                </w:p>
              </w:tc>
              <w:tc>
                <w:tcPr>
                  <w:tcW w:w="391" w:type="pct"/>
                  <w:shd w:val="clear" w:color="auto" w:fill="auto"/>
                  <w:vAlign w:val="center"/>
                </w:tcPr>
                <w:p w14:paraId="03538821">
                  <w:pPr>
                    <w:pStyle w:val="49"/>
                    <w:widowControl/>
                    <w:snapToGrid w:val="0"/>
                    <w:spacing w:line="240" w:lineRule="auto"/>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c>
                <w:tcPr>
                  <w:tcW w:w="280" w:type="pct"/>
                  <w:shd w:val="clear" w:color="auto" w:fill="auto"/>
                  <w:vAlign w:val="center"/>
                </w:tcPr>
                <w:p w14:paraId="4F36911E">
                  <w:pPr>
                    <w:pStyle w:val="49"/>
                    <w:widowControl/>
                    <w:snapToGrid w:val="0"/>
                    <w:spacing w:line="240" w:lineRule="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2个月</w:t>
                  </w:r>
                </w:p>
              </w:tc>
              <w:tc>
                <w:tcPr>
                  <w:tcW w:w="351" w:type="pct"/>
                  <w:shd w:val="clear" w:color="auto" w:fill="auto"/>
                  <w:vAlign w:val="center"/>
                </w:tcPr>
                <w:p w14:paraId="71821293">
                  <w:pPr>
                    <w:pStyle w:val="49"/>
                    <w:widowControl/>
                    <w:snapToGrid w:val="0"/>
                    <w:spacing w:line="24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rPr>
                    <w:t>T/In</w:t>
                  </w:r>
                </w:p>
              </w:tc>
              <w:tc>
                <w:tcPr>
                  <w:tcW w:w="626" w:type="pct"/>
                  <w:shd w:val="clear" w:color="auto" w:fill="auto"/>
                  <w:vAlign w:val="center"/>
                </w:tcPr>
                <w:p w14:paraId="4BDCD53B">
                  <w:pPr>
                    <w:jc w:val="center"/>
                    <w:rPr>
                      <w:rFonts w:hint="eastAsia" w:ascii="Times New Roman" w:hAnsi="Times New Roman" w:cs="Times New Roman"/>
                      <w:color w:val="auto"/>
                      <w:szCs w:val="21"/>
                      <w:lang w:val="en-US" w:eastAsia="zh-CN"/>
                    </w:rPr>
                  </w:pPr>
                  <w:r>
                    <w:rPr>
                      <w:rFonts w:hint="default" w:ascii="Times New Roman" w:hAnsi="Times New Roman" w:cs="Times New Roman" w:eastAsiaTheme="minorEastAsia"/>
                      <w:color w:val="auto"/>
                      <w:szCs w:val="21"/>
                      <w:lang w:val="en-US" w:eastAsia="zh-CN"/>
                    </w:rPr>
                    <w:t>集中收集后委托资质单位进行处置</w:t>
                  </w:r>
                </w:p>
              </w:tc>
            </w:tr>
            <w:tr w14:paraId="05FD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5C6C9A8E">
                  <w:pPr>
                    <w:pStyle w:val="48"/>
                    <w:adjustRightInd w:val="0"/>
                    <w:snapToGrid w:val="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474" w:type="pct"/>
                  <w:vAlign w:val="center"/>
                </w:tcPr>
                <w:p w14:paraId="6CA62388">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废丝网纸</w:t>
                  </w:r>
                </w:p>
              </w:tc>
              <w:tc>
                <w:tcPr>
                  <w:tcW w:w="395" w:type="pct"/>
                  <w:shd w:val="clear" w:color="auto" w:fill="auto"/>
                  <w:vAlign w:val="center"/>
                </w:tcPr>
                <w:p w14:paraId="072C9F03">
                  <w:pPr>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刷锡膏</w:t>
                  </w:r>
                </w:p>
              </w:tc>
              <w:tc>
                <w:tcPr>
                  <w:tcW w:w="263" w:type="pct"/>
                  <w:shd w:val="clear" w:color="auto" w:fill="auto"/>
                  <w:vAlign w:val="center"/>
                </w:tcPr>
                <w:p w14:paraId="422C63CE">
                  <w:pPr>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6993BCA5">
                  <w:pPr>
                    <w:pStyle w:val="49"/>
                    <w:spacing w:line="240" w:lineRule="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一般</w:t>
                  </w:r>
                  <w:r>
                    <w:rPr>
                      <w:rFonts w:ascii="Times New Roman" w:hAnsi="Times New Roman" w:cs="Times New Roman"/>
                      <w:color w:val="auto"/>
                      <w:szCs w:val="21"/>
                    </w:rPr>
                    <w:t>固废</w:t>
                  </w:r>
                </w:p>
              </w:tc>
              <w:tc>
                <w:tcPr>
                  <w:tcW w:w="568" w:type="pct"/>
                  <w:shd w:val="clear" w:color="auto" w:fill="auto"/>
                  <w:vAlign w:val="center"/>
                </w:tcPr>
                <w:p w14:paraId="186194DF">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SW17</w:t>
                  </w:r>
                </w:p>
                <w:p w14:paraId="06C21468">
                  <w:pPr>
                    <w:jc w:val="center"/>
                    <w:rPr>
                      <w:rFonts w:ascii="Times New Roman" w:hAnsi="Times New Roman"/>
                      <w:color w:val="auto"/>
                      <w:szCs w:val="21"/>
                    </w:rPr>
                  </w:pPr>
                  <w:r>
                    <w:rPr>
                      <w:rFonts w:hint="eastAsia" w:ascii="Times New Roman" w:hAnsi="Times New Roman"/>
                      <w:color w:val="auto"/>
                      <w:szCs w:val="21"/>
                      <w:lang w:val="en-US" w:eastAsia="zh-CN"/>
                    </w:rPr>
                    <w:t>900-005-S17</w:t>
                  </w:r>
                </w:p>
              </w:tc>
              <w:tc>
                <w:tcPr>
                  <w:tcW w:w="391" w:type="pct"/>
                  <w:shd w:val="clear" w:color="auto" w:fill="auto"/>
                  <w:vAlign w:val="center"/>
                </w:tcPr>
                <w:p w14:paraId="2426A0EF">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0.05t/a</w:t>
                  </w:r>
                </w:p>
              </w:tc>
              <w:tc>
                <w:tcPr>
                  <w:tcW w:w="526" w:type="pct"/>
                  <w:shd w:val="clear" w:color="auto" w:fill="auto"/>
                  <w:vAlign w:val="center"/>
                </w:tcPr>
                <w:p w14:paraId="62413DE2">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废丝网纸</w:t>
                  </w:r>
                </w:p>
              </w:tc>
              <w:tc>
                <w:tcPr>
                  <w:tcW w:w="391" w:type="pct"/>
                  <w:shd w:val="clear" w:color="auto" w:fill="auto"/>
                  <w:vAlign w:val="center"/>
                </w:tcPr>
                <w:p w14:paraId="61C0B1D4">
                  <w:pPr>
                    <w:pStyle w:val="49"/>
                    <w:widowControl/>
                    <w:snapToGrid w:val="0"/>
                    <w:spacing w:line="240" w:lineRule="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c>
                <w:tcPr>
                  <w:tcW w:w="280" w:type="pct"/>
                  <w:shd w:val="clear" w:color="auto" w:fill="auto"/>
                  <w:vAlign w:val="center"/>
                </w:tcPr>
                <w:p w14:paraId="3EC04760">
                  <w:pPr>
                    <w:pStyle w:val="49"/>
                    <w:widowControl/>
                    <w:snapToGrid w:val="0"/>
                    <w:spacing w:line="240" w:lineRule="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7天</w:t>
                  </w:r>
                </w:p>
              </w:tc>
              <w:tc>
                <w:tcPr>
                  <w:tcW w:w="351" w:type="pct"/>
                  <w:shd w:val="clear" w:color="auto" w:fill="auto"/>
                  <w:vAlign w:val="center"/>
                </w:tcPr>
                <w:p w14:paraId="03547002">
                  <w:pPr>
                    <w:pStyle w:val="49"/>
                    <w:widowControl/>
                    <w:snapToGrid w:val="0"/>
                    <w:spacing w:line="240" w:lineRule="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c>
                <w:tcPr>
                  <w:tcW w:w="626" w:type="pct"/>
                  <w:shd w:val="clear" w:color="auto" w:fill="auto"/>
                  <w:vAlign w:val="center"/>
                </w:tcPr>
                <w:p w14:paraId="1E1C881C">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auto"/>
                      <w:szCs w:val="21"/>
                    </w:rPr>
                    <w:t>出售给废旧物资回收单位</w:t>
                  </w:r>
                </w:p>
              </w:tc>
            </w:tr>
            <w:tr w14:paraId="22C5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179A818C">
                  <w:pPr>
                    <w:pStyle w:val="48"/>
                    <w:adjustRightInd w:val="0"/>
                    <w:snapToGrid w:val="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474" w:type="pct"/>
                  <w:vAlign w:val="center"/>
                </w:tcPr>
                <w:p w14:paraId="3006C0B8">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废清洗液</w:t>
                  </w:r>
                </w:p>
              </w:tc>
              <w:tc>
                <w:tcPr>
                  <w:tcW w:w="395" w:type="pct"/>
                  <w:shd w:val="clear" w:color="auto" w:fill="auto"/>
                  <w:vAlign w:val="center"/>
                </w:tcPr>
                <w:p w14:paraId="6308759D">
                  <w:pPr>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超声波清洗</w:t>
                  </w:r>
                </w:p>
              </w:tc>
              <w:tc>
                <w:tcPr>
                  <w:tcW w:w="263" w:type="pct"/>
                  <w:shd w:val="clear" w:color="auto" w:fill="auto"/>
                  <w:vAlign w:val="center"/>
                </w:tcPr>
                <w:p w14:paraId="13142A56">
                  <w:pPr>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液态</w:t>
                  </w:r>
                </w:p>
              </w:tc>
              <w:tc>
                <w:tcPr>
                  <w:tcW w:w="407" w:type="pct"/>
                  <w:shd w:val="clear" w:color="auto" w:fill="auto"/>
                  <w:vAlign w:val="center"/>
                </w:tcPr>
                <w:p w14:paraId="3841483B">
                  <w:pPr>
                    <w:pStyle w:val="49"/>
                    <w:spacing w:line="240" w:lineRule="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1D0C7052">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HW06</w:t>
                  </w:r>
                </w:p>
                <w:p w14:paraId="571E4E43">
                  <w:pPr>
                    <w:jc w:val="center"/>
                    <w:rPr>
                      <w:rFonts w:ascii="Times New Roman" w:hAnsi="Times New Roman"/>
                      <w:color w:val="auto"/>
                      <w:szCs w:val="21"/>
                    </w:rPr>
                  </w:pPr>
                  <w:r>
                    <w:rPr>
                      <w:rFonts w:hint="eastAsia" w:ascii="Times New Roman" w:hAnsi="Times New Roman"/>
                      <w:color w:val="auto"/>
                      <w:szCs w:val="21"/>
                      <w:lang w:val="en-US" w:eastAsia="zh-CN"/>
                    </w:rPr>
                    <w:t>900-404-06</w:t>
                  </w:r>
                </w:p>
              </w:tc>
              <w:tc>
                <w:tcPr>
                  <w:tcW w:w="391" w:type="pct"/>
                  <w:shd w:val="clear" w:color="auto" w:fill="auto"/>
                  <w:vAlign w:val="center"/>
                </w:tcPr>
                <w:p w14:paraId="616BEC39">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0.45t/a</w:t>
                  </w:r>
                </w:p>
              </w:tc>
              <w:tc>
                <w:tcPr>
                  <w:tcW w:w="526" w:type="pct"/>
                  <w:shd w:val="clear" w:color="auto" w:fill="auto"/>
                  <w:vAlign w:val="center"/>
                </w:tcPr>
                <w:p w14:paraId="0C3C9DFC">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废清洗液</w:t>
                  </w:r>
                </w:p>
              </w:tc>
              <w:tc>
                <w:tcPr>
                  <w:tcW w:w="391" w:type="pct"/>
                  <w:shd w:val="clear" w:color="auto" w:fill="auto"/>
                  <w:vAlign w:val="center"/>
                </w:tcPr>
                <w:p w14:paraId="312C859E">
                  <w:pPr>
                    <w:pStyle w:val="49"/>
                    <w:widowControl/>
                    <w:snapToGrid w:val="0"/>
                    <w:spacing w:line="240" w:lineRule="auto"/>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c>
                <w:tcPr>
                  <w:tcW w:w="280" w:type="pct"/>
                  <w:shd w:val="clear" w:color="auto" w:fill="auto"/>
                  <w:vAlign w:val="center"/>
                </w:tcPr>
                <w:p w14:paraId="7061164B">
                  <w:pPr>
                    <w:pStyle w:val="49"/>
                    <w:widowControl/>
                    <w:snapToGrid w:val="0"/>
                    <w:spacing w:line="240" w:lineRule="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15天</w:t>
                  </w:r>
                </w:p>
              </w:tc>
              <w:tc>
                <w:tcPr>
                  <w:tcW w:w="351" w:type="pct"/>
                  <w:shd w:val="clear" w:color="auto" w:fill="auto"/>
                  <w:vAlign w:val="center"/>
                </w:tcPr>
                <w:p w14:paraId="71F84C8C">
                  <w:pPr>
                    <w:pStyle w:val="49"/>
                    <w:widowControl/>
                    <w:snapToGrid w:val="0"/>
                    <w:spacing w:line="240" w:lineRule="auto"/>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T，I，R</w:t>
                  </w:r>
                </w:p>
              </w:tc>
              <w:tc>
                <w:tcPr>
                  <w:tcW w:w="626" w:type="pct"/>
                  <w:shd w:val="clear" w:color="auto" w:fill="auto"/>
                  <w:vAlign w:val="center"/>
                </w:tcPr>
                <w:p w14:paraId="0C836E6C">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集中收集后委托资质单位进行处置</w:t>
                  </w:r>
                </w:p>
              </w:tc>
            </w:tr>
            <w:tr w14:paraId="0C8F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2" w:type="pct"/>
                  <w:vAlign w:val="center"/>
                </w:tcPr>
                <w:p w14:paraId="21DDA1A3">
                  <w:pPr>
                    <w:pStyle w:val="48"/>
                    <w:adjustRightInd w:val="0"/>
                    <w:snapToGrid w:val="0"/>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9</w:t>
                  </w:r>
                </w:p>
              </w:tc>
              <w:tc>
                <w:tcPr>
                  <w:tcW w:w="474" w:type="pct"/>
                  <w:vAlign w:val="center"/>
                </w:tcPr>
                <w:p w14:paraId="51EE7085">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边角料</w:t>
                  </w:r>
                </w:p>
              </w:tc>
              <w:tc>
                <w:tcPr>
                  <w:tcW w:w="395" w:type="pct"/>
                  <w:shd w:val="clear" w:color="auto" w:fill="auto"/>
                  <w:vAlign w:val="center"/>
                </w:tcPr>
                <w:p w14:paraId="5B8397B0">
                  <w:pPr>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剪脚、分板</w:t>
                  </w:r>
                </w:p>
              </w:tc>
              <w:tc>
                <w:tcPr>
                  <w:tcW w:w="263" w:type="pct"/>
                  <w:shd w:val="clear" w:color="auto" w:fill="auto"/>
                  <w:vAlign w:val="center"/>
                </w:tcPr>
                <w:p w14:paraId="40C7E674">
                  <w:pPr>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固态</w:t>
                  </w:r>
                </w:p>
              </w:tc>
              <w:tc>
                <w:tcPr>
                  <w:tcW w:w="407" w:type="pct"/>
                  <w:shd w:val="clear" w:color="auto" w:fill="auto"/>
                  <w:vAlign w:val="center"/>
                </w:tcPr>
                <w:p w14:paraId="0F618604">
                  <w:pPr>
                    <w:pStyle w:val="49"/>
                    <w:spacing w:line="240" w:lineRule="auto"/>
                    <w:rPr>
                      <w:rFonts w:hint="eastAsia"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危险固废</w:t>
                  </w:r>
                </w:p>
              </w:tc>
              <w:tc>
                <w:tcPr>
                  <w:tcW w:w="568" w:type="pct"/>
                  <w:shd w:val="clear" w:color="auto" w:fill="auto"/>
                  <w:vAlign w:val="center"/>
                </w:tcPr>
                <w:p w14:paraId="5D5A09DE">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HW49</w:t>
                  </w:r>
                </w:p>
                <w:p w14:paraId="269824DE">
                  <w:pPr>
                    <w:jc w:val="center"/>
                    <w:rPr>
                      <w:rFonts w:ascii="Times New Roman" w:hAnsi="Times New Roman"/>
                      <w:color w:val="auto"/>
                      <w:szCs w:val="21"/>
                    </w:rPr>
                  </w:pPr>
                  <w:r>
                    <w:rPr>
                      <w:rFonts w:hint="eastAsia" w:ascii="Times New Roman" w:hAnsi="Times New Roman"/>
                      <w:color w:val="auto"/>
                      <w:szCs w:val="21"/>
                      <w:lang w:val="en-US" w:eastAsia="zh-CN"/>
                    </w:rPr>
                    <w:t>900-045-49</w:t>
                  </w:r>
                </w:p>
              </w:tc>
              <w:tc>
                <w:tcPr>
                  <w:tcW w:w="391" w:type="pct"/>
                  <w:shd w:val="clear" w:color="auto" w:fill="auto"/>
                  <w:vAlign w:val="center"/>
                </w:tcPr>
                <w:p w14:paraId="561D7DD7">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0.05t/a</w:t>
                  </w:r>
                </w:p>
              </w:tc>
              <w:tc>
                <w:tcPr>
                  <w:tcW w:w="526" w:type="pct"/>
                  <w:shd w:val="clear" w:color="auto" w:fill="auto"/>
                  <w:vAlign w:val="center"/>
                </w:tcPr>
                <w:p w14:paraId="0B7C91E4">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电路板残料</w:t>
                  </w:r>
                </w:p>
              </w:tc>
              <w:tc>
                <w:tcPr>
                  <w:tcW w:w="391" w:type="pct"/>
                  <w:shd w:val="clear" w:color="auto" w:fill="auto"/>
                  <w:vAlign w:val="center"/>
                </w:tcPr>
                <w:p w14:paraId="55AC8F09">
                  <w:pPr>
                    <w:pStyle w:val="49"/>
                    <w:widowControl/>
                    <w:snapToGrid w:val="0"/>
                    <w:spacing w:line="240" w:lineRule="auto"/>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c>
                <w:tcPr>
                  <w:tcW w:w="280" w:type="pct"/>
                  <w:shd w:val="clear" w:color="auto" w:fill="auto"/>
                  <w:vAlign w:val="center"/>
                </w:tcPr>
                <w:p w14:paraId="24F6D8B9">
                  <w:pPr>
                    <w:pStyle w:val="49"/>
                    <w:widowControl/>
                    <w:snapToGrid w:val="0"/>
                    <w:spacing w:line="240" w:lineRule="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1天</w:t>
                  </w:r>
                </w:p>
              </w:tc>
              <w:tc>
                <w:tcPr>
                  <w:tcW w:w="351" w:type="pct"/>
                  <w:shd w:val="clear" w:color="auto" w:fill="auto"/>
                  <w:vAlign w:val="center"/>
                </w:tcPr>
                <w:p w14:paraId="61751BA1">
                  <w:pPr>
                    <w:pStyle w:val="49"/>
                    <w:widowControl/>
                    <w:snapToGrid w:val="0"/>
                    <w:spacing w:line="240" w:lineRule="auto"/>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T</w:t>
                  </w:r>
                </w:p>
              </w:tc>
              <w:tc>
                <w:tcPr>
                  <w:tcW w:w="626" w:type="pct"/>
                  <w:shd w:val="clear" w:color="auto" w:fill="auto"/>
                  <w:vAlign w:val="center"/>
                </w:tcPr>
                <w:p w14:paraId="35C0DC4E">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集中收集后委托资质单位进行处置</w:t>
                  </w:r>
                </w:p>
              </w:tc>
            </w:tr>
          </w:tbl>
          <w:p w14:paraId="2C4FDCEB">
            <w:pPr>
              <w:keepNext w:val="0"/>
              <w:keepLines w:val="0"/>
              <w:pageBreakBefore w:val="0"/>
              <w:widowControl w:val="0"/>
              <w:kinsoku/>
              <w:wordWrap/>
              <w:overflowPunct/>
              <w:topLinePunct w:val="0"/>
              <w:autoSpaceDE/>
              <w:autoSpaceDN/>
              <w:bidi w:val="0"/>
              <w:adjustRightInd/>
              <w:snapToGrid w:val="0"/>
              <w:spacing w:before="157" w:beforeLines="50" w:line="500" w:lineRule="exact"/>
              <w:ind w:firstLine="480" w:firstLineChars="200"/>
              <w:textAlignment w:val="center"/>
              <w:outlineLvl w:val="9"/>
              <w:rPr>
                <w:rFonts w:hint="default" w:ascii="Times New Roman" w:hAnsi="Times New Roman" w:eastAsia="宋体" w:cs="Times New Roman"/>
                <w:color w:val="FF0000"/>
                <w:sz w:val="24"/>
                <w:szCs w:val="22"/>
                <w:lang w:eastAsia="zh-CN"/>
              </w:rPr>
            </w:pPr>
            <w:r>
              <w:rPr>
                <w:rFonts w:ascii="Times New Roman" w:hAnsi="Times New Roman" w:eastAsia="宋体" w:cs="Times New Roman"/>
                <w:color w:val="auto"/>
                <w:sz w:val="24"/>
              </w:rPr>
              <w:t>由表</w:t>
            </w:r>
            <w:r>
              <w:rPr>
                <w:rFonts w:hint="eastAsia" w:ascii="Times New Roman" w:hAnsi="Times New Roman" w:eastAsia="宋体" w:cs="Times New Roman"/>
                <w:color w:val="auto"/>
                <w:sz w:val="24"/>
              </w:rPr>
              <w:t>4-</w:t>
            </w:r>
            <w:r>
              <w:rPr>
                <w:rFonts w:hint="eastAsia" w:ascii="Times New Roman" w:hAnsi="Times New Roman" w:eastAsia="宋体" w:cs="Times New Roman"/>
                <w:color w:val="auto"/>
                <w:sz w:val="24"/>
                <w:lang w:val="en-US" w:eastAsia="zh-CN"/>
              </w:rPr>
              <w:t>18</w:t>
            </w:r>
            <w:r>
              <w:rPr>
                <w:rFonts w:ascii="Times New Roman" w:hAnsi="Times New Roman" w:eastAsia="宋体" w:cs="Times New Roman"/>
                <w:color w:val="auto"/>
                <w:sz w:val="24"/>
              </w:rPr>
              <w:t>可知，本项目实施后各项固废均能得到妥善处置，不排入自然环境，对周围环境无影响。</w:t>
            </w:r>
          </w:p>
          <w:p w14:paraId="566BB55A">
            <w:pPr>
              <w:snapToGrid w:val="0"/>
              <w:spacing w:line="500" w:lineRule="exact"/>
              <w:ind w:firstLine="480" w:firstLineChars="200"/>
              <w:textAlignment w:val="center"/>
              <w:rPr>
                <w:rFonts w:ascii="Times New Roman" w:hAnsi="Times New Roman" w:eastAsia="宋体" w:cs="Times New Roman"/>
                <w:color w:val="auto"/>
                <w:sz w:val="24"/>
              </w:rPr>
            </w:pPr>
            <w:r>
              <w:rPr>
                <w:rFonts w:ascii="Times New Roman" w:hAnsi="Times New Roman" w:eastAsia="宋体" w:cs="Times New Roman"/>
                <w:color w:val="auto"/>
                <w:sz w:val="24"/>
              </w:rPr>
              <w:t>本项目所在厂区将建立统一的固废分类收集、统一堆放场地制度。堆放场所须按防雨淋、防渗漏等要求设置，危险废物存放容器必须加盖密闭，防止泄漏。各类废物由密闭容器收集后暂存在暂存场地内，不得露天放置。放置场所做好地面的硬化防腐，并设置明显的标志。具体防治措施如下所述。</w:t>
            </w:r>
          </w:p>
          <w:p w14:paraId="48427696">
            <w:pPr>
              <w:snapToGrid w:val="0"/>
              <w:spacing w:line="500" w:lineRule="exact"/>
              <w:ind w:firstLine="480" w:firstLineChars="200"/>
              <w:textAlignment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（1）</w:t>
            </w:r>
            <w:r>
              <w:rPr>
                <w:rFonts w:ascii="Times New Roman" w:hAnsi="Times New Roman" w:eastAsia="宋体" w:cs="Times New Roman"/>
                <w:color w:val="auto"/>
                <w:sz w:val="24"/>
              </w:rPr>
              <w:t>危险废物</w:t>
            </w:r>
          </w:p>
          <w:p w14:paraId="60C76D1E">
            <w:pPr>
              <w:snapToGrid w:val="0"/>
              <w:spacing w:line="500" w:lineRule="exact"/>
              <w:ind w:firstLine="480" w:firstLineChars="200"/>
              <w:textAlignment w:val="center"/>
              <w:rPr>
                <w:rFonts w:ascii="Times New Roman" w:hAnsi="Times New Roman" w:cs="Times New Roman"/>
                <w:b/>
                <w:bCs/>
                <w:color w:val="auto"/>
                <w:szCs w:val="21"/>
              </w:rPr>
            </w:pPr>
            <w:r>
              <w:rPr>
                <w:rFonts w:ascii="Times New Roman" w:hAnsi="Times New Roman" w:eastAsia="宋体" w:cs="Times New Roman"/>
                <w:color w:val="auto"/>
                <w:sz w:val="24"/>
              </w:rPr>
              <w:t>本项目危险废物贮存场所（设施）基本情况见表</w:t>
            </w:r>
            <w:r>
              <w:rPr>
                <w:rFonts w:hint="eastAsia" w:ascii="Times New Roman" w:hAnsi="Times New Roman" w:eastAsia="宋体" w:cs="Times New Roman"/>
                <w:color w:val="auto"/>
                <w:sz w:val="24"/>
              </w:rPr>
              <w:t>4-</w:t>
            </w:r>
            <w:r>
              <w:rPr>
                <w:rFonts w:hint="eastAsia" w:ascii="Times New Roman" w:hAnsi="Times New Roman" w:eastAsia="宋体" w:cs="Times New Roman"/>
                <w:color w:val="auto"/>
                <w:sz w:val="24"/>
                <w:lang w:val="en-US" w:eastAsia="zh-CN"/>
              </w:rPr>
              <w:t>19</w:t>
            </w:r>
            <w:r>
              <w:rPr>
                <w:rFonts w:ascii="Times New Roman" w:hAnsi="Times New Roman" w:eastAsia="宋体" w:cs="Times New Roman"/>
                <w:color w:val="auto"/>
                <w:sz w:val="24"/>
              </w:rPr>
              <w:t>。</w:t>
            </w:r>
          </w:p>
          <w:p w14:paraId="730350A2">
            <w:pPr>
              <w:pStyle w:val="7"/>
              <w:spacing w:line="460" w:lineRule="exact"/>
              <w:ind w:firstLine="0"/>
              <w:jc w:val="center"/>
              <w:textAlignment w:val="center"/>
              <w:rPr>
                <w:rFonts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rPr>
              <w:t>4-</w:t>
            </w:r>
            <w:r>
              <w:rPr>
                <w:rFonts w:hint="eastAsia" w:ascii="Times New Roman" w:hAnsi="Times New Roman" w:cs="Times New Roman"/>
                <w:b/>
                <w:bCs/>
                <w:color w:val="auto"/>
                <w:szCs w:val="21"/>
                <w:lang w:val="en-US" w:eastAsia="zh-CN"/>
              </w:rPr>
              <w:t>19</w:t>
            </w:r>
            <w:r>
              <w:rPr>
                <w:rFonts w:ascii="Times New Roman" w:hAnsi="Times New Roman" w:cs="Times New Roman"/>
                <w:b/>
                <w:bCs/>
                <w:color w:val="auto"/>
                <w:szCs w:val="21"/>
              </w:rPr>
              <w:t xml:space="preserve"> 危险废物贮存场所（设施）基本情况表</w:t>
            </w:r>
          </w:p>
          <w:tbl>
            <w:tblPr>
              <w:tblStyle w:val="23"/>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645"/>
              <w:gridCol w:w="1018"/>
              <w:gridCol w:w="794"/>
              <w:gridCol w:w="1200"/>
              <w:gridCol w:w="836"/>
              <w:gridCol w:w="704"/>
              <w:gridCol w:w="794"/>
              <w:gridCol w:w="1057"/>
              <w:gridCol w:w="871"/>
            </w:tblGrid>
            <w:tr w14:paraId="355481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5DF22EE1">
                  <w:pPr>
                    <w:snapToGrid w:val="0"/>
                    <w:jc w:val="center"/>
                    <w:rPr>
                      <w:rFonts w:ascii="Times New Roman" w:hAnsi="Times New Roman"/>
                      <w:b/>
                      <w:bCs w:val="0"/>
                      <w:color w:val="auto"/>
                      <w:szCs w:val="21"/>
                    </w:rPr>
                  </w:pPr>
                  <w:r>
                    <w:rPr>
                      <w:rFonts w:ascii="Times New Roman" w:hAnsi="Times New Roman"/>
                      <w:b/>
                      <w:bCs w:val="0"/>
                      <w:color w:val="auto"/>
                      <w:szCs w:val="21"/>
                    </w:rPr>
                    <w:t>序号</w:t>
                  </w:r>
                </w:p>
              </w:tc>
              <w:tc>
                <w:tcPr>
                  <w:tcW w:w="645" w:type="dxa"/>
                  <w:tcBorders>
                    <w:right w:val="single" w:color="auto" w:sz="4" w:space="0"/>
                  </w:tcBorders>
                  <w:noWrap/>
                  <w:tcMar>
                    <w:left w:w="51" w:type="dxa"/>
                    <w:right w:w="51" w:type="dxa"/>
                  </w:tcMar>
                  <w:vAlign w:val="center"/>
                </w:tcPr>
                <w:p w14:paraId="37DB7B03">
                  <w:pPr>
                    <w:snapToGrid w:val="0"/>
                    <w:jc w:val="center"/>
                    <w:rPr>
                      <w:rFonts w:ascii="Times New Roman" w:hAnsi="Times New Roman"/>
                      <w:b/>
                      <w:bCs w:val="0"/>
                      <w:color w:val="auto"/>
                      <w:szCs w:val="21"/>
                    </w:rPr>
                  </w:pPr>
                  <w:r>
                    <w:rPr>
                      <w:rFonts w:ascii="Times New Roman" w:hAnsi="Times New Roman"/>
                      <w:b/>
                      <w:bCs w:val="0"/>
                      <w:color w:val="auto"/>
                      <w:szCs w:val="21"/>
                    </w:rPr>
                    <w:t>贮存</w:t>
                  </w:r>
                </w:p>
                <w:p w14:paraId="726942A4">
                  <w:pPr>
                    <w:snapToGrid w:val="0"/>
                    <w:jc w:val="center"/>
                    <w:rPr>
                      <w:rFonts w:ascii="Times New Roman" w:hAnsi="Times New Roman"/>
                      <w:b/>
                      <w:bCs w:val="0"/>
                      <w:color w:val="auto"/>
                      <w:szCs w:val="21"/>
                    </w:rPr>
                  </w:pPr>
                  <w:r>
                    <w:rPr>
                      <w:rFonts w:ascii="Times New Roman" w:hAnsi="Times New Roman"/>
                      <w:b/>
                      <w:bCs w:val="0"/>
                      <w:color w:val="auto"/>
                      <w:szCs w:val="21"/>
                    </w:rPr>
                    <w:t>场所</w:t>
                  </w:r>
                </w:p>
                <w:p w14:paraId="64ADBF5E">
                  <w:pPr>
                    <w:snapToGrid w:val="0"/>
                    <w:jc w:val="center"/>
                    <w:rPr>
                      <w:rFonts w:ascii="Times New Roman" w:hAnsi="Times New Roman"/>
                      <w:b/>
                      <w:bCs w:val="0"/>
                      <w:color w:val="auto"/>
                      <w:szCs w:val="21"/>
                    </w:rPr>
                  </w:pPr>
                  <w:r>
                    <w:rPr>
                      <w:rFonts w:ascii="Times New Roman" w:hAnsi="Times New Roman"/>
                      <w:b/>
                      <w:bCs w:val="0"/>
                      <w:color w:val="auto"/>
                      <w:szCs w:val="21"/>
                    </w:rPr>
                    <w:t>名称</w:t>
                  </w:r>
                </w:p>
              </w:tc>
              <w:tc>
                <w:tcPr>
                  <w:tcW w:w="1018" w:type="dxa"/>
                  <w:tcBorders>
                    <w:left w:val="single" w:color="auto" w:sz="4" w:space="0"/>
                  </w:tcBorders>
                  <w:noWrap/>
                  <w:tcMar>
                    <w:left w:w="51" w:type="dxa"/>
                    <w:right w:w="51" w:type="dxa"/>
                  </w:tcMar>
                  <w:vAlign w:val="center"/>
                </w:tcPr>
                <w:p w14:paraId="74D356F2">
                  <w:pPr>
                    <w:snapToGrid w:val="0"/>
                    <w:jc w:val="center"/>
                    <w:rPr>
                      <w:rFonts w:ascii="Times New Roman" w:hAnsi="Times New Roman"/>
                      <w:b/>
                      <w:bCs w:val="0"/>
                      <w:color w:val="auto"/>
                      <w:szCs w:val="21"/>
                    </w:rPr>
                  </w:pPr>
                  <w:r>
                    <w:rPr>
                      <w:rFonts w:ascii="Times New Roman" w:hAnsi="Times New Roman"/>
                      <w:b/>
                      <w:bCs w:val="0"/>
                      <w:color w:val="auto"/>
                      <w:szCs w:val="21"/>
                    </w:rPr>
                    <w:t>危险废物名称</w:t>
                  </w:r>
                </w:p>
              </w:tc>
              <w:tc>
                <w:tcPr>
                  <w:tcW w:w="794" w:type="dxa"/>
                  <w:noWrap/>
                  <w:tcMar>
                    <w:left w:w="51" w:type="dxa"/>
                    <w:right w:w="51" w:type="dxa"/>
                  </w:tcMar>
                  <w:vAlign w:val="center"/>
                </w:tcPr>
                <w:p w14:paraId="3AE54F44">
                  <w:pPr>
                    <w:snapToGrid w:val="0"/>
                    <w:jc w:val="center"/>
                    <w:rPr>
                      <w:rFonts w:ascii="Times New Roman" w:hAnsi="Times New Roman"/>
                      <w:b/>
                      <w:bCs w:val="0"/>
                      <w:color w:val="auto"/>
                      <w:szCs w:val="21"/>
                    </w:rPr>
                  </w:pPr>
                  <w:r>
                    <w:rPr>
                      <w:rFonts w:ascii="Times New Roman" w:hAnsi="Times New Roman"/>
                      <w:b/>
                      <w:bCs w:val="0"/>
                      <w:color w:val="auto"/>
                      <w:szCs w:val="21"/>
                    </w:rPr>
                    <w:t>危险</w:t>
                  </w:r>
                </w:p>
                <w:p w14:paraId="039F3B1B">
                  <w:pPr>
                    <w:snapToGrid w:val="0"/>
                    <w:jc w:val="center"/>
                    <w:rPr>
                      <w:rFonts w:ascii="Times New Roman" w:hAnsi="Times New Roman"/>
                      <w:b/>
                      <w:bCs w:val="0"/>
                      <w:color w:val="auto"/>
                      <w:szCs w:val="21"/>
                    </w:rPr>
                  </w:pPr>
                  <w:r>
                    <w:rPr>
                      <w:rFonts w:ascii="Times New Roman" w:hAnsi="Times New Roman"/>
                      <w:b/>
                      <w:bCs w:val="0"/>
                      <w:color w:val="auto"/>
                      <w:szCs w:val="21"/>
                    </w:rPr>
                    <w:t>废物</w:t>
                  </w:r>
                </w:p>
                <w:p w14:paraId="7DA95B22">
                  <w:pPr>
                    <w:snapToGrid w:val="0"/>
                    <w:jc w:val="center"/>
                    <w:rPr>
                      <w:rFonts w:ascii="Times New Roman" w:hAnsi="Times New Roman"/>
                      <w:b/>
                      <w:bCs w:val="0"/>
                      <w:color w:val="auto"/>
                      <w:szCs w:val="21"/>
                    </w:rPr>
                  </w:pPr>
                  <w:r>
                    <w:rPr>
                      <w:rFonts w:ascii="Times New Roman" w:hAnsi="Times New Roman"/>
                      <w:b/>
                      <w:bCs w:val="0"/>
                      <w:color w:val="auto"/>
                      <w:szCs w:val="21"/>
                    </w:rPr>
                    <w:t>类别</w:t>
                  </w:r>
                </w:p>
              </w:tc>
              <w:tc>
                <w:tcPr>
                  <w:tcW w:w="1200" w:type="dxa"/>
                  <w:noWrap/>
                  <w:tcMar>
                    <w:left w:w="51" w:type="dxa"/>
                    <w:right w:w="51" w:type="dxa"/>
                  </w:tcMar>
                  <w:vAlign w:val="center"/>
                </w:tcPr>
                <w:p w14:paraId="49EB52B9">
                  <w:pPr>
                    <w:snapToGrid w:val="0"/>
                    <w:jc w:val="center"/>
                    <w:rPr>
                      <w:rFonts w:ascii="Times New Roman" w:hAnsi="Times New Roman"/>
                      <w:b/>
                      <w:bCs w:val="0"/>
                      <w:color w:val="auto"/>
                      <w:szCs w:val="21"/>
                    </w:rPr>
                  </w:pPr>
                  <w:r>
                    <w:rPr>
                      <w:rFonts w:ascii="Times New Roman" w:hAnsi="Times New Roman"/>
                      <w:b/>
                      <w:bCs w:val="0"/>
                      <w:color w:val="auto"/>
                      <w:szCs w:val="21"/>
                    </w:rPr>
                    <w:t>危险废物</w:t>
                  </w:r>
                </w:p>
                <w:p w14:paraId="50463DFC">
                  <w:pPr>
                    <w:snapToGrid w:val="0"/>
                    <w:jc w:val="center"/>
                    <w:rPr>
                      <w:rFonts w:ascii="Times New Roman" w:hAnsi="Times New Roman"/>
                      <w:b/>
                      <w:bCs w:val="0"/>
                      <w:color w:val="auto"/>
                      <w:szCs w:val="21"/>
                    </w:rPr>
                  </w:pPr>
                  <w:r>
                    <w:rPr>
                      <w:rFonts w:ascii="Times New Roman" w:hAnsi="Times New Roman"/>
                      <w:b/>
                      <w:bCs w:val="0"/>
                      <w:color w:val="auto"/>
                      <w:szCs w:val="21"/>
                    </w:rPr>
                    <w:t>代码</w:t>
                  </w:r>
                </w:p>
              </w:tc>
              <w:tc>
                <w:tcPr>
                  <w:tcW w:w="836" w:type="dxa"/>
                  <w:noWrap/>
                  <w:tcMar>
                    <w:left w:w="51" w:type="dxa"/>
                    <w:right w:w="51" w:type="dxa"/>
                  </w:tcMar>
                  <w:vAlign w:val="center"/>
                </w:tcPr>
                <w:p w14:paraId="5DB602DC">
                  <w:pPr>
                    <w:snapToGrid w:val="0"/>
                    <w:jc w:val="center"/>
                    <w:rPr>
                      <w:rFonts w:ascii="Times New Roman" w:hAnsi="Times New Roman"/>
                      <w:b/>
                      <w:bCs w:val="0"/>
                      <w:color w:val="auto"/>
                      <w:szCs w:val="21"/>
                    </w:rPr>
                  </w:pPr>
                  <w:r>
                    <w:rPr>
                      <w:rFonts w:ascii="Times New Roman" w:hAnsi="Times New Roman"/>
                      <w:b/>
                      <w:bCs w:val="0"/>
                      <w:color w:val="auto"/>
                      <w:szCs w:val="21"/>
                    </w:rPr>
                    <w:t>位置</w:t>
                  </w:r>
                </w:p>
              </w:tc>
              <w:tc>
                <w:tcPr>
                  <w:tcW w:w="704" w:type="dxa"/>
                  <w:noWrap/>
                  <w:tcMar>
                    <w:left w:w="51" w:type="dxa"/>
                    <w:right w:w="51" w:type="dxa"/>
                  </w:tcMar>
                  <w:vAlign w:val="center"/>
                </w:tcPr>
                <w:p w14:paraId="38B10867">
                  <w:pPr>
                    <w:snapToGrid w:val="0"/>
                    <w:jc w:val="center"/>
                    <w:rPr>
                      <w:rFonts w:ascii="Times New Roman" w:hAnsi="Times New Roman"/>
                      <w:b/>
                      <w:bCs w:val="0"/>
                      <w:color w:val="auto"/>
                      <w:szCs w:val="21"/>
                    </w:rPr>
                  </w:pPr>
                  <w:r>
                    <w:rPr>
                      <w:rFonts w:ascii="Times New Roman" w:hAnsi="Times New Roman"/>
                      <w:b/>
                      <w:bCs w:val="0"/>
                      <w:color w:val="auto"/>
                      <w:szCs w:val="21"/>
                    </w:rPr>
                    <w:t>占地面积</w:t>
                  </w:r>
                </w:p>
              </w:tc>
              <w:tc>
                <w:tcPr>
                  <w:tcW w:w="794" w:type="dxa"/>
                  <w:tcBorders>
                    <w:right w:val="single" w:color="auto" w:sz="4" w:space="0"/>
                  </w:tcBorders>
                  <w:noWrap/>
                  <w:tcMar>
                    <w:left w:w="51" w:type="dxa"/>
                    <w:right w:w="51" w:type="dxa"/>
                  </w:tcMar>
                  <w:vAlign w:val="center"/>
                </w:tcPr>
                <w:p w14:paraId="3EDBC665">
                  <w:pPr>
                    <w:snapToGrid w:val="0"/>
                    <w:jc w:val="center"/>
                    <w:rPr>
                      <w:rFonts w:ascii="Times New Roman" w:hAnsi="Times New Roman"/>
                      <w:b/>
                      <w:bCs w:val="0"/>
                      <w:color w:val="auto"/>
                      <w:szCs w:val="21"/>
                    </w:rPr>
                  </w:pPr>
                  <w:r>
                    <w:rPr>
                      <w:rFonts w:ascii="Times New Roman" w:hAnsi="Times New Roman"/>
                      <w:b/>
                      <w:bCs w:val="0"/>
                      <w:color w:val="auto"/>
                      <w:szCs w:val="21"/>
                    </w:rPr>
                    <w:t>贮存</w:t>
                  </w:r>
                </w:p>
                <w:p w14:paraId="6BE0AD7B">
                  <w:pPr>
                    <w:snapToGrid w:val="0"/>
                    <w:jc w:val="center"/>
                    <w:rPr>
                      <w:rFonts w:ascii="Times New Roman" w:hAnsi="Times New Roman"/>
                      <w:b/>
                      <w:bCs w:val="0"/>
                      <w:color w:val="auto"/>
                      <w:szCs w:val="21"/>
                    </w:rPr>
                  </w:pPr>
                  <w:r>
                    <w:rPr>
                      <w:rFonts w:ascii="Times New Roman" w:hAnsi="Times New Roman"/>
                      <w:b/>
                      <w:bCs w:val="0"/>
                      <w:color w:val="auto"/>
                      <w:szCs w:val="21"/>
                    </w:rPr>
                    <w:t>方式</w:t>
                  </w:r>
                </w:p>
              </w:tc>
              <w:tc>
                <w:tcPr>
                  <w:tcW w:w="1057" w:type="dxa"/>
                  <w:tcBorders>
                    <w:left w:val="single" w:color="auto" w:sz="4" w:space="0"/>
                  </w:tcBorders>
                  <w:noWrap/>
                  <w:vAlign w:val="center"/>
                </w:tcPr>
                <w:p w14:paraId="2017CEAB">
                  <w:pPr>
                    <w:snapToGrid w:val="0"/>
                    <w:jc w:val="center"/>
                    <w:rPr>
                      <w:rFonts w:ascii="Times New Roman" w:hAnsi="Times New Roman"/>
                      <w:b/>
                      <w:bCs w:val="0"/>
                      <w:color w:val="auto"/>
                      <w:szCs w:val="21"/>
                    </w:rPr>
                  </w:pPr>
                  <w:r>
                    <w:rPr>
                      <w:rFonts w:ascii="Times New Roman" w:hAnsi="Times New Roman"/>
                      <w:b/>
                      <w:bCs w:val="0"/>
                      <w:color w:val="auto"/>
                      <w:szCs w:val="21"/>
                    </w:rPr>
                    <w:t>贮存</w:t>
                  </w:r>
                </w:p>
                <w:p w14:paraId="5BBF60C5">
                  <w:pPr>
                    <w:snapToGrid w:val="0"/>
                    <w:jc w:val="center"/>
                    <w:rPr>
                      <w:rFonts w:ascii="Times New Roman" w:hAnsi="Times New Roman"/>
                      <w:b/>
                      <w:bCs w:val="0"/>
                      <w:color w:val="auto"/>
                      <w:szCs w:val="21"/>
                    </w:rPr>
                  </w:pPr>
                  <w:r>
                    <w:rPr>
                      <w:rFonts w:ascii="Times New Roman" w:hAnsi="Times New Roman"/>
                      <w:b/>
                      <w:bCs w:val="0"/>
                      <w:color w:val="auto"/>
                      <w:szCs w:val="21"/>
                    </w:rPr>
                    <w:t>能力</w:t>
                  </w:r>
                </w:p>
              </w:tc>
              <w:tc>
                <w:tcPr>
                  <w:tcW w:w="871" w:type="dxa"/>
                  <w:tcBorders>
                    <w:left w:val="single" w:color="auto" w:sz="4" w:space="0"/>
                  </w:tcBorders>
                  <w:noWrap/>
                  <w:vAlign w:val="center"/>
                </w:tcPr>
                <w:p w14:paraId="2EC188B9">
                  <w:pPr>
                    <w:snapToGrid w:val="0"/>
                    <w:jc w:val="center"/>
                    <w:rPr>
                      <w:rFonts w:ascii="Times New Roman" w:hAnsi="Times New Roman"/>
                      <w:b/>
                      <w:bCs w:val="0"/>
                      <w:color w:val="auto"/>
                      <w:szCs w:val="21"/>
                    </w:rPr>
                  </w:pPr>
                  <w:r>
                    <w:rPr>
                      <w:rFonts w:ascii="Times New Roman" w:hAnsi="Times New Roman"/>
                      <w:b/>
                      <w:bCs w:val="0"/>
                      <w:color w:val="auto"/>
                      <w:szCs w:val="21"/>
                    </w:rPr>
                    <w:t>贮存</w:t>
                  </w:r>
                </w:p>
                <w:p w14:paraId="764A82AB">
                  <w:pPr>
                    <w:snapToGrid w:val="0"/>
                    <w:jc w:val="center"/>
                    <w:rPr>
                      <w:rFonts w:ascii="Times New Roman" w:hAnsi="Times New Roman"/>
                      <w:b/>
                      <w:bCs w:val="0"/>
                      <w:color w:val="auto"/>
                      <w:szCs w:val="21"/>
                    </w:rPr>
                  </w:pPr>
                  <w:r>
                    <w:rPr>
                      <w:rFonts w:ascii="Times New Roman" w:hAnsi="Times New Roman"/>
                      <w:b/>
                      <w:bCs w:val="0"/>
                      <w:color w:val="auto"/>
                      <w:szCs w:val="21"/>
                    </w:rPr>
                    <w:t>周期</w:t>
                  </w:r>
                </w:p>
              </w:tc>
            </w:tr>
            <w:tr w14:paraId="527AB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0D5ACDE6">
                  <w:pPr>
                    <w:snapToGrid w:val="0"/>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1</w:t>
                  </w:r>
                </w:p>
              </w:tc>
              <w:tc>
                <w:tcPr>
                  <w:tcW w:w="645" w:type="dxa"/>
                  <w:vMerge w:val="restart"/>
                  <w:tcBorders>
                    <w:top w:val="single" w:color="auto" w:sz="4" w:space="0"/>
                    <w:right w:val="single" w:color="auto" w:sz="4" w:space="0"/>
                  </w:tcBorders>
                  <w:noWrap/>
                  <w:tcMar>
                    <w:left w:w="51" w:type="dxa"/>
                    <w:right w:w="51" w:type="dxa"/>
                  </w:tcMar>
                  <w:vAlign w:val="center"/>
                </w:tcPr>
                <w:p w14:paraId="41C33091">
                  <w:pPr>
                    <w:snapToGrid w:val="0"/>
                    <w:jc w:val="center"/>
                    <w:rPr>
                      <w:rFonts w:ascii="Times New Roman" w:hAnsi="Times New Roman"/>
                      <w:color w:val="auto"/>
                      <w:szCs w:val="21"/>
                    </w:rPr>
                  </w:pPr>
                  <w:r>
                    <w:rPr>
                      <w:rFonts w:ascii="Times New Roman" w:hAnsi="Times New Roman"/>
                      <w:color w:val="auto"/>
                      <w:szCs w:val="21"/>
                    </w:rPr>
                    <w:t>危废</w:t>
                  </w:r>
                </w:p>
                <w:p w14:paraId="42C50063">
                  <w:pPr>
                    <w:snapToGrid w:val="0"/>
                    <w:jc w:val="center"/>
                    <w:rPr>
                      <w:rFonts w:ascii="Times New Roman" w:hAnsi="Times New Roman"/>
                      <w:color w:val="auto"/>
                      <w:szCs w:val="21"/>
                    </w:rPr>
                  </w:pPr>
                  <w:r>
                    <w:rPr>
                      <w:rFonts w:ascii="Times New Roman" w:hAnsi="Times New Roman"/>
                      <w:color w:val="auto"/>
                      <w:szCs w:val="21"/>
                    </w:rPr>
                    <w:t>仓库</w:t>
                  </w:r>
                </w:p>
              </w:tc>
              <w:tc>
                <w:tcPr>
                  <w:tcW w:w="1018" w:type="dxa"/>
                  <w:tcBorders>
                    <w:left w:val="single" w:color="auto" w:sz="4" w:space="0"/>
                  </w:tcBorders>
                  <w:noWrap/>
                  <w:tcMar>
                    <w:left w:w="51" w:type="dxa"/>
                    <w:right w:w="51" w:type="dxa"/>
                  </w:tcMar>
                  <w:vAlign w:val="center"/>
                </w:tcPr>
                <w:p w14:paraId="71ED6CEC">
                  <w:pPr>
                    <w:jc w:val="center"/>
                    <w:rPr>
                      <w:rFonts w:hint="default" w:ascii="Times New Roman" w:hAnsi="Times New Roman" w:eastAsiaTheme="minorEastAsia"/>
                      <w:color w:val="FF0000"/>
                      <w:szCs w:val="21"/>
                      <w:lang w:val="en-US" w:eastAsia="zh-CN"/>
                    </w:rPr>
                  </w:pPr>
                  <w:r>
                    <w:rPr>
                      <w:rFonts w:hint="eastAsia" w:ascii="Times New Roman" w:hAnsi="Times New Roman" w:cs="Times New Roman"/>
                      <w:color w:val="auto"/>
                      <w:szCs w:val="21"/>
                      <w:lang w:val="en-US" w:eastAsia="zh-CN"/>
                    </w:rPr>
                    <w:t>废活性炭</w:t>
                  </w:r>
                </w:p>
              </w:tc>
              <w:tc>
                <w:tcPr>
                  <w:tcW w:w="794" w:type="dxa"/>
                  <w:noWrap/>
                  <w:tcMar>
                    <w:left w:w="51" w:type="dxa"/>
                    <w:right w:w="51" w:type="dxa"/>
                  </w:tcMar>
                  <w:vAlign w:val="center"/>
                </w:tcPr>
                <w:p w14:paraId="057804B6">
                  <w:pPr>
                    <w:topLinePunct/>
                    <w:adjustRightInd w:val="0"/>
                    <w:snapToGrid w:val="0"/>
                    <w:jc w:val="center"/>
                    <w:rPr>
                      <w:rFonts w:hint="default" w:ascii="Times New Roman" w:hAnsi="Times New Roman" w:cs="Times New Roman" w:eastAsiaTheme="minorEastAsia"/>
                      <w:color w:val="auto"/>
                      <w:szCs w:val="21"/>
                      <w:lang w:val="en-US" w:eastAsia="zh-CN"/>
                    </w:rPr>
                  </w:pPr>
                  <w:r>
                    <w:rPr>
                      <w:rFonts w:ascii="Times New Roman" w:hAnsi="Times New Roman"/>
                      <w:color w:val="auto"/>
                      <w:szCs w:val="21"/>
                    </w:rPr>
                    <w:t>H</w:t>
                  </w:r>
                  <w:r>
                    <w:rPr>
                      <w:rFonts w:hint="eastAsia" w:ascii="Times New Roman" w:hAnsi="Times New Roman"/>
                      <w:color w:val="auto"/>
                      <w:szCs w:val="21"/>
                    </w:rPr>
                    <w:t>W</w:t>
                  </w:r>
                  <w:r>
                    <w:rPr>
                      <w:rFonts w:hint="eastAsia" w:ascii="Times New Roman" w:hAnsi="Times New Roman"/>
                      <w:color w:val="auto"/>
                      <w:szCs w:val="21"/>
                      <w:lang w:val="en-US" w:eastAsia="zh-CN"/>
                    </w:rPr>
                    <w:t>49</w:t>
                  </w:r>
                </w:p>
              </w:tc>
              <w:tc>
                <w:tcPr>
                  <w:tcW w:w="1200" w:type="dxa"/>
                  <w:noWrap/>
                  <w:tcMar>
                    <w:left w:w="51" w:type="dxa"/>
                    <w:right w:w="51" w:type="dxa"/>
                  </w:tcMar>
                  <w:vAlign w:val="center"/>
                </w:tcPr>
                <w:p w14:paraId="5A796C98">
                  <w:pPr>
                    <w:pStyle w:val="7"/>
                    <w:adjustRightInd w:val="0"/>
                    <w:snapToGrid w:val="0"/>
                    <w:ind w:firstLine="0" w:firstLineChars="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900-039-49</w:t>
                  </w:r>
                </w:p>
              </w:tc>
              <w:tc>
                <w:tcPr>
                  <w:tcW w:w="836" w:type="dxa"/>
                  <w:vMerge w:val="restart"/>
                  <w:tcBorders>
                    <w:top w:val="single" w:color="auto" w:sz="4" w:space="0"/>
                  </w:tcBorders>
                  <w:noWrap/>
                  <w:tcMar>
                    <w:left w:w="51" w:type="dxa"/>
                    <w:right w:w="51" w:type="dxa"/>
                  </w:tcMar>
                  <w:vAlign w:val="center"/>
                </w:tcPr>
                <w:p w14:paraId="70174289">
                  <w:pPr>
                    <w:snapToGrid w:val="0"/>
                    <w:jc w:val="center"/>
                    <w:rPr>
                      <w:rFonts w:hint="default" w:ascii="Times New Roman" w:hAnsi="Times New Roman"/>
                      <w:color w:val="auto"/>
                      <w:szCs w:val="21"/>
                      <w:lang w:val="en-US"/>
                    </w:rPr>
                  </w:pPr>
                  <w:r>
                    <w:rPr>
                      <w:rFonts w:hint="eastAsia" w:ascii="Times New Roman" w:hAnsi="Times New Roman"/>
                      <w:color w:val="auto"/>
                      <w:szCs w:val="21"/>
                      <w:lang w:val="en-US" w:eastAsia="zh-CN"/>
                    </w:rPr>
                    <w:t>2#车间1楼东侧</w:t>
                  </w:r>
                </w:p>
              </w:tc>
              <w:tc>
                <w:tcPr>
                  <w:tcW w:w="704" w:type="dxa"/>
                  <w:vMerge w:val="restart"/>
                  <w:tcBorders>
                    <w:top w:val="single" w:color="auto" w:sz="4" w:space="0"/>
                  </w:tcBorders>
                  <w:noWrap/>
                  <w:tcMar>
                    <w:left w:w="51" w:type="dxa"/>
                    <w:right w:w="51" w:type="dxa"/>
                  </w:tcMar>
                  <w:vAlign w:val="center"/>
                </w:tcPr>
                <w:p w14:paraId="317E278E">
                  <w:pPr>
                    <w:snapToGrid w:val="0"/>
                    <w:jc w:val="center"/>
                    <w:rPr>
                      <w:rFonts w:ascii="Times New Roman" w:hAnsi="Times New Roman"/>
                      <w:bCs/>
                      <w:color w:val="auto"/>
                      <w:szCs w:val="21"/>
                    </w:rPr>
                  </w:pPr>
                  <w:r>
                    <w:rPr>
                      <w:rFonts w:hint="eastAsia" w:ascii="Times New Roman" w:hAnsi="Times New Roman"/>
                      <w:color w:val="auto"/>
                      <w:szCs w:val="21"/>
                      <w:lang w:val="en-US" w:eastAsia="zh-CN"/>
                    </w:rPr>
                    <w:t>20</w:t>
                  </w:r>
                  <w:r>
                    <w:rPr>
                      <w:rFonts w:ascii="Times New Roman" w:hAnsi="Times New Roman"/>
                      <w:color w:val="auto"/>
                      <w:szCs w:val="21"/>
                    </w:rPr>
                    <w:t>m</w:t>
                  </w:r>
                  <w:r>
                    <w:rPr>
                      <w:rFonts w:ascii="Times New Roman" w:hAnsi="Times New Roman"/>
                      <w:color w:val="auto"/>
                      <w:szCs w:val="21"/>
                      <w:vertAlign w:val="superscript"/>
                    </w:rPr>
                    <w:t>2</w:t>
                  </w:r>
                </w:p>
              </w:tc>
              <w:tc>
                <w:tcPr>
                  <w:tcW w:w="794" w:type="dxa"/>
                  <w:vMerge w:val="restart"/>
                  <w:tcBorders>
                    <w:top w:val="single" w:color="auto" w:sz="4" w:space="0"/>
                    <w:right w:val="single" w:color="auto" w:sz="4" w:space="0"/>
                  </w:tcBorders>
                  <w:noWrap/>
                  <w:tcMar>
                    <w:left w:w="51" w:type="dxa"/>
                    <w:right w:w="51" w:type="dxa"/>
                  </w:tcMar>
                  <w:vAlign w:val="center"/>
                </w:tcPr>
                <w:p w14:paraId="049166CD">
                  <w:pPr>
                    <w:snapToGrid w:val="0"/>
                    <w:jc w:val="center"/>
                    <w:rPr>
                      <w:rFonts w:ascii="Times New Roman" w:hAnsi="Times New Roman"/>
                      <w:color w:val="auto"/>
                      <w:szCs w:val="21"/>
                    </w:rPr>
                  </w:pPr>
                  <w:r>
                    <w:rPr>
                      <w:rFonts w:ascii="Times New Roman" w:hAnsi="Times New Roman"/>
                      <w:color w:val="auto"/>
                      <w:szCs w:val="21"/>
                    </w:rPr>
                    <w:t>隔离储存、密封</w:t>
                  </w:r>
                  <w:r>
                    <w:rPr>
                      <w:rFonts w:hint="eastAsia" w:ascii="Times New Roman" w:hAnsi="Times New Roman"/>
                      <w:color w:val="auto"/>
                      <w:szCs w:val="21"/>
                      <w:lang w:val="en-US" w:eastAsia="zh-CN"/>
                    </w:rPr>
                    <w:t>包装</w:t>
                  </w:r>
                </w:p>
              </w:tc>
              <w:tc>
                <w:tcPr>
                  <w:tcW w:w="1057" w:type="dxa"/>
                  <w:tcBorders>
                    <w:top w:val="single" w:color="auto" w:sz="4" w:space="0"/>
                    <w:left w:val="single" w:color="auto" w:sz="4" w:space="0"/>
                    <w:bottom w:val="single" w:color="auto" w:sz="4" w:space="0"/>
                  </w:tcBorders>
                  <w:noWrap/>
                  <w:vAlign w:val="center"/>
                </w:tcPr>
                <w:p w14:paraId="5D6EAF87">
                  <w:pPr>
                    <w:jc w:val="center"/>
                    <w:rPr>
                      <w:rFonts w:ascii="Times New Roman" w:hAnsi="Times New Roman"/>
                      <w:color w:val="FF0000"/>
                      <w:szCs w:val="21"/>
                    </w:rPr>
                  </w:pPr>
                  <w:r>
                    <w:rPr>
                      <w:rFonts w:hint="eastAsia" w:ascii="Times New Roman" w:hAnsi="Times New Roman"/>
                      <w:color w:val="auto"/>
                      <w:szCs w:val="21"/>
                      <w:lang w:val="en-US" w:eastAsia="zh-CN"/>
                    </w:rPr>
                    <w:t>10</w:t>
                  </w:r>
                  <w:r>
                    <w:rPr>
                      <w:rFonts w:ascii="Times New Roman" w:hAnsi="Times New Roman"/>
                      <w:color w:val="auto"/>
                      <w:szCs w:val="21"/>
                    </w:rPr>
                    <w:t>t/a</w:t>
                  </w:r>
                </w:p>
              </w:tc>
              <w:tc>
                <w:tcPr>
                  <w:tcW w:w="871" w:type="dxa"/>
                  <w:tcBorders>
                    <w:top w:val="single" w:color="auto" w:sz="4" w:space="0"/>
                    <w:left w:val="single" w:color="auto" w:sz="4" w:space="0"/>
                    <w:bottom w:val="single" w:color="auto" w:sz="4" w:space="0"/>
                  </w:tcBorders>
                  <w:noWrap/>
                  <w:vAlign w:val="center"/>
                </w:tcPr>
                <w:p w14:paraId="67D7742A">
                  <w:pPr>
                    <w:snapToGrid w:val="0"/>
                    <w:jc w:val="center"/>
                    <w:rPr>
                      <w:rFonts w:hint="default" w:ascii="Times New Roman" w:hAnsi="Times New Roman" w:eastAsiaTheme="minorEastAsia"/>
                      <w:color w:val="auto"/>
                      <w:szCs w:val="21"/>
                      <w:lang w:val="en-US" w:eastAsia="zh-CN"/>
                    </w:rPr>
                  </w:pPr>
                  <w:r>
                    <w:rPr>
                      <w:rFonts w:hint="eastAsia"/>
                      <w:color w:val="auto"/>
                      <w:lang w:val="en-US" w:eastAsia="zh-CN"/>
                    </w:rPr>
                    <w:t>半年</w:t>
                  </w:r>
                </w:p>
              </w:tc>
            </w:tr>
            <w:tr w14:paraId="7EF2E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053DFDE0">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2</w:t>
                  </w:r>
                </w:p>
              </w:tc>
              <w:tc>
                <w:tcPr>
                  <w:tcW w:w="645" w:type="dxa"/>
                  <w:vMerge w:val="continue"/>
                  <w:tcBorders>
                    <w:top w:val="single" w:color="auto" w:sz="4" w:space="0"/>
                    <w:bottom w:val="single" w:color="auto" w:sz="4" w:space="0"/>
                    <w:right w:val="single" w:color="auto" w:sz="4" w:space="0"/>
                  </w:tcBorders>
                  <w:noWrap/>
                  <w:tcMar>
                    <w:left w:w="51" w:type="dxa"/>
                    <w:right w:w="51" w:type="dxa"/>
                  </w:tcMar>
                  <w:vAlign w:val="center"/>
                </w:tcPr>
                <w:p w14:paraId="3FDA03FE">
                  <w:pPr>
                    <w:snapToGrid w:val="0"/>
                    <w:jc w:val="center"/>
                    <w:rPr>
                      <w:rFonts w:ascii="Times New Roman" w:hAnsi="Times New Roman"/>
                      <w:color w:val="FF0000"/>
                      <w:szCs w:val="21"/>
                    </w:rPr>
                  </w:pPr>
                </w:p>
              </w:tc>
              <w:tc>
                <w:tcPr>
                  <w:tcW w:w="1018" w:type="dxa"/>
                  <w:tcBorders>
                    <w:left w:val="single" w:color="auto" w:sz="4" w:space="0"/>
                  </w:tcBorders>
                  <w:noWrap/>
                  <w:tcMar>
                    <w:left w:w="51" w:type="dxa"/>
                    <w:right w:w="51" w:type="dxa"/>
                  </w:tcMar>
                  <w:vAlign w:val="center"/>
                </w:tcPr>
                <w:p w14:paraId="70C733D7">
                  <w:pPr>
                    <w:jc w:val="center"/>
                    <w:rPr>
                      <w:rFonts w:hint="default" w:ascii="Times New Roman" w:hAnsi="Times New Roman" w:eastAsiaTheme="minorEastAsia"/>
                      <w:color w:val="FF0000"/>
                      <w:szCs w:val="21"/>
                      <w:lang w:val="en-US" w:eastAsia="zh-CN"/>
                    </w:rPr>
                  </w:pPr>
                  <w:r>
                    <w:rPr>
                      <w:rFonts w:hint="eastAsia" w:ascii="Times New Roman" w:hAnsi="Times New Roman" w:cs="Times New Roman"/>
                      <w:color w:val="auto"/>
                      <w:szCs w:val="21"/>
                      <w:lang w:val="en-US" w:eastAsia="zh-CN"/>
                    </w:rPr>
                    <w:t>废过滤棉</w:t>
                  </w:r>
                </w:p>
              </w:tc>
              <w:tc>
                <w:tcPr>
                  <w:tcW w:w="794" w:type="dxa"/>
                  <w:noWrap/>
                  <w:tcMar>
                    <w:left w:w="51" w:type="dxa"/>
                    <w:right w:w="51" w:type="dxa"/>
                  </w:tcMar>
                  <w:vAlign w:val="center"/>
                </w:tcPr>
                <w:p w14:paraId="2E893FA2">
                  <w:pPr>
                    <w:topLinePunct/>
                    <w:adjustRightInd w:val="0"/>
                    <w:snapToGrid w:val="0"/>
                    <w:jc w:val="center"/>
                    <w:rPr>
                      <w:rFonts w:hint="default" w:ascii="Times New Roman" w:hAnsi="Times New Roman" w:eastAsiaTheme="minorEastAsia"/>
                      <w:color w:val="auto"/>
                      <w:szCs w:val="21"/>
                      <w:lang w:val="en-US" w:eastAsia="zh-CN"/>
                    </w:rPr>
                  </w:pPr>
                  <w:r>
                    <w:rPr>
                      <w:rFonts w:ascii="Times New Roman" w:hAnsi="Times New Roman"/>
                      <w:color w:val="auto"/>
                      <w:szCs w:val="21"/>
                    </w:rPr>
                    <w:t>H</w:t>
                  </w:r>
                  <w:r>
                    <w:rPr>
                      <w:rFonts w:hint="eastAsia" w:ascii="Times New Roman" w:hAnsi="Times New Roman"/>
                      <w:color w:val="auto"/>
                      <w:szCs w:val="21"/>
                    </w:rPr>
                    <w:t>W</w:t>
                  </w:r>
                  <w:r>
                    <w:rPr>
                      <w:rFonts w:hint="eastAsia" w:ascii="Times New Roman" w:hAnsi="Times New Roman"/>
                      <w:color w:val="auto"/>
                      <w:szCs w:val="21"/>
                      <w:lang w:val="en-US" w:eastAsia="zh-CN"/>
                    </w:rPr>
                    <w:t>49</w:t>
                  </w:r>
                </w:p>
              </w:tc>
              <w:tc>
                <w:tcPr>
                  <w:tcW w:w="1200" w:type="dxa"/>
                  <w:noWrap/>
                  <w:tcMar>
                    <w:left w:w="51" w:type="dxa"/>
                    <w:right w:w="51" w:type="dxa"/>
                  </w:tcMar>
                  <w:vAlign w:val="center"/>
                </w:tcPr>
                <w:p w14:paraId="1C36E64B">
                  <w:pPr>
                    <w:pStyle w:val="7"/>
                    <w:adjustRightInd w:val="0"/>
                    <w:snapToGrid w:val="0"/>
                    <w:ind w:firstLine="0" w:firstLineChars="0"/>
                    <w:jc w:val="center"/>
                    <w:rPr>
                      <w:rFonts w:hint="default" w:ascii="Times New Roman" w:hAnsi="Times New Roman"/>
                      <w:color w:val="auto"/>
                      <w:szCs w:val="21"/>
                      <w:lang w:val="en-US"/>
                    </w:rPr>
                  </w:pPr>
                  <w:r>
                    <w:rPr>
                      <w:rFonts w:ascii="Times New Roman" w:hAnsi="Times New Roman"/>
                      <w:color w:val="auto"/>
                      <w:szCs w:val="21"/>
                    </w:rPr>
                    <w:t>900-</w:t>
                  </w:r>
                  <w:r>
                    <w:rPr>
                      <w:rFonts w:hint="eastAsia" w:ascii="Times New Roman" w:hAnsi="Times New Roman"/>
                      <w:color w:val="auto"/>
                      <w:szCs w:val="21"/>
                    </w:rPr>
                    <w:t>0</w:t>
                  </w:r>
                  <w:r>
                    <w:rPr>
                      <w:rFonts w:hint="eastAsia" w:ascii="Times New Roman" w:hAnsi="Times New Roman"/>
                      <w:color w:val="auto"/>
                      <w:szCs w:val="21"/>
                      <w:lang w:val="en-US" w:eastAsia="zh-CN"/>
                    </w:rPr>
                    <w:t>41</w:t>
                  </w:r>
                  <w:r>
                    <w:rPr>
                      <w:rFonts w:hint="eastAsia" w:ascii="Times New Roman" w:hAnsi="Times New Roman"/>
                      <w:color w:val="auto"/>
                      <w:szCs w:val="21"/>
                    </w:rPr>
                    <w:t>-49</w:t>
                  </w:r>
                </w:p>
              </w:tc>
              <w:tc>
                <w:tcPr>
                  <w:tcW w:w="836" w:type="dxa"/>
                  <w:vMerge w:val="continue"/>
                  <w:noWrap/>
                  <w:tcMar>
                    <w:left w:w="51" w:type="dxa"/>
                    <w:right w:w="51" w:type="dxa"/>
                  </w:tcMar>
                  <w:vAlign w:val="center"/>
                </w:tcPr>
                <w:p w14:paraId="51E03607">
                  <w:pPr>
                    <w:snapToGrid w:val="0"/>
                    <w:jc w:val="center"/>
                    <w:rPr>
                      <w:rFonts w:ascii="Times New Roman" w:hAnsi="Times New Roman"/>
                      <w:color w:val="FF0000"/>
                      <w:szCs w:val="21"/>
                    </w:rPr>
                  </w:pPr>
                </w:p>
              </w:tc>
              <w:tc>
                <w:tcPr>
                  <w:tcW w:w="704" w:type="dxa"/>
                  <w:vMerge w:val="continue"/>
                  <w:noWrap/>
                  <w:tcMar>
                    <w:left w:w="51" w:type="dxa"/>
                    <w:right w:w="51" w:type="dxa"/>
                  </w:tcMar>
                  <w:vAlign w:val="center"/>
                </w:tcPr>
                <w:p w14:paraId="61B7B96E">
                  <w:pPr>
                    <w:snapToGrid w:val="0"/>
                    <w:jc w:val="center"/>
                    <w:rPr>
                      <w:rFonts w:ascii="Times New Roman" w:hAnsi="Times New Roman"/>
                      <w:bCs/>
                      <w:color w:val="FF0000"/>
                      <w:szCs w:val="21"/>
                    </w:rPr>
                  </w:pPr>
                </w:p>
              </w:tc>
              <w:tc>
                <w:tcPr>
                  <w:tcW w:w="794" w:type="dxa"/>
                  <w:vMerge w:val="continue"/>
                  <w:tcBorders>
                    <w:right w:val="single" w:color="auto" w:sz="4" w:space="0"/>
                  </w:tcBorders>
                  <w:noWrap/>
                  <w:tcMar>
                    <w:left w:w="51" w:type="dxa"/>
                    <w:right w:w="51" w:type="dxa"/>
                  </w:tcMar>
                  <w:vAlign w:val="center"/>
                </w:tcPr>
                <w:p w14:paraId="49271687">
                  <w:pPr>
                    <w:snapToGrid w:val="0"/>
                    <w:jc w:val="center"/>
                    <w:rPr>
                      <w:rFonts w:ascii="Times New Roman" w:hAnsi="Times New Roman"/>
                      <w:color w:val="FF0000"/>
                      <w:szCs w:val="21"/>
                    </w:rPr>
                  </w:pPr>
                </w:p>
              </w:tc>
              <w:tc>
                <w:tcPr>
                  <w:tcW w:w="1057" w:type="dxa"/>
                  <w:tcBorders>
                    <w:top w:val="single" w:color="auto" w:sz="4" w:space="0"/>
                    <w:left w:val="single" w:color="auto" w:sz="4" w:space="0"/>
                    <w:bottom w:val="single" w:color="auto" w:sz="4" w:space="0"/>
                  </w:tcBorders>
                  <w:noWrap/>
                  <w:vAlign w:val="center"/>
                </w:tcPr>
                <w:p w14:paraId="6181512D">
                  <w:pPr>
                    <w:jc w:val="center"/>
                    <w:rPr>
                      <w:rFonts w:hint="eastAsia" w:ascii="Times New Roman" w:hAnsi="Times New Roman"/>
                      <w:color w:val="FF0000"/>
                      <w:szCs w:val="21"/>
                      <w:lang w:val="en-US" w:eastAsia="zh-CN"/>
                    </w:rPr>
                  </w:pPr>
                  <w:r>
                    <w:rPr>
                      <w:rFonts w:hint="eastAsia" w:ascii="Times New Roman" w:hAnsi="Times New Roman"/>
                      <w:color w:val="auto"/>
                      <w:szCs w:val="21"/>
                      <w:lang w:val="en-US" w:eastAsia="zh-CN"/>
                    </w:rPr>
                    <w:t>1</w:t>
                  </w:r>
                  <w:r>
                    <w:rPr>
                      <w:rFonts w:ascii="Times New Roman" w:hAnsi="Times New Roman"/>
                      <w:color w:val="auto"/>
                      <w:szCs w:val="21"/>
                    </w:rPr>
                    <w:t>t/a</w:t>
                  </w:r>
                </w:p>
              </w:tc>
              <w:tc>
                <w:tcPr>
                  <w:tcW w:w="871" w:type="dxa"/>
                  <w:tcBorders>
                    <w:top w:val="single" w:color="auto" w:sz="4" w:space="0"/>
                    <w:left w:val="single" w:color="auto" w:sz="4" w:space="0"/>
                    <w:bottom w:val="single" w:color="auto" w:sz="4" w:space="0"/>
                  </w:tcBorders>
                  <w:noWrap/>
                  <w:vAlign w:val="center"/>
                </w:tcPr>
                <w:p w14:paraId="3C6F4C85">
                  <w:pPr>
                    <w:snapToGrid w:val="0"/>
                    <w:jc w:val="center"/>
                    <w:rPr>
                      <w:rFonts w:ascii="Times New Roman" w:hAnsi="Times New Roman"/>
                      <w:color w:val="auto"/>
                      <w:szCs w:val="21"/>
                    </w:rPr>
                  </w:pPr>
                  <w:r>
                    <w:rPr>
                      <w:rFonts w:hint="eastAsia"/>
                      <w:color w:val="auto"/>
                      <w:lang w:val="en-US" w:eastAsia="zh-CN"/>
                    </w:rPr>
                    <w:t>半年</w:t>
                  </w:r>
                </w:p>
              </w:tc>
            </w:tr>
            <w:tr w14:paraId="0C5C38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377A3A6E">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3</w:t>
                  </w:r>
                </w:p>
              </w:tc>
              <w:tc>
                <w:tcPr>
                  <w:tcW w:w="645" w:type="dxa"/>
                  <w:vMerge w:val="continue"/>
                  <w:tcBorders>
                    <w:top w:val="single" w:color="auto" w:sz="4" w:space="0"/>
                    <w:bottom w:val="single" w:color="auto" w:sz="4" w:space="0"/>
                    <w:right w:val="single" w:color="auto" w:sz="4" w:space="0"/>
                  </w:tcBorders>
                  <w:noWrap/>
                  <w:tcMar>
                    <w:left w:w="51" w:type="dxa"/>
                    <w:right w:w="51" w:type="dxa"/>
                  </w:tcMar>
                  <w:vAlign w:val="center"/>
                </w:tcPr>
                <w:p w14:paraId="46F4DA2D">
                  <w:pPr>
                    <w:snapToGrid w:val="0"/>
                    <w:jc w:val="center"/>
                    <w:rPr>
                      <w:rFonts w:ascii="Times New Roman" w:hAnsi="Times New Roman"/>
                      <w:color w:val="FF0000"/>
                      <w:szCs w:val="21"/>
                    </w:rPr>
                  </w:pPr>
                </w:p>
              </w:tc>
              <w:tc>
                <w:tcPr>
                  <w:tcW w:w="1018" w:type="dxa"/>
                  <w:tcBorders>
                    <w:left w:val="single" w:color="auto" w:sz="4" w:space="0"/>
                  </w:tcBorders>
                  <w:noWrap/>
                  <w:tcMar>
                    <w:left w:w="51" w:type="dxa"/>
                    <w:right w:w="51" w:type="dxa"/>
                  </w:tcMar>
                  <w:vAlign w:val="center"/>
                </w:tcPr>
                <w:p w14:paraId="6F7ACF3D">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废清洗液</w:t>
                  </w:r>
                </w:p>
              </w:tc>
              <w:tc>
                <w:tcPr>
                  <w:tcW w:w="794" w:type="dxa"/>
                  <w:shd w:val="clear" w:color="auto" w:fill="auto"/>
                  <w:noWrap/>
                  <w:tcMar>
                    <w:left w:w="51" w:type="dxa"/>
                    <w:right w:w="51" w:type="dxa"/>
                  </w:tcMar>
                  <w:vAlign w:val="center"/>
                </w:tcPr>
                <w:p w14:paraId="41B898D8">
                  <w:pPr>
                    <w:topLinePunct/>
                    <w:adjustRightInd w:val="0"/>
                    <w:snapToGrid w:val="0"/>
                    <w:jc w:val="center"/>
                    <w:rPr>
                      <w:rFonts w:hint="default" w:ascii="Times New Roman" w:hAnsi="Times New Roman" w:eastAsiaTheme="minorEastAsia"/>
                      <w:color w:val="auto"/>
                      <w:szCs w:val="21"/>
                      <w:lang w:val="en-US" w:eastAsia="zh-CN"/>
                    </w:rPr>
                  </w:pPr>
                  <w:r>
                    <w:rPr>
                      <w:rFonts w:ascii="Times New Roman" w:hAnsi="Times New Roman"/>
                      <w:color w:val="auto"/>
                      <w:szCs w:val="21"/>
                    </w:rPr>
                    <w:t>H</w:t>
                  </w:r>
                  <w:r>
                    <w:rPr>
                      <w:rFonts w:hint="eastAsia" w:ascii="Times New Roman" w:hAnsi="Times New Roman"/>
                      <w:color w:val="auto"/>
                      <w:szCs w:val="21"/>
                    </w:rPr>
                    <w:t>W</w:t>
                  </w:r>
                  <w:r>
                    <w:rPr>
                      <w:rFonts w:hint="eastAsia" w:ascii="Times New Roman" w:hAnsi="Times New Roman"/>
                      <w:color w:val="auto"/>
                      <w:szCs w:val="21"/>
                      <w:lang w:val="en-US" w:eastAsia="zh-CN"/>
                    </w:rPr>
                    <w:t>06</w:t>
                  </w:r>
                </w:p>
              </w:tc>
              <w:tc>
                <w:tcPr>
                  <w:tcW w:w="1200" w:type="dxa"/>
                  <w:shd w:val="clear" w:color="auto" w:fill="auto"/>
                  <w:noWrap/>
                  <w:tcMar>
                    <w:left w:w="51" w:type="dxa"/>
                    <w:right w:w="51" w:type="dxa"/>
                  </w:tcMar>
                  <w:vAlign w:val="center"/>
                </w:tcPr>
                <w:p w14:paraId="0C07D0D7">
                  <w:pPr>
                    <w:pStyle w:val="7"/>
                    <w:adjustRightInd w:val="0"/>
                    <w:snapToGrid w:val="0"/>
                    <w:ind w:firstLine="0" w:firstLineChars="0"/>
                    <w:jc w:val="center"/>
                    <w:rPr>
                      <w:rFonts w:hint="eastAsia" w:ascii="Times New Roman" w:hAnsi="Times New Roman"/>
                      <w:color w:val="FF0000"/>
                      <w:szCs w:val="21"/>
                      <w:lang w:val="en-US" w:eastAsia="zh-CN"/>
                    </w:rPr>
                  </w:pPr>
                  <w:r>
                    <w:rPr>
                      <w:rFonts w:hint="eastAsia" w:ascii="Times New Roman" w:hAnsi="Times New Roman"/>
                      <w:color w:val="auto"/>
                      <w:szCs w:val="21"/>
                      <w:lang w:val="en-US" w:eastAsia="zh-CN"/>
                    </w:rPr>
                    <w:t>900-404-06</w:t>
                  </w:r>
                </w:p>
              </w:tc>
              <w:tc>
                <w:tcPr>
                  <w:tcW w:w="836" w:type="dxa"/>
                  <w:vMerge w:val="continue"/>
                  <w:shd w:val="clear" w:color="auto" w:fill="auto"/>
                  <w:noWrap/>
                  <w:tcMar>
                    <w:left w:w="51" w:type="dxa"/>
                    <w:right w:w="51" w:type="dxa"/>
                  </w:tcMar>
                  <w:vAlign w:val="center"/>
                </w:tcPr>
                <w:p w14:paraId="0EA40278">
                  <w:pPr>
                    <w:snapToGrid w:val="0"/>
                    <w:jc w:val="center"/>
                    <w:rPr>
                      <w:rFonts w:ascii="Times New Roman" w:hAnsi="Times New Roman"/>
                      <w:color w:val="FF0000"/>
                      <w:szCs w:val="21"/>
                    </w:rPr>
                  </w:pPr>
                </w:p>
              </w:tc>
              <w:tc>
                <w:tcPr>
                  <w:tcW w:w="704" w:type="dxa"/>
                  <w:vMerge w:val="continue"/>
                  <w:shd w:val="clear" w:color="auto" w:fill="auto"/>
                  <w:noWrap/>
                  <w:tcMar>
                    <w:left w:w="51" w:type="dxa"/>
                    <w:right w:w="51" w:type="dxa"/>
                  </w:tcMar>
                  <w:vAlign w:val="center"/>
                </w:tcPr>
                <w:p w14:paraId="001002CD">
                  <w:pPr>
                    <w:snapToGrid w:val="0"/>
                    <w:jc w:val="center"/>
                    <w:rPr>
                      <w:rFonts w:ascii="Times New Roman" w:hAnsi="Times New Roman"/>
                      <w:bCs/>
                      <w:color w:val="FF0000"/>
                      <w:szCs w:val="21"/>
                    </w:rPr>
                  </w:pPr>
                </w:p>
              </w:tc>
              <w:tc>
                <w:tcPr>
                  <w:tcW w:w="794" w:type="dxa"/>
                  <w:vMerge w:val="continue"/>
                  <w:tcBorders>
                    <w:right w:val="single" w:color="auto" w:sz="4" w:space="0"/>
                  </w:tcBorders>
                  <w:shd w:val="clear" w:color="auto" w:fill="auto"/>
                  <w:noWrap/>
                  <w:tcMar>
                    <w:left w:w="51" w:type="dxa"/>
                    <w:right w:w="51" w:type="dxa"/>
                  </w:tcMar>
                  <w:vAlign w:val="center"/>
                </w:tcPr>
                <w:p w14:paraId="42429848">
                  <w:pPr>
                    <w:snapToGrid w:val="0"/>
                    <w:jc w:val="center"/>
                    <w:rPr>
                      <w:rFonts w:ascii="Times New Roman" w:hAnsi="Times New Roman"/>
                      <w:color w:val="FF0000"/>
                      <w:szCs w:val="21"/>
                    </w:rPr>
                  </w:pPr>
                </w:p>
              </w:tc>
              <w:tc>
                <w:tcPr>
                  <w:tcW w:w="1057" w:type="dxa"/>
                  <w:tcBorders>
                    <w:top w:val="single" w:color="auto" w:sz="4" w:space="0"/>
                    <w:left w:val="single" w:color="auto" w:sz="4" w:space="0"/>
                    <w:bottom w:val="single" w:color="auto" w:sz="4" w:space="0"/>
                  </w:tcBorders>
                  <w:shd w:val="clear" w:color="auto" w:fill="auto"/>
                  <w:noWrap/>
                  <w:vAlign w:val="center"/>
                </w:tcPr>
                <w:p w14:paraId="4B1A1774">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1</w:t>
                  </w:r>
                  <w:r>
                    <w:rPr>
                      <w:rFonts w:ascii="Times New Roman" w:hAnsi="Times New Roman"/>
                      <w:color w:val="auto"/>
                      <w:szCs w:val="21"/>
                    </w:rPr>
                    <w:t>t/a</w:t>
                  </w:r>
                </w:p>
              </w:tc>
              <w:tc>
                <w:tcPr>
                  <w:tcW w:w="871" w:type="dxa"/>
                  <w:tcBorders>
                    <w:top w:val="single" w:color="auto" w:sz="4" w:space="0"/>
                    <w:left w:val="single" w:color="auto" w:sz="4" w:space="0"/>
                    <w:bottom w:val="single" w:color="auto" w:sz="4" w:space="0"/>
                  </w:tcBorders>
                  <w:shd w:val="clear" w:color="auto" w:fill="auto"/>
                  <w:noWrap/>
                  <w:vAlign w:val="center"/>
                </w:tcPr>
                <w:p w14:paraId="1E9F4C7C">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半年</w:t>
                  </w:r>
                </w:p>
              </w:tc>
            </w:tr>
            <w:tr w14:paraId="21D35B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5" w:type="dxa"/>
                  <w:noWrap/>
                  <w:tcMar>
                    <w:left w:w="51" w:type="dxa"/>
                    <w:right w:w="51" w:type="dxa"/>
                  </w:tcMar>
                  <w:vAlign w:val="center"/>
                </w:tcPr>
                <w:p w14:paraId="3B1F7CC7">
                  <w:pPr>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4</w:t>
                  </w:r>
                </w:p>
              </w:tc>
              <w:tc>
                <w:tcPr>
                  <w:tcW w:w="645" w:type="dxa"/>
                  <w:vMerge w:val="continue"/>
                  <w:tcBorders>
                    <w:top w:val="single" w:color="auto" w:sz="4" w:space="0"/>
                    <w:bottom w:val="single" w:color="auto" w:sz="4" w:space="0"/>
                    <w:right w:val="single" w:color="auto" w:sz="4" w:space="0"/>
                  </w:tcBorders>
                  <w:noWrap/>
                  <w:tcMar>
                    <w:left w:w="51" w:type="dxa"/>
                    <w:right w:w="51" w:type="dxa"/>
                  </w:tcMar>
                  <w:vAlign w:val="center"/>
                </w:tcPr>
                <w:p w14:paraId="470CBFA3">
                  <w:pPr>
                    <w:snapToGrid w:val="0"/>
                    <w:jc w:val="center"/>
                    <w:rPr>
                      <w:rFonts w:ascii="Times New Roman" w:hAnsi="Times New Roman"/>
                      <w:color w:val="FF0000"/>
                      <w:szCs w:val="21"/>
                    </w:rPr>
                  </w:pPr>
                </w:p>
              </w:tc>
              <w:tc>
                <w:tcPr>
                  <w:tcW w:w="1018" w:type="dxa"/>
                  <w:tcBorders>
                    <w:left w:val="single" w:color="auto" w:sz="4" w:space="0"/>
                  </w:tcBorders>
                  <w:noWrap/>
                  <w:tcMar>
                    <w:left w:w="51" w:type="dxa"/>
                    <w:right w:w="51" w:type="dxa"/>
                  </w:tcMar>
                  <w:vAlign w:val="center"/>
                </w:tcPr>
                <w:p w14:paraId="5A1FFFBF">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边角料</w:t>
                  </w:r>
                </w:p>
              </w:tc>
              <w:tc>
                <w:tcPr>
                  <w:tcW w:w="794" w:type="dxa"/>
                  <w:shd w:val="clear" w:color="auto" w:fill="auto"/>
                  <w:noWrap/>
                  <w:tcMar>
                    <w:left w:w="51" w:type="dxa"/>
                    <w:right w:w="51" w:type="dxa"/>
                  </w:tcMar>
                  <w:vAlign w:val="center"/>
                </w:tcPr>
                <w:p w14:paraId="4C96162D">
                  <w:pPr>
                    <w:topLinePunct/>
                    <w:adjustRightInd w:val="0"/>
                    <w:snapToGrid w:val="0"/>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HW49</w:t>
                  </w:r>
                </w:p>
              </w:tc>
              <w:tc>
                <w:tcPr>
                  <w:tcW w:w="1200" w:type="dxa"/>
                  <w:shd w:val="clear" w:color="auto" w:fill="auto"/>
                  <w:noWrap/>
                  <w:tcMar>
                    <w:left w:w="51" w:type="dxa"/>
                    <w:right w:w="51" w:type="dxa"/>
                  </w:tcMar>
                  <w:vAlign w:val="center"/>
                </w:tcPr>
                <w:p w14:paraId="1DC5B6F9">
                  <w:pPr>
                    <w:pStyle w:val="7"/>
                    <w:adjustRightInd w:val="0"/>
                    <w:snapToGrid w:val="0"/>
                    <w:ind w:firstLine="0" w:firstLineChars="0"/>
                    <w:jc w:val="center"/>
                    <w:rPr>
                      <w:rFonts w:hint="default" w:ascii="Times New Roman" w:hAnsi="Times New Roman"/>
                      <w:color w:val="FF0000"/>
                      <w:szCs w:val="21"/>
                      <w:lang w:val="en-US" w:eastAsia="zh-CN"/>
                    </w:rPr>
                  </w:pPr>
                  <w:r>
                    <w:rPr>
                      <w:rFonts w:hint="eastAsia" w:ascii="Times New Roman" w:hAnsi="Times New Roman"/>
                      <w:color w:val="auto"/>
                      <w:szCs w:val="21"/>
                      <w:lang w:val="en-US" w:eastAsia="zh-CN"/>
                    </w:rPr>
                    <w:t>900-045-49</w:t>
                  </w:r>
                </w:p>
              </w:tc>
              <w:tc>
                <w:tcPr>
                  <w:tcW w:w="836" w:type="dxa"/>
                  <w:vMerge w:val="continue"/>
                  <w:shd w:val="clear" w:color="auto" w:fill="auto"/>
                  <w:noWrap/>
                  <w:tcMar>
                    <w:left w:w="51" w:type="dxa"/>
                    <w:right w:w="51" w:type="dxa"/>
                  </w:tcMar>
                  <w:vAlign w:val="center"/>
                </w:tcPr>
                <w:p w14:paraId="010AFAEC">
                  <w:pPr>
                    <w:snapToGrid w:val="0"/>
                    <w:jc w:val="center"/>
                    <w:rPr>
                      <w:rFonts w:ascii="Times New Roman" w:hAnsi="Times New Roman"/>
                      <w:color w:val="FF0000"/>
                      <w:szCs w:val="21"/>
                    </w:rPr>
                  </w:pPr>
                </w:p>
              </w:tc>
              <w:tc>
                <w:tcPr>
                  <w:tcW w:w="704" w:type="dxa"/>
                  <w:vMerge w:val="continue"/>
                  <w:shd w:val="clear" w:color="auto" w:fill="auto"/>
                  <w:noWrap/>
                  <w:tcMar>
                    <w:left w:w="51" w:type="dxa"/>
                    <w:right w:w="51" w:type="dxa"/>
                  </w:tcMar>
                  <w:vAlign w:val="center"/>
                </w:tcPr>
                <w:p w14:paraId="3E6A49D5">
                  <w:pPr>
                    <w:snapToGrid w:val="0"/>
                    <w:jc w:val="center"/>
                    <w:rPr>
                      <w:rFonts w:ascii="Times New Roman" w:hAnsi="Times New Roman"/>
                      <w:bCs/>
                      <w:color w:val="FF0000"/>
                      <w:szCs w:val="21"/>
                    </w:rPr>
                  </w:pPr>
                </w:p>
              </w:tc>
              <w:tc>
                <w:tcPr>
                  <w:tcW w:w="794" w:type="dxa"/>
                  <w:vMerge w:val="continue"/>
                  <w:tcBorders>
                    <w:right w:val="single" w:color="auto" w:sz="4" w:space="0"/>
                  </w:tcBorders>
                  <w:shd w:val="clear" w:color="auto" w:fill="auto"/>
                  <w:noWrap/>
                  <w:tcMar>
                    <w:left w:w="51" w:type="dxa"/>
                    <w:right w:w="51" w:type="dxa"/>
                  </w:tcMar>
                  <w:vAlign w:val="center"/>
                </w:tcPr>
                <w:p w14:paraId="7A50769B">
                  <w:pPr>
                    <w:snapToGrid w:val="0"/>
                    <w:jc w:val="center"/>
                    <w:rPr>
                      <w:rFonts w:ascii="Times New Roman" w:hAnsi="Times New Roman"/>
                      <w:color w:val="FF0000"/>
                      <w:szCs w:val="21"/>
                    </w:rPr>
                  </w:pPr>
                </w:p>
              </w:tc>
              <w:tc>
                <w:tcPr>
                  <w:tcW w:w="1057" w:type="dxa"/>
                  <w:tcBorders>
                    <w:top w:val="single" w:color="auto" w:sz="4" w:space="0"/>
                    <w:left w:val="single" w:color="auto" w:sz="4" w:space="0"/>
                    <w:bottom w:val="single" w:color="auto" w:sz="4" w:space="0"/>
                  </w:tcBorders>
                  <w:shd w:val="clear" w:color="auto" w:fill="auto"/>
                  <w:noWrap/>
                  <w:vAlign w:val="center"/>
                </w:tcPr>
                <w:p w14:paraId="26D8EE50">
                  <w:pPr>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1t/a</w:t>
                  </w:r>
                </w:p>
              </w:tc>
              <w:tc>
                <w:tcPr>
                  <w:tcW w:w="871" w:type="dxa"/>
                  <w:tcBorders>
                    <w:top w:val="single" w:color="auto" w:sz="4" w:space="0"/>
                    <w:left w:val="single" w:color="auto" w:sz="4" w:space="0"/>
                    <w:bottom w:val="single" w:color="auto" w:sz="4" w:space="0"/>
                  </w:tcBorders>
                  <w:shd w:val="clear" w:color="auto" w:fill="auto"/>
                  <w:noWrap/>
                  <w:vAlign w:val="center"/>
                </w:tcPr>
                <w:p w14:paraId="27F6B046">
                  <w:pPr>
                    <w:snapToGrid w:val="0"/>
                    <w:jc w:val="center"/>
                    <w:rPr>
                      <w:rFonts w:hint="eastAsia"/>
                      <w:color w:val="auto"/>
                      <w:lang w:val="en-US" w:eastAsia="zh-CN"/>
                    </w:rPr>
                  </w:pPr>
                  <w:r>
                    <w:rPr>
                      <w:rFonts w:hint="eastAsia"/>
                      <w:color w:val="auto"/>
                      <w:lang w:val="en-US" w:eastAsia="zh-CN"/>
                    </w:rPr>
                    <w:t>半年</w:t>
                  </w:r>
                </w:p>
              </w:tc>
            </w:tr>
          </w:tbl>
          <w:p w14:paraId="33FDBA0A">
            <w:pPr>
              <w:spacing w:line="500" w:lineRule="exact"/>
              <w:ind w:firstLine="480" w:firstLineChars="200"/>
              <w:jc w:val="left"/>
              <w:rPr>
                <w:rFonts w:hint="default"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0"/>
              </w:rPr>
              <w:t>本项目危险固废贮存场所设置于</w:t>
            </w:r>
            <w:r>
              <w:rPr>
                <w:rFonts w:hint="eastAsia" w:ascii="Times New Roman" w:hAnsi="Times New Roman" w:eastAsia="宋体" w:cs="Times New Roman"/>
                <w:color w:val="auto"/>
                <w:kern w:val="0"/>
                <w:sz w:val="24"/>
                <w:szCs w:val="20"/>
                <w:lang w:val="en-US" w:eastAsia="zh-CN"/>
              </w:rPr>
              <w:t>2#车间1楼东侧</w:t>
            </w:r>
            <w:r>
              <w:rPr>
                <w:rFonts w:ascii="Times New Roman" w:hAnsi="Times New Roman" w:eastAsia="宋体" w:cs="Times New Roman"/>
                <w:color w:val="auto"/>
                <w:kern w:val="0"/>
                <w:sz w:val="24"/>
                <w:szCs w:val="20"/>
              </w:rPr>
              <w:t>，占地面积约</w:t>
            </w:r>
            <w:r>
              <w:rPr>
                <w:rFonts w:hint="eastAsia" w:ascii="Times New Roman" w:hAnsi="Times New Roman" w:eastAsia="宋体" w:cs="Times New Roman"/>
                <w:color w:val="auto"/>
                <w:kern w:val="0"/>
                <w:sz w:val="24"/>
                <w:szCs w:val="20"/>
                <w:lang w:val="en-US" w:eastAsia="zh-CN"/>
              </w:rPr>
              <w:t>20</w:t>
            </w:r>
            <w:r>
              <w:rPr>
                <w:rFonts w:ascii="Times New Roman" w:hAnsi="Times New Roman" w:eastAsia="宋体" w:cs="Times New Roman"/>
                <w:color w:val="auto"/>
                <w:kern w:val="0"/>
                <w:sz w:val="24"/>
                <w:szCs w:val="20"/>
              </w:rPr>
              <w:t>m</w:t>
            </w:r>
            <w:r>
              <w:rPr>
                <w:rFonts w:ascii="Times New Roman" w:hAnsi="Times New Roman" w:eastAsia="宋体" w:cs="Times New Roman"/>
                <w:color w:val="auto"/>
                <w:kern w:val="0"/>
                <w:sz w:val="24"/>
                <w:szCs w:val="20"/>
                <w:vertAlign w:val="superscript"/>
              </w:rPr>
              <w:t>2</w:t>
            </w:r>
            <w:r>
              <w:rPr>
                <w:rFonts w:ascii="Times New Roman" w:hAnsi="Times New Roman" w:eastAsia="宋体" w:cs="Times New Roman"/>
                <w:color w:val="auto"/>
                <w:kern w:val="0"/>
                <w:sz w:val="24"/>
                <w:szCs w:val="20"/>
              </w:rPr>
              <w:t>，</w:t>
            </w:r>
            <w:r>
              <w:rPr>
                <w:rFonts w:hint="default" w:ascii="Times New Roman" w:hAnsi="Times New Roman" w:eastAsia="宋体" w:cs="Times New Roman"/>
                <w:color w:val="auto"/>
                <w:kern w:val="0"/>
                <w:sz w:val="24"/>
                <w:szCs w:val="24"/>
              </w:rPr>
              <w:t>所有危险固废的收集和暂存都应按《危险废物贮存污染控制标准》（GB18597-20</w:t>
            </w:r>
            <w:r>
              <w:rPr>
                <w:rFonts w:hint="eastAsia" w:ascii="Times New Roman" w:hAnsi="Times New Roman" w:eastAsia="宋体" w:cs="Times New Roman"/>
                <w:color w:val="auto"/>
                <w:kern w:val="0"/>
                <w:sz w:val="24"/>
                <w:szCs w:val="24"/>
                <w:lang w:val="en-US" w:eastAsia="zh-CN"/>
              </w:rPr>
              <w:t>23</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相关要求</w:t>
            </w:r>
            <w:r>
              <w:rPr>
                <w:rFonts w:hint="default" w:ascii="Times New Roman" w:hAnsi="Times New Roman" w:eastAsia="宋体" w:cs="Times New Roman"/>
                <w:color w:val="auto"/>
                <w:kern w:val="0"/>
                <w:sz w:val="24"/>
                <w:szCs w:val="24"/>
              </w:rPr>
              <w:t>，暂存点为防腐地面，能做到“四防”（防风、防雨、防晒、防渗漏）等相关要求。此外按照《排污许可证申请与核发技术规范 工业固体废物（试行）》（HJ1200-2021）中相关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w:t>
            </w:r>
          </w:p>
          <w:p w14:paraId="2D751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（2）</w:t>
            </w:r>
            <w:r>
              <w:rPr>
                <w:rFonts w:ascii="Times New Roman" w:hAnsi="Times New Roman" w:eastAsia="宋体" w:cs="Times New Roman"/>
                <w:color w:val="auto"/>
                <w:sz w:val="24"/>
              </w:rPr>
              <w:t>一般固废</w:t>
            </w:r>
          </w:p>
          <w:p w14:paraId="707B1573">
            <w:pPr>
              <w:spacing w:line="360" w:lineRule="auto"/>
              <w:ind w:firstLine="480" w:firstLineChars="200"/>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在</w:t>
            </w:r>
            <w:r>
              <w:rPr>
                <w:rFonts w:hint="eastAsia" w:ascii="Times New Roman" w:hAnsi="Times New Roman" w:eastAsia="宋体" w:cs="Times New Roman"/>
                <w:color w:val="auto"/>
                <w:kern w:val="0"/>
                <w:sz w:val="24"/>
                <w:szCs w:val="20"/>
                <w:lang w:val="en-US" w:eastAsia="zh-CN"/>
              </w:rPr>
              <w:t>车间</w:t>
            </w:r>
            <w:r>
              <w:rPr>
                <w:rFonts w:ascii="Times New Roman" w:hAnsi="Times New Roman" w:eastAsia="宋体" w:cs="Times New Roman"/>
                <w:color w:val="auto"/>
                <w:kern w:val="0"/>
                <w:sz w:val="24"/>
                <w:szCs w:val="20"/>
              </w:rPr>
              <w:t>内设置一般废物暂存场所，必须按照</w:t>
            </w:r>
            <w:r>
              <w:rPr>
                <w:rFonts w:ascii="Times New Roman" w:hAnsi="Times New Roman" w:cs="Times New Roman"/>
                <w:color w:val="auto"/>
                <w:sz w:val="24"/>
              </w:rPr>
              <w:t>《一般工业固体废物贮存</w:t>
            </w:r>
            <w:r>
              <w:rPr>
                <w:rFonts w:hint="eastAsia" w:ascii="Times New Roman" w:hAnsi="Times New Roman" w:cs="Times New Roman"/>
                <w:color w:val="auto"/>
                <w:sz w:val="24"/>
              </w:rPr>
              <w:t>和填埋</w:t>
            </w:r>
            <w:r>
              <w:rPr>
                <w:rFonts w:ascii="Times New Roman" w:hAnsi="Times New Roman" w:cs="Times New Roman"/>
                <w:color w:val="auto"/>
                <w:sz w:val="24"/>
              </w:rPr>
              <w:t>污染控制标准》（GB18599</w:t>
            </w:r>
            <w:r>
              <w:rPr>
                <w:rFonts w:ascii="Times New Roman" w:hAnsi="Times New Roman" w:cs="Times New Roman"/>
                <w:b/>
                <w:color w:val="auto"/>
                <w:sz w:val="24"/>
              </w:rPr>
              <w:t>-</w:t>
            </w:r>
            <w:r>
              <w:rPr>
                <w:rFonts w:ascii="Times New Roman" w:hAnsi="Times New Roman" w:cs="Times New Roman"/>
                <w:color w:val="auto"/>
                <w:sz w:val="24"/>
              </w:rPr>
              <w:t>20</w:t>
            </w:r>
            <w:r>
              <w:rPr>
                <w:rFonts w:hint="eastAsia" w:ascii="Times New Roman" w:hAnsi="Times New Roman" w:cs="Times New Roman"/>
                <w:color w:val="auto"/>
                <w:sz w:val="24"/>
              </w:rPr>
              <w:t>20</w:t>
            </w:r>
            <w:r>
              <w:rPr>
                <w:rFonts w:ascii="Times New Roman" w:hAnsi="Times New Roman" w:cs="Times New Roman"/>
                <w:color w:val="auto"/>
                <w:sz w:val="24"/>
              </w:rPr>
              <w:t>）</w:t>
            </w:r>
            <w:r>
              <w:rPr>
                <w:rFonts w:ascii="Times New Roman" w:hAnsi="Times New Roman" w:eastAsia="宋体" w:cs="Times New Roman"/>
                <w:color w:val="auto"/>
                <w:kern w:val="0"/>
                <w:sz w:val="24"/>
                <w:szCs w:val="20"/>
              </w:rPr>
              <w:t>中有关要求设置贮存场所，严禁乱堆乱放和随便倾倒。本项目一般废物暂存场所设置于</w:t>
            </w:r>
            <w:r>
              <w:rPr>
                <w:rFonts w:hint="eastAsia" w:ascii="Times New Roman" w:hAnsi="Times New Roman" w:eastAsia="宋体" w:cs="Times New Roman"/>
                <w:color w:val="auto"/>
                <w:kern w:val="0"/>
                <w:sz w:val="24"/>
                <w:szCs w:val="20"/>
                <w:lang w:val="en-US" w:eastAsia="zh-CN"/>
              </w:rPr>
              <w:t>车间内划线区域</w:t>
            </w:r>
            <w:r>
              <w:rPr>
                <w:rFonts w:ascii="Times New Roman" w:hAnsi="Times New Roman" w:eastAsia="宋体" w:cs="Times New Roman"/>
                <w:color w:val="auto"/>
                <w:kern w:val="0"/>
                <w:sz w:val="24"/>
                <w:szCs w:val="20"/>
              </w:rPr>
              <w:t>，暂存点为水泥地面，能做到防扬散、防流失、防止雨水的冲刷及防渗漏等相关要求，各类一般废物定置分类存放。一般固废在运输过程中要防止散落地面，以免产生二次污染。一般固废按资源化、无害化的方式进行处置。</w:t>
            </w:r>
          </w:p>
          <w:p w14:paraId="57CF2209">
            <w:pPr>
              <w:spacing w:line="360" w:lineRule="auto"/>
              <w:ind w:firstLine="480" w:firstLineChars="200"/>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综上所述，只要企业落实好各类固体废物，特别是危险固废的收集、贮存、运输、利用、处置等各环节污染防治措施及环境管理措施，</w:t>
            </w:r>
            <w:r>
              <w:rPr>
                <w:rFonts w:hint="eastAsia" w:ascii="宋体" w:hAnsi="宋体" w:eastAsia="宋体" w:cs="宋体"/>
                <w:color w:val="auto"/>
                <w:kern w:val="0"/>
                <w:sz w:val="24"/>
                <w:szCs w:val="20"/>
              </w:rPr>
              <w:t>以“减量化、资源化、无害化”为</w:t>
            </w:r>
            <w:r>
              <w:rPr>
                <w:rFonts w:ascii="Times New Roman" w:hAnsi="Times New Roman" w:eastAsia="宋体" w:cs="Times New Roman"/>
                <w:color w:val="auto"/>
                <w:kern w:val="0"/>
                <w:sz w:val="24"/>
                <w:szCs w:val="20"/>
              </w:rPr>
              <w:t>基本原则，加强管理，及时处置，则固体废物对环境的影响不大。</w:t>
            </w:r>
          </w:p>
          <w:p w14:paraId="36D66D23">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4.2.5地下水、土壤</w:t>
            </w:r>
          </w:p>
          <w:p w14:paraId="7FE94FBE">
            <w:pPr>
              <w:spacing w:line="360" w:lineRule="auto"/>
              <w:ind w:firstLine="480" w:firstLineChars="200"/>
              <w:jc w:val="left"/>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val="en-US" w:eastAsia="zh-CN"/>
              </w:rPr>
              <w:t>本项目生产车间地面均已硬化处理，原料、危废仓库地面均已硬化、防腐、防渗处理，且项目不排放生产废水，</w:t>
            </w:r>
            <w:r>
              <w:rPr>
                <w:rFonts w:hint="default" w:ascii="Times New Roman" w:hAnsi="Times New Roman" w:eastAsia="宋体" w:cs="Times New Roman"/>
                <w:color w:val="auto"/>
                <w:kern w:val="0"/>
                <w:sz w:val="24"/>
                <w:szCs w:val="24"/>
              </w:rPr>
              <w:t>对地下水、土壤环境影响较小</w:t>
            </w:r>
            <w:r>
              <w:rPr>
                <w:rFonts w:hint="eastAsia" w:ascii="Times New Roman" w:hAnsi="Times New Roman" w:eastAsia="宋体" w:cs="Times New Roman"/>
                <w:color w:val="auto"/>
                <w:kern w:val="0"/>
                <w:sz w:val="24"/>
                <w:szCs w:val="24"/>
                <w:lang w:eastAsia="zh-CN"/>
              </w:rPr>
              <w:t>。</w:t>
            </w:r>
          </w:p>
          <w:p w14:paraId="4DC465E0">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lang w:val="en-US" w:eastAsia="zh-CN"/>
              </w:rPr>
              <w:t>4.2.6</w:t>
            </w:r>
            <w:r>
              <w:rPr>
                <w:rFonts w:hint="eastAsia" w:ascii="Times New Roman" w:hAnsi="Times New Roman" w:eastAsia="宋体" w:cs="Times New Roman"/>
                <w:b/>
                <w:color w:val="auto"/>
                <w:sz w:val="24"/>
                <w:szCs w:val="24"/>
                <w:highlight w:val="none"/>
                <w:lang w:val="en-US" w:eastAsia="zh-CN"/>
              </w:rPr>
              <w:t>生态环境</w:t>
            </w:r>
          </w:p>
          <w:p w14:paraId="766458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outlineLvl w:val="9"/>
              <w:rPr>
                <w:rFonts w:hint="eastAsia" w:ascii="Times New Roman" w:hAnsi="Times New Roman" w:eastAsia="宋体" w:cs="Times New Roman"/>
                <w:color w:val="FF0000"/>
                <w:kern w:val="0"/>
                <w:sz w:val="24"/>
                <w:szCs w:val="24"/>
                <w:highlight w:val="none"/>
                <w:lang w:eastAsia="zh-CN"/>
              </w:rPr>
            </w:pPr>
            <w:r>
              <w:rPr>
                <w:rFonts w:hint="default" w:ascii="Times New Roman" w:hAnsi="Times New Roman" w:eastAsia="宋体" w:cs="Times New Roman"/>
                <w:color w:val="auto"/>
                <w:kern w:val="0"/>
                <w:sz w:val="24"/>
                <w:szCs w:val="24"/>
                <w:highlight w:val="none"/>
              </w:rPr>
              <w:t>本项目</w:t>
            </w:r>
            <w:r>
              <w:rPr>
                <w:rFonts w:hint="eastAsia" w:ascii="Times New Roman" w:hAnsi="Times New Roman" w:eastAsia="宋体" w:cs="Times New Roman"/>
                <w:color w:val="auto"/>
                <w:kern w:val="0"/>
                <w:sz w:val="24"/>
                <w:szCs w:val="24"/>
                <w:highlight w:val="none"/>
                <w:lang w:eastAsia="zh-CN"/>
              </w:rPr>
              <w:t>位于</w:t>
            </w:r>
            <w:r>
              <w:rPr>
                <w:rFonts w:hint="eastAsia" w:ascii="Times New Roman" w:hAnsi="Times New Roman" w:eastAsia="宋体" w:cs="Times New Roman"/>
                <w:color w:val="auto"/>
                <w:kern w:val="0"/>
                <w:sz w:val="24"/>
                <w:szCs w:val="24"/>
                <w:highlight w:val="none"/>
                <w:lang w:val="en-US" w:eastAsia="zh-CN"/>
              </w:rPr>
              <w:t>德清县阜溪街道新丰北路599号</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位于工业区内，项目所在地已是人工生态，无生态环境保护目标</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项目的建设</w:t>
            </w:r>
            <w:r>
              <w:rPr>
                <w:rFonts w:hint="default" w:ascii="Times New Roman" w:hAnsi="Times New Roman" w:eastAsia="宋体" w:cs="Times New Roman"/>
                <w:color w:val="auto"/>
                <w:kern w:val="0"/>
                <w:sz w:val="24"/>
                <w:szCs w:val="24"/>
                <w:highlight w:val="none"/>
              </w:rPr>
              <w:t>不会对周边生态环境造成明显影响</w:t>
            </w:r>
            <w:r>
              <w:rPr>
                <w:rFonts w:hint="eastAsia" w:ascii="Times New Roman" w:hAnsi="Times New Roman" w:eastAsia="宋体" w:cs="Times New Roman"/>
                <w:color w:val="auto"/>
                <w:kern w:val="0"/>
                <w:sz w:val="24"/>
                <w:szCs w:val="24"/>
                <w:highlight w:val="none"/>
                <w:lang w:eastAsia="zh-CN"/>
              </w:rPr>
              <w:t>。</w:t>
            </w:r>
          </w:p>
          <w:p w14:paraId="27C5D5A1">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default" w:ascii="Times New Roman" w:hAnsi="Times New Roman" w:eastAsia="宋体" w:cs="Times New Roman"/>
                <w:color w:val="auto"/>
                <w:highlight w:val="none"/>
              </w:rPr>
            </w:pPr>
            <w:r>
              <w:rPr>
                <w:rFonts w:hint="eastAsia" w:ascii="Times New Roman" w:hAnsi="Times New Roman" w:eastAsia="宋体" w:cs="Times New Roman"/>
                <w:b/>
                <w:color w:val="auto"/>
                <w:sz w:val="24"/>
                <w:szCs w:val="24"/>
                <w:highlight w:val="none"/>
                <w:lang w:val="en-US" w:eastAsia="zh-CN"/>
              </w:rPr>
              <w:t>4.2.7</w:t>
            </w:r>
            <w:r>
              <w:rPr>
                <w:rFonts w:hint="default" w:ascii="Times New Roman" w:hAnsi="Times New Roman" w:eastAsia="宋体" w:cs="Times New Roman"/>
                <w:b/>
                <w:color w:val="auto"/>
                <w:sz w:val="24"/>
                <w:szCs w:val="24"/>
                <w:highlight w:val="none"/>
                <w:lang w:val="en-US" w:eastAsia="zh-CN"/>
              </w:rPr>
              <w:t>环境风险评价</w:t>
            </w:r>
          </w:p>
          <w:p w14:paraId="5BA72C2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rPr>
            </w:pPr>
            <w:r>
              <w:rPr>
                <w:rFonts w:hint="default" w:ascii="Times New Roman" w:hAnsi="Times New Roman" w:cs="Times New Roman"/>
                <w:color w:val="auto"/>
                <w:sz w:val="24"/>
                <w:szCs w:val="24"/>
              </w:rPr>
              <w:t>本项目涉及的危险</w:t>
            </w:r>
            <w:r>
              <w:rPr>
                <w:rFonts w:hint="eastAsia" w:ascii="Times New Roman" w:hAnsi="Times New Roman" w:cs="Times New Roman"/>
                <w:color w:val="auto"/>
                <w:sz w:val="24"/>
                <w:szCs w:val="24"/>
                <w:lang w:val="en-US" w:eastAsia="zh-CN"/>
              </w:rPr>
              <w:t>物资</w:t>
            </w:r>
            <w:r>
              <w:rPr>
                <w:rFonts w:hint="default" w:ascii="Times New Roman" w:hAnsi="Times New Roman" w:cs="Times New Roman"/>
                <w:color w:val="auto"/>
                <w:sz w:val="24"/>
                <w:szCs w:val="24"/>
              </w:rPr>
              <w:t>分布及影响途径见</w:t>
            </w:r>
            <w:r>
              <w:rPr>
                <w:rFonts w:hint="eastAsia" w:ascii="Times New Roman" w:hAnsi="Times New Roman" w:cs="Times New Roman"/>
                <w:color w:val="auto"/>
                <w:sz w:val="24"/>
                <w:szCs w:val="24"/>
                <w:lang w:eastAsia="zh-CN"/>
              </w:rPr>
              <w:t>表</w:t>
            </w:r>
            <w:r>
              <w:rPr>
                <w:rFonts w:hint="eastAsia" w:ascii="Times New Roman" w:hAnsi="Times New Roman" w:cs="Times New Roman"/>
                <w:color w:val="auto"/>
                <w:sz w:val="24"/>
                <w:szCs w:val="24"/>
                <w:lang w:val="en-US" w:eastAsia="zh-CN"/>
              </w:rPr>
              <w:t>4-20</w:t>
            </w:r>
            <w:r>
              <w:rPr>
                <w:rFonts w:hint="eastAsia"/>
                <w:color w:val="auto"/>
              </w:rPr>
              <w:t>。</w:t>
            </w:r>
          </w:p>
          <w:p w14:paraId="69114C88">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default" w:ascii="Times New Roman" w:hAnsi="Times New Roman" w:cs="Times New Roman"/>
                <w:b/>
                <w:bCs/>
                <w:color w:val="auto"/>
                <w:lang w:val="en-US"/>
              </w:rPr>
            </w:pPr>
            <w:r>
              <w:rPr>
                <w:rFonts w:hint="default" w:ascii="Times New Roman" w:hAnsi="Times New Roman" w:cs="Times New Roman"/>
                <w:b/>
                <w:bCs/>
                <w:color w:val="auto"/>
                <w:lang w:val="en-US"/>
              </w:rPr>
              <w:t>表</w:t>
            </w:r>
            <w:r>
              <w:rPr>
                <w:rFonts w:hint="eastAsia" w:ascii="Times New Roman" w:hAnsi="Times New Roman" w:cs="Times New Roman"/>
                <w:b/>
                <w:bCs/>
                <w:color w:val="auto"/>
                <w:lang w:val="en-US" w:eastAsia="zh-CN"/>
              </w:rPr>
              <w:t>4-20</w:t>
            </w:r>
            <w:r>
              <w:rPr>
                <w:rFonts w:hint="default" w:ascii="Times New Roman" w:hAnsi="Times New Roman" w:cs="Times New Roman"/>
                <w:b/>
                <w:bCs/>
                <w:color w:val="auto"/>
                <w:lang w:val="en-US"/>
              </w:rPr>
              <w:t xml:space="preserve">  </w:t>
            </w:r>
            <w:r>
              <w:rPr>
                <w:rFonts w:hint="eastAsia" w:ascii="Times New Roman" w:hAnsi="Times New Roman" w:cs="Times New Roman"/>
                <w:b/>
                <w:bCs/>
                <w:color w:val="auto"/>
                <w:lang w:val="en-US" w:eastAsia="zh-CN"/>
              </w:rPr>
              <w:t>建设</w:t>
            </w:r>
            <w:r>
              <w:rPr>
                <w:rFonts w:hint="default" w:ascii="Times New Roman" w:hAnsi="Times New Roman" w:cs="Times New Roman"/>
                <w:b/>
                <w:bCs/>
                <w:color w:val="auto"/>
                <w:lang w:val="en-US"/>
              </w:rPr>
              <w:t>项目环境风险物质及影响途径识别表</w:t>
            </w:r>
          </w:p>
          <w:tbl>
            <w:tblPr>
              <w:tblStyle w:val="23"/>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2"/>
              <w:gridCol w:w="921"/>
              <w:gridCol w:w="1518"/>
              <w:gridCol w:w="2054"/>
              <w:gridCol w:w="1394"/>
              <w:gridCol w:w="2105"/>
            </w:tblGrid>
            <w:tr w14:paraId="2A9436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2" w:type="dxa"/>
                  <w:noWrap w:val="0"/>
                  <w:tcMar>
                    <w:top w:w="0" w:type="dxa"/>
                    <w:left w:w="0" w:type="dxa"/>
                    <w:bottom w:w="0" w:type="dxa"/>
                    <w:right w:w="0" w:type="dxa"/>
                  </w:tcMar>
                  <w:vAlign w:val="center"/>
                </w:tcPr>
                <w:p w14:paraId="69924282">
                  <w:pPr>
                    <w:pStyle w:val="5"/>
                    <w:outlineLvl w:val="3"/>
                    <w:rPr>
                      <w:b/>
                      <w:bCs/>
                      <w:color w:val="auto"/>
                      <w:highlight w:val="none"/>
                      <w:lang w:val="en-US"/>
                    </w:rPr>
                  </w:pPr>
                  <w:r>
                    <w:rPr>
                      <w:b/>
                      <w:bCs/>
                      <w:color w:val="auto"/>
                      <w:highlight w:val="none"/>
                      <w:lang w:val="en-US"/>
                    </w:rPr>
                    <w:t>序号</w:t>
                  </w:r>
                </w:p>
              </w:tc>
              <w:tc>
                <w:tcPr>
                  <w:tcW w:w="921" w:type="dxa"/>
                  <w:noWrap w:val="0"/>
                  <w:tcMar>
                    <w:top w:w="0" w:type="dxa"/>
                    <w:left w:w="0" w:type="dxa"/>
                    <w:bottom w:w="0" w:type="dxa"/>
                    <w:right w:w="0" w:type="dxa"/>
                  </w:tcMar>
                  <w:vAlign w:val="center"/>
                </w:tcPr>
                <w:p w14:paraId="44CC12F7">
                  <w:pPr>
                    <w:pStyle w:val="5"/>
                    <w:outlineLvl w:val="3"/>
                    <w:rPr>
                      <w:b/>
                      <w:bCs/>
                      <w:color w:val="auto"/>
                      <w:highlight w:val="none"/>
                      <w:lang w:val="en-US"/>
                    </w:rPr>
                  </w:pPr>
                  <w:r>
                    <w:rPr>
                      <w:b/>
                      <w:bCs/>
                      <w:color w:val="auto"/>
                      <w:highlight w:val="none"/>
                      <w:lang w:val="en-US"/>
                    </w:rPr>
                    <w:t>危险单元</w:t>
                  </w:r>
                </w:p>
              </w:tc>
              <w:tc>
                <w:tcPr>
                  <w:tcW w:w="1518" w:type="dxa"/>
                  <w:noWrap w:val="0"/>
                  <w:tcMar>
                    <w:top w:w="0" w:type="dxa"/>
                    <w:left w:w="0" w:type="dxa"/>
                    <w:bottom w:w="0" w:type="dxa"/>
                    <w:right w:w="0" w:type="dxa"/>
                  </w:tcMar>
                  <w:vAlign w:val="center"/>
                </w:tcPr>
                <w:p w14:paraId="1B683FA7">
                  <w:pPr>
                    <w:pStyle w:val="5"/>
                    <w:outlineLvl w:val="3"/>
                    <w:rPr>
                      <w:b/>
                      <w:bCs/>
                      <w:color w:val="auto"/>
                      <w:highlight w:val="none"/>
                      <w:lang w:val="en-US"/>
                    </w:rPr>
                  </w:pPr>
                  <w:r>
                    <w:rPr>
                      <w:b/>
                      <w:bCs/>
                      <w:color w:val="auto"/>
                      <w:highlight w:val="none"/>
                      <w:lang w:val="en-US"/>
                    </w:rPr>
                    <w:t>风险源</w:t>
                  </w:r>
                </w:p>
              </w:tc>
              <w:tc>
                <w:tcPr>
                  <w:tcW w:w="2054" w:type="dxa"/>
                  <w:noWrap w:val="0"/>
                  <w:tcMar>
                    <w:top w:w="0" w:type="dxa"/>
                    <w:left w:w="0" w:type="dxa"/>
                    <w:bottom w:w="0" w:type="dxa"/>
                    <w:right w:w="0" w:type="dxa"/>
                  </w:tcMar>
                  <w:vAlign w:val="center"/>
                </w:tcPr>
                <w:p w14:paraId="4DFEACA3">
                  <w:pPr>
                    <w:pStyle w:val="5"/>
                    <w:outlineLvl w:val="3"/>
                    <w:rPr>
                      <w:b/>
                      <w:bCs/>
                      <w:color w:val="auto"/>
                      <w:highlight w:val="none"/>
                      <w:lang w:val="en-US"/>
                    </w:rPr>
                  </w:pPr>
                  <w:r>
                    <w:rPr>
                      <w:b/>
                      <w:bCs/>
                      <w:color w:val="auto"/>
                      <w:highlight w:val="none"/>
                      <w:lang w:val="en-US"/>
                    </w:rPr>
                    <w:t>主要危险物质</w:t>
                  </w:r>
                </w:p>
              </w:tc>
              <w:tc>
                <w:tcPr>
                  <w:tcW w:w="1394" w:type="dxa"/>
                  <w:noWrap w:val="0"/>
                  <w:tcMar>
                    <w:top w:w="0" w:type="dxa"/>
                    <w:left w:w="0" w:type="dxa"/>
                    <w:bottom w:w="0" w:type="dxa"/>
                    <w:right w:w="0" w:type="dxa"/>
                  </w:tcMar>
                  <w:vAlign w:val="center"/>
                </w:tcPr>
                <w:p w14:paraId="70594C31">
                  <w:pPr>
                    <w:pStyle w:val="5"/>
                    <w:outlineLvl w:val="3"/>
                    <w:rPr>
                      <w:b/>
                      <w:bCs/>
                      <w:color w:val="auto"/>
                      <w:highlight w:val="none"/>
                      <w:lang w:val="en-US"/>
                    </w:rPr>
                  </w:pPr>
                  <w:r>
                    <w:rPr>
                      <w:b/>
                      <w:bCs/>
                      <w:color w:val="auto"/>
                      <w:highlight w:val="none"/>
                      <w:lang w:val="en-US"/>
                    </w:rPr>
                    <w:t>环境风险类型</w:t>
                  </w:r>
                </w:p>
              </w:tc>
              <w:tc>
                <w:tcPr>
                  <w:tcW w:w="2105" w:type="dxa"/>
                  <w:noWrap w:val="0"/>
                  <w:tcMar>
                    <w:top w:w="0" w:type="dxa"/>
                    <w:left w:w="0" w:type="dxa"/>
                    <w:bottom w:w="0" w:type="dxa"/>
                    <w:right w:w="0" w:type="dxa"/>
                  </w:tcMar>
                  <w:vAlign w:val="center"/>
                </w:tcPr>
                <w:p w14:paraId="19217356">
                  <w:pPr>
                    <w:pStyle w:val="5"/>
                    <w:outlineLvl w:val="3"/>
                    <w:rPr>
                      <w:b/>
                      <w:bCs/>
                      <w:color w:val="auto"/>
                      <w:highlight w:val="none"/>
                      <w:lang w:val="en-US"/>
                    </w:rPr>
                  </w:pPr>
                  <w:r>
                    <w:rPr>
                      <w:b/>
                      <w:bCs/>
                      <w:color w:val="auto"/>
                      <w:highlight w:val="none"/>
                      <w:lang w:val="en-US"/>
                    </w:rPr>
                    <w:t>环境影响途径</w:t>
                  </w:r>
                </w:p>
              </w:tc>
            </w:tr>
            <w:tr w14:paraId="5C7E75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2" w:type="dxa"/>
                  <w:noWrap w:val="0"/>
                  <w:tcMar>
                    <w:top w:w="0" w:type="dxa"/>
                    <w:left w:w="0" w:type="dxa"/>
                    <w:bottom w:w="0" w:type="dxa"/>
                    <w:right w:w="0" w:type="dxa"/>
                  </w:tcMar>
                  <w:vAlign w:val="center"/>
                </w:tcPr>
                <w:p w14:paraId="57228DA7">
                  <w:pPr>
                    <w:pStyle w:val="5"/>
                    <w:outlineLvl w:val="3"/>
                    <w:rPr>
                      <w:rFonts w:hint="eastAsia" w:eastAsia="宋体"/>
                      <w:b w:val="0"/>
                      <w:bCs w:val="0"/>
                      <w:color w:val="auto"/>
                      <w:highlight w:val="none"/>
                      <w:lang w:val="en-US" w:eastAsia="zh-CN"/>
                    </w:rPr>
                  </w:pPr>
                  <w:r>
                    <w:rPr>
                      <w:rFonts w:hint="eastAsia"/>
                      <w:b w:val="0"/>
                      <w:bCs w:val="0"/>
                      <w:color w:val="auto"/>
                      <w:highlight w:val="none"/>
                      <w:lang w:val="en-US" w:eastAsia="zh-CN"/>
                    </w:rPr>
                    <w:t>1</w:t>
                  </w:r>
                </w:p>
              </w:tc>
              <w:tc>
                <w:tcPr>
                  <w:tcW w:w="921" w:type="dxa"/>
                  <w:noWrap w:val="0"/>
                  <w:tcMar>
                    <w:top w:w="0" w:type="dxa"/>
                    <w:left w:w="0" w:type="dxa"/>
                    <w:bottom w:w="0" w:type="dxa"/>
                    <w:right w:w="0" w:type="dxa"/>
                  </w:tcMar>
                  <w:vAlign w:val="center"/>
                </w:tcPr>
                <w:p w14:paraId="587F664D">
                  <w:pPr>
                    <w:pStyle w:val="5"/>
                    <w:outlineLvl w:val="3"/>
                    <w:rPr>
                      <w:rFonts w:hint="default" w:eastAsia="宋体"/>
                      <w:b w:val="0"/>
                      <w:bCs w:val="0"/>
                      <w:color w:val="auto"/>
                      <w:highlight w:val="none"/>
                      <w:lang w:val="en-US" w:eastAsia="zh-CN"/>
                    </w:rPr>
                  </w:pPr>
                  <w:r>
                    <w:rPr>
                      <w:rFonts w:hint="eastAsia"/>
                      <w:b w:val="0"/>
                      <w:bCs w:val="0"/>
                      <w:color w:val="auto"/>
                      <w:highlight w:val="none"/>
                      <w:lang w:val="en-US" w:eastAsia="zh-CN"/>
                    </w:rPr>
                    <w:t>原料仓库</w:t>
                  </w:r>
                </w:p>
              </w:tc>
              <w:tc>
                <w:tcPr>
                  <w:tcW w:w="1518" w:type="dxa"/>
                  <w:noWrap w:val="0"/>
                  <w:tcMar>
                    <w:top w:w="0" w:type="dxa"/>
                    <w:left w:w="0" w:type="dxa"/>
                    <w:bottom w:w="0" w:type="dxa"/>
                    <w:right w:w="0" w:type="dxa"/>
                  </w:tcMar>
                  <w:vAlign w:val="center"/>
                </w:tcPr>
                <w:p w14:paraId="58BB5D6B">
                  <w:pPr>
                    <w:pStyle w:val="5"/>
                    <w:outlineLvl w:val="3"/>
                    <w:rPr>
                      <w:rFonts w:hint="default" w:eastAsia="宋体"/>
                      <w:b w:val="0"/>
                      <w:bCs w:val="0"/>
                      <w:color w:val="auto"/>
                      <w:highlight w:val="none"/>
                      <w:lang w:val="en-US" w:eastAsia="zh-CN"/>
                    </w:rPr>
                  </w:pPr>
                  <w:r>
                    <w:rPr>
                      <w:rFonts w:hint="eastAsia"/>
                      <w:b w:val="0"/>
                      <w:bCs w:val="0"/>
                      <w:color w:val="auto"/>
                      <w:highlight w:val="none"/>
                      <w:lang w:val="en-US" w:eastAsia="zh-CN"/>
                    </w:rPr>
                    <w:t>原料存放区</w:t>
                  </w:r>
                </w:p>
              </w:tc>
              <w:tc>
                <w:tcPr>
                  <w:tcW w:w="2054" w:type="dxa"/>
                  <w:noWrap w:val="0"/>
                  <w:tcMar>
                    <w:top w:w="0" w:type="dxa"/>
                    <w:left w:w="0" w:type="dxa"/>
                    <w:bottom w:w="0" w:type="dxa"/>
                    <w:right w:w="0" w:type="dxa"/>
                  </w:tcMar>
                  <w:vAlign w:val="center"/>
                </w:tcPr>
                <w:p w14:paraId="50B2CCD3">
                  <w:pPr>
                    <w:pStyle w:val="5"/>
                    <w:outlineLvl w:val="3"/>
                    <w:rPr>
                      <w:rFonts w:hint="default" w:eastAsia="宋体"/>
                      <w:b w:val="0"/>
                      <w:bCs w:val="0"/>
                      <w:color w:val="auto"/>
                      <w:highlight w:val="none"/>
                      <w:lang w:val="en-US" w:eastAsia="zh-CN"/>
                    </w:rPr>
                  </w:pPr>
                  <w:r>
                    <w:rPr>
                      <w:rFonts w:hint="eastAsia"/>
                      <w:b w:val="0"/>
                      <w:bCs w:val="0"/>
                      <w:color w:val="auto"/>
                      <w:highlight w:val="none"/>
                      <w:lang w:val="en-US" w:eastAsia="zh-CN"/>
                    </w:rPr>
                    <w:t>超声波清洗剂、助焊剂</w:t>
                  </w:r>
                </w:p>
              </w:tc>
              <w:tc>
                <w:tcPr>
                  <w:tcW w:w="1394" w:type="dxa"/>
                  <w:noWrap w:val="0"/>
                  <w:tcMar>
                    <w:top w:w="0" w:type="dxa"/>
                    <w:left w:w="0" w:type="dxa"/>
                    <w:bottom w:w="0" w:type="dxa"/>
                    <w:right w:w="0" w:type="dxa"/>
                  </w:tcMar>
                  <w:vAlign w:val="center"/>
                </w:tcPr>
                <w:p w14:paraId="5645357E">
                  <w:pPr>
                    <w:pStyle w:val="5"/>
                    <w:outlineLvl w:val="3"/>
                    <w:rPr>
                      <w:rFonts w:hint="default" w:eastAsia="宋体"/>
                      <w:b w:val="0"/>
                      <w:bCs w:val="0"/>
                      <w:color w:val="auto"/>
                      <w:highlight w:val="none"/>
                      <w:lang w:val="en-US" w:eastAsia="zh-CN"/>
                    </w:rPr>
                  </w:pPr>
                  <w:r>
                    <w:rPr>
                      <w:rFonts w:hint="eastAsia"/>
                      <w:b w:val="0"/>
                      <w:bCs w:val="0"/>
                      <w:color w:val="auto"/>
                      <w:highlight w:val="none"/>
                      <w:lang w:val="en-US" w:eastAsia="zh-CN"/>
                    </w:rPr>
                    <w:t>泄漏、火灾</w:t>
                  </w:r>
                </w:p>
              </w:tc>
              <w:tc>
                <w:tcPr>
                  <w:tcW w:w="2105" w:type="dxa"/>
                  <w:noWrap w:val="0"/>
                  <w:tcMar>
                    <w:top w:w="0" w:type="dxa"/>
                    <w:left w:w="0" w:type="dxa"/>
                    <w:bottom w:w="0" w:type="dxa"/>
                    <w:right w:w="0" w:type="dxa"/>
                  </w:tcMar>
                  <w:vAlign w:val="center"/>
                </w:tcPr>
                <w:p w14:paraId="017CBAA7">
                  <w:pPr>
                    <w:pStyle w:val="5"/>
                    <w:outlineLvl w:val="3"/>
                    <w:rPr>
                      <w:b w:val="0"/>
                      <w:bCs w:val="0"/>
                      <w:color w:val="auto"/>
                      <w:highlight w:val="none"/>
                      <w:lang w:val="en-US"/>
                    </w:rPr>
                  </w:pPr>
                  <w:r>
                    <w:rPr>
                      <w:color w:val="auto"/>
                    </w:rPr>
                    <w:t>地表径流、土壤渗透、扩散至大气</w:t>
                  </w:r>
                </w:p>
              </w:tc>
            </w:tr>
            <w:tr w14:paraId="373FB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2" w:type="dxa"/>
                  <w:noWrap w:val="0"/>
                  <w:tcMar>
                    <w:top w:w="0" w:type="dxa"/>
                    <w:left w:w="0" w:type="dxa"/>
                    <w:bottom w:w="0" w:type="dxa"/>
                    <w:right w:w="0" w:type="dxa"/>
                  </w:tcMar>
                  <w:vAlign w:val="center"/>
                </w:tcPr>
                <w:p w14:paraId="2F78AD52">
                  <w:pPr>
                    <w:pStyle w:val="5"/>
                    <w:outlineLvl w:val="3"/>
                    <w:rPr>
                      <w:rFonts w:hint="eastAsia" w:eastAsia="宋体"/>
                      <w:color w:val="FF0000"/>
                      <w:highlight w:val="none"/>
                      <w:lang w:val="en-US" w:eastAsia="zh-CN"/>
                    </w:rPr>
                  </w:pPr>
                  <w:r>
                    <w:rPr>
                      <w:rFonts w:hint="eastAsia"/>
                      <w:color w:val="auto"/>
                      <w:highlight w:val="none"/>
                      <w:lang w:val="en-US" w:eastAsia="zh-CN"/>
                    </w:rPr>
                    <w:t>2</w:t>
                  </w:r>
                </w:p>
              </w:tc>
              <w:tc>
                <w:tcPr>
                  <w:tcW w:w="921" w:type="dxa"/>
                  <w:noWrap w:val="0"/>
                  <w:tcMar>
                    <w:top w:w="0" w:type="dxa"/>
                    <w:left w:w="0" w:type="dxa"/>
                    <w:bottom w:w="0" w:type="dxa"/>
                    <w:right w:w="0" w:type="dxa"/>
                  </w:tcMar>
                  <w:vAlign w:val="center"/>
                </w:tcPr>
                <w:p w14:paraId="6AA20023">
                  <w:pPr>
                    <w:pStyle w:val="5"/>
                    <w:ind w:firstLine="0" w:firstLineChars="0"/>
                    <w:outlineLvl w:val="3"/>
                    <w:rPr>
                      <w:rFonts w:hint="default" w:ascii="Times New Roman" w:hAnsi="Times New Roman" w:eastAsia="宋体"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危废仓库</w:t>
                  </w:r>
                </w:p>
              </w:tc>
              <w:tc>
                <w:tcPr>
                  <w:tcW w:w="1518" w:type="dxa"/>
                  <w:noWrap w:val="0"/>
                  <w:tcMar>
                    <w:top w:w="0" w:type="dxa"/>
                    <w:left w:w="0" w:type="dxa"/>
                    <w:bottom w:w="0" w:type="dxa"/>
                    <w:right w:w="0" w:type="dxa"/>
                  </w:tcMar>
                  <w:vAlign w:val="center"/>
                </w:tcPr>
                <w:p w14:paraId="6323DED5">
                  <w:pPr>
                    <w:pStyle w:val="5"/>
                    <w:ind w:firstLine="0" w:firstLineChars="0"/>
                    <w:outlineLvl w:val="3"/>
                    <w:rPr>
                      <w:rFonts w:hint="eastAsia"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危废暂存区</w:t>
                  </w:r>
                </w:p>
              </w:tc>
              <w:tc>
                <w:tcPr>
                  <w:tcW w:w="2054" w:type="dxa"/>
                  <w:noWrap w:val="0"/>
                  <w:tcMar>
                    <w:top w:w="0" w:type="dxa"/>
                    <w:left w:w="0" w:type="dxa"/>
                    <w:bottom w:w="0" w:type="dxa"/>
                    <w:right w:w="0" w:type="dxa"/>
                  </w:tcMar>
                  <w:vAlign w:val="center"/>
                </w:tcPr>
                <w:p w14:paraId="440AEB47">
                  <w:pPr>
                    <w:pStyle w:val="5"/>
                    <w:ind w:firstLine="0" w:firstLineChars="0"/>
                    <w:outlineLvl w:val="3"/>
                    <w:rPr>
                      <w:rFonts w:hint="default" w:ascii="Times New Roman" w:hAnsi="Times New Roman" w:eastAsia="宋体"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危废</w:t>
                  </w:r>
                </w:p>
              </w:tc>
              <w:tc>
                <w:tcPr>
                  <w:tcW w:w="1394" w:type="dxa"/>
                  <w:noWrap w:val="0"/>
                  <w:tcMar>
                    <w:top w:w="0" w:type="dxa"/>
                    <w:left w:w="0" w:type="dxa"/>
                    <w:bottom w:w="0" w:type="dxa"/>
                    <w:right w:w="0" w:type="dxa"/>
                  </w:tcMar>
                  <w:vAlign w:val="center"/>
                </w:tcPr>
                <w:p w14:paraId="7CDBB617">
                  <w:pPr>
                    <w:pStyle w:val="5"/>
                    <w:ind w:firstLine="0" w:firstLineChars="0"/>
                    <w:outlineLvl w:val="3"/>
                    <w:rPr>
                      <w:rFonts w:ascii="Times New Roman" w:hAnsi="Times New Roman" w:eastAsia="宋体" w:cstheme="minorBidi"/>
                      <w:color w:val="auto"/>
                      <w:kern w:val="2"/>
                      <w:sz w:val="21"/>
                      <w:szCs w:val="21"/>
                      <w:highlight w:val="none"/>
                      <w:lang w:val="en-US" w:eastAsia="zh-CN" w:bidi="ar-SA"/>
                    </w:rPr>
                  </w:pPr>
                  <w:r>
                    <w:rPr>
                      <w:color w:val="auto"/>
                      <w:highlight w:val="none"/>
                      <w:lang w:val="en-US"/>
                    </w:rPr>
                    <w:t>泄漏</w:t>
                  </w:r>
                </w:p>
              </w:tc>
              <w:tc>
                <w:tcPr>
                  <w:tcW w:w="2105" w:type="dxa"/>
                  <w:noWrap w:val="0"/>
                  <w:tcMar>
                    <w:top w:w="0" w:type="dxa"/>
                    <w:left w:w="0" w:type="dxa"/>
                    <w:bottom w:w="0" w:type="dxa"/>
                    <w:right w:w="0" w:type="dxa"/>
                  </w:tcMar>
                  <w:vAlign w:val="center"/>
                </w:tcPr>
                <w:p w14:paraId="51F5CAD9">
                  <w:pPr>
                    <w:pStyle w:val="5"/>
                    <w:ind w:firstLine="0" w:firstLineChars="0"/>
                    <w:outlineLvl w:val="3"/>
                    <w:rPr>
                      <w:rFonts w:ascii="Times New Roman" w:hAnsi="Times New Roman" w:eastAsia="宋体" w:cstheme="minorBidi"/>
                      <w:color w:val="auto"/>
                      <w:kern w:val="2"/>
                      <w:sz w:val="21"/>
                      <w:szCs w:val="21"/>
                      <w:highlight w:val="none"/>
                      <w:lang w:val="en-US" w:eastAsia="zh-CN" w:bidi="ar-SA"/>
                    </w:rPr>
                  </w:pPr>
                  <w:r>
                    <w:rPr>
                      <w:color w:val="auto"/>
                      <w:highlight w:val="none"/>
                      <w:lang w:val="en-US"/>
                    </w:rPr>
                    <w:t>地表径流、土壤渗透</w:t>
                  </w:r>
                </w:p>
              </w:tc>
            </w:tr>
            <w:tr w14:paraId="33DDB0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2" w:type="dxa"/>
                  <w:noWrap w:val="0"/>
                  <w:tcMar>
                    <w:top w:w="0" w:type="dxa"/>
                    <w:left w:w="0" w:type="dxa"/>
                    <w:bottom w:w="0" w:type="dxa"/>
                    <w:right w:w="0" w:type="dxa"/>
                  </w:tcMar>
                  <w:vAlign w:val="center"/>
                </w:tcPr>
                <w:p w14:paraId="3A824F0C">
                  <w:pPr>
                    <w:pStyle w:val="5"/>
                    <w:outlineLvl w:val="3"/>
                    <w:rPr>
                      <w:rFonts w:hint="eastAsia" w:eastAsia="宋体"/>
                      <w:color w:val="auto"/>
                      <w:highlight w:val="none"/>
                      <w:lang w:val="en-US" w:eastAsia="zh-CN"/>
                    </w:rPr>
                  </w:pPr>
                  <w:r>
                    <w:rPr>
                      <w:rFonts w:hint="eastAsia"/>
                      <w:color w:val="auto"/>
                      <w:highlight w:val="none"/>
                      <w:lang w:val="en-US" w:eastAsia="zh-CN"/>
                    </w:rPr>
                    <w:t>3</w:t>
                  </w:r>
                </w:p>
              </w:tc>
              <w:tc>
                <w:tcPr>
                  <w:tcW w:w="921" w:type="dxa"/>
                  <w:noWrap w:val="0"/>
                  <w:tcMar>
                    <w:top w:w="0" w:type="dxa"/>
                    <w:left w:w="0" w:type="dxa"/>
                    <w:bottom w:w="0" w:type="dxa"/>
                    <w:right w:w="0" w:type="dxa"/>
                  </w:tcMar>
                  <w:vAlign w:val="center"/>
                </w:tcPr>
                <w:p w14:paraId="5BC33253">
                  <w:pPr>
                    <w:pStyle w:val="5"/>
                    <w:ind w:firstLine="0" w:firstLineChars="0"/>
                    <w:outlineLvl w:val="3"/>
                    <w:rPr>
                      <w:rFonts w:hint="eastAsia"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生产车间</w:t>
                  </w:r>
                </w:p>
              </w:tc>
              <w:tc>
                <w:tcPr>
                  <w:tcW w:w="1518" w:type="dxa"/>
                  <w:noWrap w:val="0"/>
                  <w:tcMar>
                    <w:top w:w="0" w:type="dxa"/>
                    <w:left w:w="0" w:type="dxa"/>
                    <w:bottom w:w="0" w:type="dxa"/>
                    <w:right w:w="0" w:type="dxa"/>
                  </w:tcMar>
                  <w:vAlign w:val="center"/>
                </w:tcPr>
                <w:p w14:paraId="36E99DF2">
                  <w:pPr>
                    <w:pStyle w:val="5"/>
                    <w:ind w:firstLine="0" w:firstLineChars="0"/>
                    <w:outlineLvl w:val="3"/>
                    <w:rPr>
                      <w:rFonts w:hint="eastAsia"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废气处理装置</w:t>
                  </w:r>
                </w:p>
              </w:tc>
              <w:tc>
                <w:tcPr>
                  <w:tcW w:w="2054" w:type="dxa"/>
                  <w:noWrap w:val="0"/>
                  <w:tcMar>
                    <w:top w:w="0" w:type="dxa"/>
                    <w:left w:w="0" w:type="dxa"/>
                    <w:bottom w:w="0" w:type="dxa"/>
                    <w:right w:w="0" w:type="dxa"/>
                  </w:tcMar>
                  <w:vAlign w:val="center"/>
                </w:tcPr>
                <w:p w14:paraId="65F7D5CC">
                  <w:pPr>
                    <w:pStyle w:val="5"/>
                    <w:ind w:firstLine="0" w:firstLineChars="0"/>
                    <w:outlineLvl w:val="3"/>
                    <w:rPr>
                      <w:rFonts w:hint="eastAsia"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w:t>
                  </w:r>
                </w:p>
              </w:tc>
              <w:tc>
                <w:tcPr>
                  <w:tcW w:w="1394" w:type="dxa"/>
                  <w:noWrap w:val="0"/>
                  <w:tcMar>
                    <w:top w:w="0" w:type="dxa"/>
                    <w:left w:w="0" w:type="dxa"/>
                    <w:bottom w:w="0" w:type="dxa"/>
                    <w:right w:w="0" w:type="dxa"/>
                  </w:tcMar>
                  <w:vAlign w:val="center"/>
                </w:tcPr>
                <w:p w14:paraId="77C1275B">
                  <w:pPr>
                    <w:pStyle w:val="5"/>
                    <w:ind w:firstLine="0" w:firstLineChars="0"/>
                    <w:outlineLvl w:val="3"/>
                    <w:rPr>
                      <w:rFonts w:hint="default" w:ascii="Times New Roman" w:hAnsi="Times New Roman" w:eastAsia="宋体" w:cstheme="minorBidi"/>
                      <w:color w:val="auto"/>
                      <w:kern w:val="2"/>
                      <w:sz w:val="21"/>
                      <w:szCs w:val="21"/>
                      <w:highlight w:val="none"/>
                      <w:lang w:val="en-US" w:eastAsia="zh-CN" w:bidi="ar-SA"/>
                    </w:rPr>
                  </w:pPr>
                  <w:r>
                    <w:rPr>
                      <w:rFonts w:hint="eastAsia"/>
                      <w:color w:val="auto"/>
                      <w:highlight w:val="none"/>
                      <w:lang w:val="en-US" w:eastAsia="zh-CN"/>
                    </w:rPr>
                    <w:t>装置故障、废气超标排放</w:t>
                  </w:r>
                </w:p>
              </w:tc>
              <w:tc>
                <w:tcPr>
                  <w:tcW w:w="2105" w:type="dxa"/>
                  <w:noWrap w:val="0"/>
                  <w:tcMar>
                    <w:top w:w="0" w:type="dxa"/>
                    <w:left w:w="0" w:type="dxa"/>
                    <w:bottom w:w="0" w:type="dxa"/>
                    <w:right w:w="0" w:type="dxa"/>
                  </w:tcMar>
                  <w:vAlign w:val="center"/>
                </w:tcPr>
                <w:p w14:paraId="7AE47517">
                  <w:pPr>
                    <w:pStyle w:val="5"/>
                    <w:ind w:firstLine="0" w:firstLineChars="0"/>
                    <w:outlineLvl w:val="3"/>
                    <w:rPr>
                      <w:rFonts w:ascii="Times New Roman" w:hAnsi="Times New Roman" w:eastAsia="宋体" w:cstheme="minorBidi"/>
                      <w:color w:val="auto"/>
                      <w:kern w:val="2"/>
                      <w:sz w:val="21"/>
                      <w:szCs w:val="21"/>
                      <w:highlight w:val="none"/>
                      <w:lang w:val="en-US" w:eastAsia="zh-CN" w:bidi="ar-SA"/>
                    </w:rPr>
                  </w:pPr>
                  <w:r>
                    <w:rPr>
                      <w:color w:val="auto"/>
                      <w:highlight w:val="none"/>
                      <w:lang w:val="en-US"/>
                    </w:rPr>
                    <w:t>扩散至大气</w:t>
                  </w:r>
                </w:p>
              </w:tc>
            </w:tr>
          </w:tbl>
          <w:p w14:paraId="705A308D">
            <w:pPr>
              <w:keepNext w:val="0"/>
              <w:keepLines w:val="0"/>
              <w:pageBreakBefore w:val="0"/>
              <w:widowControl w:val="0"/>
              <w:kinsoku/>
              <w:wordWrap/>
              <w:overflowPunct/>
              <w:topLinePunct w:val="0"/>
              <w:autoSpaceDE w:val="0"/>
              <w:autoSpaceDN w:val="0"/>
              <w:bidi w:val="0"/>
              <w:adjustRightInd w:val="0"/>
              <w:snapToGrid/>
              <w:spacing w:before="157" w:beforeLines="50" w:line="50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rPr>
              <w:t>对照</w:t>
            </w:r>
            <w:r>
              <w:rPr>
                <w:rFonts w:ascii="Times New Roman" w:hAnsi="Times New Roman" w:cs="Times New Roman"/>
                <w:color w:val="auto"/>
                <w:kern w:val="0"/>
                <w:sz w:val="24"/>
              </w:rPr>
              <w:t>《建设项目环境风险评价技术导则》（HJ169-2018）附录B</w:t>
            </w:r>
            <w:r>
              <w:rPr>
                <w:rFonts w:hint="eastAsia" w:ascii="Times New Roman" w:hAnsi="Times New Roman" w:cs="Times New Roman"/>
                <w:color w:val="auto"/>
                <w:kern w:val="0"/>
                <w:sz w:val="24"/>
              </w:rPr>
              <w:t>，</w:t>
            </w:r>
            <w:r>
              <w:rPr>
                <w:rFonts w:ascii="Times New Roman" w:hAnsi="Times New Roman"/>
                <w:color w:val="auto"/>
                <w:kern w:val="0"/>
                <w:sz w:val="24"/>
                <w:szCs w:val="24"/>
              </w:rPr>
              <w:t>本项目涉及</w:t>
            </w:r>
            <w:r>
              <w:rPr>
                <w:rFonts w:ascii="Times New Roman" w:hAnsi="Times New Roman"/>
                <w:bCs/>
                <w:color w:val="auto"/>
                <w:sz w:val="24"/>
              </w:rPr>
              <w:t>的</w:t>
            </w:r>
            <w:r>
              <w:rPr>
                <w:rFonts w:hint="eastAsia" w:ascii="Times New Roman" w:hAnsi="Times New Roman"/>
                <w:bCs/>
                <w:color w:val="auto"/>
                <w:sz w:val="24"/>
                <w:lang w:val="en-US" w:eastAsia="zh-CN"/>
              </w:rPr>
              <w:t>风险</w:t>
            </w:r>
            <w:r>
              <w:rPr>
                <w:rFonts w:ascii="Times New Roman" w:hAnsi="Times New Roman"/>
                <w:bCs/>
                <w:color w:val="auto"/>
                <w:sz w:val="24"/>
              </w:rPr>
              <w:t>物质</w:t>
            </w:r>
            <w:r>
              <w:rPr>
                <w:rFonts w:hint="default" w:ascii="Times New Roman" w:hAnsi="Times New Roman" w:eastAsia="宋体" w:cs="Times New Roman"/>
                <w:color w:val="auto"/>
                <w:kern w:val="0"/>
                <w:sz w:val="24"/>
                <w:szCs w:val="24"/>
                <w:highlight w:val="none"/>
                <w:lang w:eastAsia="zh-CN"/>
              </w:rPr>
              <w:t>其</w:t>
            </w:r>
            <w:r>
              <w:rPr>
                <w:rFonts w:hint="default" w:ascii="Times New Roman" w:hAnsi="Times New Roman" w:eastAsia="宋体" w:cs="Times New Roman"/>
                <w:color w:val="auto"/>
                <w:kern w:val="0"/>
                <w:sz w:val="24"/>
                <w:szCs w:val="24"/>
                <w:highlight w:val="none"/>
              </w:rPr>
              <w:t>临界量比值Q值计算</w:t>
            </w:r>
            <w:r>
              <w:rPr>
                <w:rFonts w:hint="default" w:ascii="Times New Roman" w:hAnsi="Times New Roman" w:eastAsia="宋体" w:cs="Times New Roman"/>
                <w:color w:val="auto"/>
                <w:kern w:val="0"/>
                <w:sz w:val="24"/>
                <w:szCs w:val="24"/>
                <w:highlight w:val="none"/>
                <w:lang w:eastAsia="zh-CN"/>
              </w:rPr>
              <w:t>见表</w:t>
            </w:r>
            <w:r>
              <w:rPr>
                <w:rFonts w:hint="eastAsia" w:ascii="Times New Roman" w:hAnsi="Times New Roman" w:eastAsia="宋体" w:cs="Times New Roman"/>
                <w:color w:val="auto"/>
                <w:kern w:val="0"/>
                <w:sz w:val="24"/>
                <w:szCs w:val="24"/>
                <w:highlight w:val="none"/>
                <w:lang w:val="en-US" w:eastAsia="zh-CN"/>
              </w:rPr>
              <w:t>4-21</w:t>
            </w:r>
            <w:r>
              <w:rPr>
                <w:rFonts w:hint="default" w:ascii="Times New Roman" w:hAnsi="Times New Roman" w:eastAsia="宋体" w:cs="Times New Roman"/>
                <w:color w:val="auto"/>
                <w:kern w:val="0"/>
                <w:sz w:val="24"/>
                <w:szCs w:val="24"/>
                <w:highlight w:val="none"/>
                <w:lang w:val="en-US" w:eastAsia="zh-CN"/>
              </w:rPr>
              <w:t>。</w:t>
            </w:r>
          </w:p>
          <w:p w14:paraId="594BF8DC">
            <w:pPr>
              <w:keepNext w:val="0"/>
              <w:keepLines w:val="0"/>
              <w:pageBreakBefore w:val="0"/>
              <w:widowControl w:val="0"/>
              <w:kinsoku/>
              <w:wordWrap/>
              <w:overflowPunct/>
              <w:topLinePunct w:val="0"/>
              <w:autoSpaceDE w:val="0"/>
              <w:autoSpaceDN w:val="0"/>
              <w:bidi w:val="0"/>
              <w:adjustRightInd w:val="0"/>
              <w:snapToGrid/>
              <w:spacing w:before="157" w:beforeLines="50" w:line="50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p>
          <w:p w14:paraId="3E0D9981">
            <w:pPr>
              <w:keepNext w:val="0"/>
              <w:keepLines w:val="0"/>
              <w:pageBreakBefore w:val="0"/>
              <w:widowControl w:val="0"/>
              <w:kinsoku/>
              <w:wordWrap/>
              <w:overflowPunct/>
              <w:topLinePunct w:val="0"/>
              <w:autoSpaceDE w:val="0"/>
              <w:autoSpaceDN w:val="0"/>
              <w:bidi w:val="0"/>
              <w:adjustRightInd w:val="0"/>
              <w:snapToGrid/>
              <w:spacing w:line="460" w:lineRule="exact"/>
              <w:ind w:firstLine="422" w:firstLineChars="200"/>
              <w:jc w:val="center"/>
              <w:textAlignment w:val="auto"/>
              <w:rPr>
                <w:rFonts w:hint="default" w:ascii="Times New Roman" w:hAnsi="Times New Roman" w:eastAsia="宋体" w:cs="Times New Roman"/>
                <w:b/>
                <w:bCs/>
                <w:color w:val="FF0000"/>
                <w:kern w:val="0"/>
                <w:sz w:val="21"/>
                <w:szCs w:val="21"/>
                <w:highlight w:val="none"/>
              </w:rPr>
            </w:pPr>
          </w:p>
          <w:p w14:paraId="71C03662">
            <w:pPr>
              <w:keepNext w:val="0"/>
              <w:keepLines w:val="0"/>
              <w:pageBreakBefore w:val="0"/>
              <w:widowControl w:val="0"/>
              <w:kinsoku/>
              <w:wordWrap/>
              <w:overflowPunct/>
              <w:topLinePunct w:val="0"/>
              <w:autoSpaceDE w:val="0"/>
              <w:autoSpaceDN w:val="0"/>
              <w:bidi w:val="0"/>
              <w:adjustRightInd w:val="0"/>
              <w:snapToGrid/>
              <w:spacing w:line="460" w:lineRule="exact"/>
              <w:ind w:firstLine="422" w:firstLineChars="20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表</w:t>
            </w:r>
            <w:r>
              <w:rPr>
                <w:rFonts w:hint="eastAsia" w:ascii="Times New Roman" w:hAnsi="Times New Roman" w:eastAsia="宋体" w:cs="Times New Roman"/>
                <w:b/>
                <w:bCs/>
                <w:color w:val="auto"/>
                <w:kern w:val="0"/>
                <w:sz w:val="21"/>
                <w:szCs w:val="21"/>
                <w:highlight w:val="none"/>
                <w:lang w:val="en-US" w:eastAsia="zh-CN"/>
              </w:rPr>
              <w:t>4-21</w:t>
            </w:r>
            <w:r>
              <w:rPr>
                <w:rFonts w:hint="default" w:ascii="Times New Roman" w:hAnsi="Times New Roman" w:eastAsia="宋体" w:cs="Times New Roman"/>
                <w:b/>
                <w:bCs/>
                <w:color w:val="auto"/>
                <w:kern w:val="0"/>
                <w:sz w:val="21"/>
                <w:szCs w:val="21"/>
                <w:highlight w:val="none"/>
              </w:rPr>
              <w:t xml:space="preserve"> </w:t>
            </w:r>
            <w:r>
              <w:rPr>
                <w:rFonts w:hint="default" w:ascii="Times New Roman" w:hAnsi="Times New Roman" w:eastAsia="宋体" w:cs="Times New Roman"/>
                <w:b/>
                <w:bCs/>
                <w:color w:val="auto"/>
                <w:kern w:val="0"/>
                <w:sz w:val="21"/>
                <w:szCs w:val="21"/>
                <w:highlight w:val="none"/>
                <w:lang w:val="en-US" w:eastAsia="zh-CN"/>
              </w:rPr>
              <w:t xml:space="preserve"> </w:t>
            </w:r>
            <w:r>
              <w:rPr>
                <w:rFonts w:hint="eastAsia" w:ascii="Times New Roman" w:hAnsi="Times New Roman" w:eastAsia="宋体" w:cs="Times New Roman"/>
                <w:b/>
                <w:bCs/>
                <w:color w:val="auto"/>
                <w:kern w:val="0"/>
                <w:sz w:val="21"/>
                <w:szCs w:val="21"/>
                <w:highlight w:val="none"/>
                <w:lang w:eastAsia="zh-CN"/>
              </w:rPr>
              <w:t>建设</w:t>
            </w:r>
            <w:r>
              <w:rPr>
                <w:rFonts w:hint="default" w:ascii="Times New Roman" w:hAnsi="Times New Roman" w:eastAsia="宋体" w:cs="Times New Roman"/>
                <w:b/>
                <w:bCs/>
                <w:color w:val="auto"/>
                <w:kern w:val="0"/>
                <w:sz w:val="21"/>
                <w:szCs w:val="21"/>
                <w:highlight w:val="none"/>
              </w:rPr>
              <w:t>项目危险物质Q值计算结果</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2093"/>
              <w:gridCol w:w="2313"/>
              <w:gridCol w:w="1537"/>
            </w:tblGrid>
            <w:tr w14:paraId="74B6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561" w:type="dxa"/>
                  <w:noWrap w:val="0"/>
                  <w:vAlign w:val="center"/>
                </w:tcPr>
                <w:p w14:paraId="4B27AC73">
                  <w:pPr>
                    <w:spacing w:line="240" w:lineRule="atLeast"/>
                    <w:jc w:val="center"/>
                    <w:rPr>
                      <w:rFonts w:ascii="Times New Roman" w:hAnsi="Times New Roman"/>
                      <w:b/>
                      <w:bCs/>
                      <w:color w:val="auto"/>
                      <w:szCs w:val="21"/>
                    </w:rPr>
                  </w:pPr>
                  <w:r>
                    <w:rPr>
                      <w:rFonts w:ascii="Times New Roman" w:hAnsi="Times New Roman"/>
                      <w:b/>
                      <w:bCs/>
                      <w:color w:val="auto"/>
                      <w:szCs w:val="21"/>
                    </w:rPr>
                    <w:t>物料名称</w:t>
                  </w:r>
                </w:p>
              </w:tc>
              <w:tc>
                <w:tcPr>
                  <w:tcW w:w="2093" w:type="dxa"/>
                  <w:noWrap w:val="0"/>
                  <w:vAlign w:val="center"/>
                </w:tcPr>
                <w:p w14:paraId="35CD95DC">
                  <w:pPr>
                    <w:spacing w:line="240" w:lineRule="atLeast"/>
                    <w:jc w:val="center"/>
                    <w:rPr>
                      <w:rFonts w:ascii="Times New Roman" w:hAnsi="Times New Roman"/>
                      <w:b/>
                      <w:bCs/>
                      <w:color w:val="auto"/>
                      <w:szCs w:val="21"/>
                    </w:rPr>
                  </w:pPr>
                  <w:r>
                    <w:rPr>
                      <w:rFonts w:ascii="Times New Roman" w:hAnsi="Times New Roman"/>
                      <w:b/>
                      <w:bCs/>
                      <w:color w:val="auto"/>
                      <w:szCs w:val="21"/>
                    </w:rPr>
                    <w:t>最大储存量t</w:t>
                  </w:r>
                </w:p>
              </w:tc>
              <w:tc>
                <w:tcPr>
                  <w:tcW w:w="2313" w:type="dxa"/>
                  <w:noWrap w:val="0"/>
                  <w:vAlign w:val="center"/>
                </w:tcPr>
                <w:p w14:paraId="15D0988C">
                  <w:pPr>
                    <w:spacing w:line="240" w:lineRule="atLeast"/>
                    <w:jc w:val="center"/>
                    <w:rPr>
                      <w:rFonts w:ascii="Times New Roman" w:hAnsi="Times New Roman"/>
                      <w:b/>
                      <w:bCs/>
                      <w:color w:val="auto"/>
                      <w:szCs w:val="21"/>
                    </w:rPr>
                  </w:pPr>
                  <w:r>
                    <w:rPr>
                      <w:rFonts w:ascii="Times New Roman" w:hAnsi="Times New Roman"/>
                      <w:b/>
                      <w:bCs/>
                      <w:color w:val="auto"/>
                      <w:szCs w:val="21"/>
                    </w:rPr>
                    <w:t>临界储存量t</w:t>
                  </w:r>
                </w:p>
              </w:tc>
              <w:tc>
                <w:tcPr>
                  <w:tcW w:w="1537" w:type="dxa"/>
                  <w:noWrap w:val="0"/>
                  <w:vAlign w:val="center"/>
                </w:tcPr>
                <w:p w14:paraId="03006366">
                  <w:pPr>
                    <w:spacing w:line="240" w:lineRule="atLeast"/>
                    <w:jc w:val="center"/>
                    <w:rPr>
                      <w:rFonts w:ascii="Times New Roman" w:hAnsi="Times New Roman"/>
                      <w:b/>
                      <w:bCs/>
                      <w:color w:val="auto"/>
                      <w:szCs w:val="21"/>
                    </w:rPr>
                  </w:pPr>
                  <w:r>
                    <w:rPr>
                      <w:rFonts w:ascii="Times New Roman" w:hAnsi="Times New Roman"/>
                      <w:b/>
                      <w:bCs/>
                      <w:color w:val="auto"/>
                      <w:szCs w:val="21"/>
                    </w:rPr>
                    <w:t>q/Q</w:t>
                  </w:r>
                </w:p>
              </w:tc>
            </w:tr>
            <w:tr w14:paraId="53AC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1" w:type="dxa"/>
                  <w:noWrap w:val="0"/>
                  <w:vAlign w:val="center"/>
                </w:tcPr>
                <w:p w14:paraId="07429B6E">
                  <w:pPr>
                    <w:spacing w:line="240" w:lineRule="atLeast"/>
                    <w:jc w:val="center"/>
                    <w:rPr>
                      <w:rFonts w:hint="default" w:ascii="Times New Roman" w:hAnsi="Times New Roman"/>
                      <w:color w:val="FF0000"/>
                      <w:szCs w:val="21"/>
                      <w:lang w:val="en-US" w:eastAsia="zh-CN"/>
                    </w:rPr>
                  </w:pPr>
                  <w:r>
                    <w:rPr>
                      <w:rFonts w:hint="eastAsia" w:ascii="Times New Roman" w:hAnsi="Times New Roman"/>
                      <w:color w:val="auto"/>
                      <w:szCs w:val="21"/>
                      <w:lang w:val="en-US" w:eastAsia="zh-CN"/>
                    </w:rPr>
                    <w:t>危险废物</w:t>
                  </w:r>
                </w:p>
              </w:tc>
              <w:tc>
                <w:tcPr>
                  <w:tcW w:w="2093" w:type="dxa"/>
                  <w:noWrap w:val="0"/>
                  <w:vAlign w:val="center"/>
                </w:tcPr>
                <w:p w14:paraId="354A3D11">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13</w:t>
                  </w:r>
                </w:p>
              </w:tc>
              <w:tc>
                <w:tcPr>
                  <w:tcW w:w="2313" w:type="dxa"/>
                  <w:noWrap w:val="0"/>
                  <w:vAlign w:val="center"/>
                </w:tcPr>
                <w:p w14:paraId="0445E49B">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50</w:t>
                  </w:r>
                </w:p>
              </w:tc>
              <w:tc>
                <w:tcPr>
                  <w:tcW w:w="1537" w:type="dxa"/>
                  <w:noWrap w:val="0"/>
                  <w:vAlign w:val="center"/>
                </w:tcPr>
                <w:p w14:paraId="76B39C45">
                  <w:pPr>
                    <w:spacing w:line="24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0.26</w:t>
                  </w:r>
                </w:p>
              </w:tc>
            </w:tr>
            <w:tr w14:paraId="4422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7" w:type="dxa"/>
                  <w:gridSpan w:val="3"/>
                  <w:noWrap w:val="0"/>
                  <w:vAlign w:val="center"/>
                </w:tcPr>
                <w:p w14:paraId="487D42E1">
                  <w:pPr>
                    <w:spacing w:line="240" w:lineRule="atLeast"/>
                    <w:jc w:val="center"/>
                    <w:rPr>
                      <w:rFonts w:ascii="Times New Roman" w:hAnsi="Times New Roman"/>
                      <w:color w:val="FF0000"/>
                      <w:szCs w:val="21"/>
                    </w:rPr>
                  </w:pPr>
                  <w:r>
                    <w:rPr>
                      <w:rFonts w:ascii="Times New Roman" w:hAnsi="Times New Roman"/>
                      <w:color w:val="auto"/>
                      <w:szCs w:val="21"/>
                    </w:rPr>
                    <w:t>合计</w:t>
                  </w:r>
                </w:p>
              </w:tc>
              <w:tc>
                <w:tcPr>
                  <w:tcW w:w="1537" w:type="dxa"/>
                  <w:noWrap w:val="0"/>
                  <w:vAlign w:val="center"/>
                </w:tcPr>
                <w:p w14:paraId="7DBA2A6A">
                  <w:pPr>
                    <w:spacing w:line="240" w:lineRule="atLeast"/>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0.26</w:t>
                  </w:r>
                </w:p>
              </w:tc>
            </w:tr>
          </w:tbl>
          <w:p w14:paraId="6B871BA3">
            <w:pPr>
              <w:widowControl/>
              <w:spacing w:line="500" w:lineRule="exact"/>
              <w:ind w:firstLine="480" w:firstLineChars="200"/>
              <w:rPr>
                <w:rFonts w:hint="eastAsia" w:ascii="Times New Roman" w:hAnsi="Times New Roman" w:eastAsia="宋体" w:cs="Times New Roman"/>
                <w:color w:val="auto"/>
                <w:kern w:val="0"/>
                <w:sz w:val="24"/>
                <w:szCs w:val="24"/>
              </w:rPr>
            </w:pP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kern w:val="0"/>
                <w:sz w:val="24"/>
                <w:szCs w:val="24"/>
                <w:highlight w:val="none"/>
                <w:lang w:val="en-US" w:eastAsia="zh-CN"/>
              </w:rPr>
              <w:t>风险</w:t>
            </w:r>
            <w:r>
              <w:rPr>
                <w:rFonts w:hint="default" w:ascii="Times New Roman" w:hAnsi="Times New Roman" w:eastAsia="宋体" w:cs="Times New Roman"/>
                <w:color w:val="auto"/>
                <w:kern w:val="0"/>
                <w:sz w:val="24"/>
                <w:szCs w:val="24"/>
                <w:highlight w:val="none"/>
              </w:rPr>
              <w:t>物质数量与临界量比值Q</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rPr>
              <w:t>无需设置环境风险专项评价。</w:t>
            </w:r>
          </w:p>
          <w:p w14:paraId="31E663B1">
            <w:pPr>
              <w:widowControl/>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可能存在</w:t>
            </w:r>
            <w:r>
              <w:rPr>
                <w:rFonts w:hint="eastAsia" w:ascii="Times New Roman" w:hAnsi="Times New Roman" w:eastAsia="宋体" w:cs="Times New Roman"/>
                <w:color w:val="auto"/>
                <w:sz w:val="24"/>
                <w:lang w:val="en-US" w:eastAsia="zh-CN"/>
              </w:rPr>
              <w:t>危废</w:t>
            </w:r>
            <w:r>
              <w:rPr>
                <w:rFonts w:hint="default" w:ascii="Times New Roman" w:hAnsi="Times New Roman" w:eastAsia="宋体" w:cs="Times New Roman"/>
                <w:color w:val="auto"/>
                <w:sz w:val="24"/>
              </w:rPr>
              <w:t>泄露和发生火灾以及末端处置过程中废气事故性排放所引起的风险，对当地大气环境、水环境</w:t>
            </w:r>
            <w:r>
              <w:rPr>
                <w:rFonts w:hint="eastAsia" w:ascii="Times New Roman" w:hAnsi="Times New Roman" w:eastAsia="宋体" w:cs="Times New Roman"/>
                <w:color w:val="auto"/>
                <w:sz w:val="24"/>
                <w:lang w:eastAsia="zh-CN"/>
              </w:rPr>
              <w:t>、土壤环境</w:t>
            </w:r>
            <w:r>
              <w:rPr>
                <w:rFonts w:hint="default" w:ascii="Times New Roman" w:hAnsi="Times New Roman" w:eastAsia="宋体" w:cs="Times New Roman"/>
                <w:color w:val="auto"/>
                <w:sz w:val="24"/>
              </w:rPr>
              <w:t>造成影响。企业</w:t>
            </w:r>
            <w:r>
              <w:rPr>
                <w:rFonts w:hint="default" w:ascii="Times New Roman" w:hAnsi="Times New Roman" w:eastAsia="宋体" w:cs="Times New Roman"/>
                <w:color w:val="auto"/>
                <w:kern w:val="0"/>
                <w:sz w:val="24"/>
              </w:rPr>
              <w:t>要从多方面积极采取防护措施，</w:t>
            </w:r>
            <w:r>
              <w:rPr>
                <w:rFonts w:hint="default" w:ascii="Times New Roman" w:hAnsi="Times New Roman" w:eastAsia="宋体" w:cs="Times New Roman"/>
                <w:color w:val="auto"/>
                <w:sz w:val="24"/>
              </w:rPr>
              <w:t>力争通过系统地管理、合理采取风险防范应急措施，提升员工操作能力，把此类风险事故降到最低，使得项目风险水平维持在较低水平。</w:t>
            </w:r>
          </w:p>
          <w:p w14:paraId="53195CA9">
            <w:pPr>
              <w:widowControl/>
              <w:spacing w:line="500" w:lineRule="exact"/>
              <w:ind w:firstLine="480" w:firstLineChars="200"/>
              <w:jc w:val="left"/>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kern w:val="0"/>
                <w:sz w:val="24"/>
                <w:szCs w:val="24"/>
                <w:lang w:bidi="ar"/>
              </w:rPr>
              <w:t>（1）泄漏事故风险防范措施</w:t>
            </w:r>
          </w:p>
          <w:p w14:paraId="4B539F89">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a）为保证各物料仓储和使用安全，本项目各物料的存储条件和设施必须严格按照有关文件中的要求执行，并有严格的管理。</w:t>
            </w:r>
          </w:p>
          <w:p w14:paraId="7FC99CEA">
            <w:pPr>
              <w:widowControl/>
              <w:spacing w:line="500" w:lineRule="exact"/>
              <w:ind w:firstLine="480" w:firstLineChars="200"/>
              <w:jc w:val="left"/>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b）总平面布置严格遵守国家颁布的有关防火和安全等方面规范和规定，在危险源布置方面，充分考虑厂内职工和厂外敏感目标安全，一旦出现突发性事件时，对人员造成的伤害最小。总平面布置要根据功能分区布置，各功能区，装置之间设环形通道，并与厂外道路相连，利于安全疏散和消防。</w:t>
            </w:r>
          </w:p>
          <w:p w14:paraId="02EE4FAD">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c）在生产装置、仓储区等附近场所以及需要提醒人员注意的地点均应按标准设置各种安全标志，凡需要迅速发现并引起注意以防止发生事故的场所、部位，均按要求涂安全色。</w:t>
            </w:r>
          </w:p>
          <w:p w14:paraId="4B39E58A">
            <w:pPr>
              <w:widowControl/>
              <w:spacing w:line="50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d）车间、仓储区布置需通风良好，保证易燃、易爆和有毒物质迅速稀释和扩散。</w:t>
            </w:r>
          </w:p>
          <w:p w14:paraId="7216D0D2">
            <w:pPr>
              <w:widowControl/>
              <w:spacing w:line="50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kern w:val="0"/>
                <w:sz w:val="24"/>
                <w:szCs w:val="24"/>
                <w:lang w:bidi="ar"/>
              </w:rPr>
              <w:t xml:space="preserve">（2）火灾事故风险防范措施 </w:t>
            </w:r>
          </w:p>
          <w:p w14:paraId="641BF099">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a）控制与消除火源</w:t>
            </w:r>
          </w:p>
          <w:p w14:paraId="599B8FDE">
            <w:pPr>
              <w:widowControl/>
              <w:spacing w:line="500" w:lineRule="exact"/>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工作时严禁吸烟、携带火种等进入易燃易爆区；使用防爆型电器；严禁钢制工具敲打、撞击、抛掷；安装避雷装置；转动设备部位要保持清洁，防止因摩擦引起杂物等燃烧；化学品物料运输要请专门的、有资质的运输单位，运用专用的设备进行运输。</w:t>
            </w:r>
          </w:p>
          <w:p w14:paraId="1BB32D6C">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b）加强管理、严格纪律，遵守各项规章制度和操作规程，严格执行岗位责任制；坚持巡回检查，发现问题及时处理；加强培训、教育和考核工作。</w:t>
            </w:r>
          </w:p>
          <w:p w14:paraId="44AB0055">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kern w:val="0"/>
                <w:sz w:val="24"/>
                <w:szCs w:val="24"/>
                <w:lang w:bidi="ar"/>
              </w:rPr>
            </w:pPr>
            <w:r>
              <w:rPr>
                <w:rFonts w:hint="default" w:ascii="Times New Roman" w:hAnsi="Times New Roman" w:eastAsia="宋体" w:cs="Times New Roman"/>
                <w:bCs/>
                <w:color w:val="auto"/>
                <w:kern w:val="0"/>
                <w:sz w:val="24"/>
                <w:szCs w:val="24"/>
                <w:lang w:bidi="ar"/>
              </w:rPr>
              <w:t>（3）物料贮存风险防范措施</w:t>
            </w:r>
          </w:p>
          <w:p w14:paraId="28B17C0F">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a）原料存放点阴凉通风，远离热源、火种，防止日光曝晒，严禁受热。库内照明应采用防爆照明灯，存放点周围不得堆放任何可燃材料。</w:t>
            </w:r>
          </w:p>
          <w:p w14:paraId="1DF5E771">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b）原料仓科有专人管理，要有消防器材，要有醒目的防火标志。在仓库门口张贴防火标示，并配有进出台账管理。</w:t>
            </w:r>
          </w:p>
          <w:p w14:paraId="7AC6DD6F">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c）危废仓库从严建设，进一步根据《危险废物污染防治技术政策》和《危险废物贮存污染控制标准》进行完善。同时建立健全固体废弃物管理制度和管理程序，固体废弃物应按照性质分类收集并有专人管理，进行监督登记并设置相应的应急救援器材和物资、每年进行预案演练，完善风险防控系统。</w:t>
            </w:r>
          </w:p>
          <w:p w14:paraId="0EB0581F">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d）对员工进行日常风险教育和培训，提高安全防范知识的宣传力度。企业定期对员工进行安全培训教育，从控制过程减少了风险事故的产生。</w:t>
            </w:r>
          </w:p>
          <w:p w14:paraId="27196A3E">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kern w:val="0"/>
                <w:sz w:val="24"/>
                <w:szCs w:val="24"/>
                <w:lang w:bidi="ar"/>
              </w:rPr>
            </w:pPr>
            <w:r>
              <w:rPr>
                <w:rFonts w:hint="default" w:ascii="Times New Roman" w:hAnsi="Times New Roman" w:eastAsia="宋体" w:cs="Times New Roman"/>
                <w:bCs/>
                <w:color w:val="auto"/>
                <w:kern w:val="0"/>
                <w:sz w:val="24"/>
                <w:szCs w:val="24"/>
                <w:lang w:bidi="ar"/>
              </w:rPr>
              <w:t>（4）废气事故排放的防范措施</w:t>
            </w:r>
          </w:p>
          <w:p w14:paraId="5B5DE454">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为确保不发生事故性废气排放，建设单位采取一定的事故性防范保护措施：</w:t>
            </w:r>
          </w:p>
          <w:p w14:paraId="672EBC88">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a）各生产环节严格执行生产管理的有关规定，加强设备的检修及保养，提高管理人员素质并设置机器事故应急措施及管理制度，确保设备长期处于良好状态，使设备达到预期的处理效果。</w:t>
            </w:r>
          </w:p>
          <w:p w14:paraId="6F689AF2">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b）现场作业人员定时记录废气处理状况，如对废气处理设施风机等设备进行点检工作并派专人巡视，遇不良工作状况立即停止车间相关作业，维修正常后再开始作业，杜绝事故性废气直排，并及时呈报单位主管。待检修完毕再通知生产车间相关工序。</w:t>
            </w:r>
          </w:p>
          <w:p w14:paraId="1B292C9C">
            <w:pPr>
              <w:widowControl/>
              <w:spacing w:line="500" w:lineRule="exact"/>
              <w:ind w:firstLine="480" w:firstLineChars="200"/>
              <w:rPr>
                <w:rFonts w:hint="default" w:ascii="Times New Roman" w:hAnsi="Times New Roman" w:eastAsia="宋体" w:cs="Times New Roman"/>
                <w:bCs/>
                <w:color w:val="000000" w:themeColor="text1"/>
                <w:kern w:val="0"/>
                <w:sz w:val="24"/>
                <w:szCs w:val="24"/>
                <w:lang w:bidi="ar"/>
                <w14:textFill>
                  <w14:solidFill>
                    <w14:schemeClr w14:val="tx1"/>
                  </w14:solidFill>
                </w14:textFill>
              </w:rPr>
            </w:pPr>
            <w:r>
              <w:rPr>
                <w:rFonts w:hint="default" w:ascii="Times New Roman" w:hAnsi="Times New Roman" w:eastAsia="宋体" w:cs="Times New Roman"/>
                <w:bCs/>
                <w:color w:val="000000" w:themeColor="text1"/>
                <w:kern w:val="0"/>
                <w:sz w:val="24"/>
                <w:szCs w:val="24"/>
                <w:lang w:bidi="ar"/>
                <w14:textFill>
                  <w14:solidFill>
                    <w14:schemeClr w14:val="tx1"/>
                  </w14:solidFill>
                </w14:textFill>
              </w:rPr>
              <w:t>（</w:t>
            </w:r>
            <w:r>
              <w:rPr>
                <w:rFonts w:hint="eastAsia" w:ascii="Times New Roman" w:hAnsi="Times New Roman" w:eastAsia="宋体" w:cs="Times New Roman"/>
                <w:bCs/>
                <w:color w:val="000000" w:themeColor="text1"/>
                <w:kern w:val="0"/>
                <w:sz w:val="24"/>
                <w:szCs w:val="24"/>
                <w:lang w:val="en-US" w:eastAsia="zh-CN" w:bidi="ar"/>
                <w14:textFill>
                  <w14:solidFill>
                    <w14:schemeClr w14:val="tx1"/>
                  </w14:solidFill>
                </w14:textFill>
              </w:rPr>
              <w:t>5</w:t>
            </w:r>
            <w:r>
              <w:rPr>
                <w:rFonts w:hint="default" w:ascii="Times New Roman" w:hAnsi="Times New Roman" w:eastAsia="宋体" w:cs="Times New Roman"/>
                <w:bCs/>
                <w:color w:val="000000" w:themeColor="text1"/>
                <w:kern w:val="0"/>
                <w:sz w:val="24"/>
                <w:szCs w:val="24"/>
                <w:lang w:bidi="ar"/>
                <w14:textFill>
                  <w14:solidFill>
                    <w14:schemeClr w14:val="tx1"/>
                  </w14:solidFill>
                </w14:textFill>
              </w:rPr>
              <w:t>）环保设施风险防范措施</w:t>
            </w:r>
          </w:p>
          <w:p w14:paraId="7C9448C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根据《关于加强工业企业环保设施安全生产工作的指导意见》（浙应急基础[2022]143号），新、改、扩建重点环保设施应纳入建设项目管理，充分考虑安全风险，确保风险可控后方可实施。</w:t>
            </w:r>
          </w:p>
          <w:p w14:paraId="53E4012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①</w:t>
            </w:r>
            <w:r>
              <w:rPr>
                <w:rFonts w:hint="default" w:ascii="Times New Roman" w:hAnsi="Times New Roman" w:eastAsia="宋体" w:cs="Times New Roman"/>
                <w:color w:val="000000" w:themeColor="text1"/>
                <w:sz w:val="24"/>
                <w:szCs w:val="24"/>
                <w:highlight w:val="none"/>
                <w14:textFill>
                  <w14:solidFill>
                    <w14:schemeClr w14:val="tx1"/>
                  </w14:solidFill>
                </w14:textFill>
              </w:rPr>
              <w:t>立项阶段。企业应当依法依规对建设项目开展环境影响评价，不得采用国家、地方淘汰的设备、产品和工艺。在环评技术审查等环节，必要时可邀请应急管理部门、行业专家参与科学论证。</w:t>
            </w:r>
          </w:p>
          <w:p w14:paraId="0234C84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②</w:t>
            </w:r>
            <w:r>
              <w:rPr>
                <w:rFonts w:hint="default" w:ascii="Times New Roman" w:hAnsi="Times New Roman" w:eastAsia="宋体" w:cs="Times New Roman"/>
                <w:color w:val="000000" w:themeColor="text1"/>
                <w:sz w:val="24"/>
                <w:szCs w:val="24"/>
                <w:highlight w:val="none"/>
                <w14:textFill>
                  <w14:solidFill>
                    <w14:schemeClr w14:val="tx1"/>
                  </w14:solidFill>
                </w14:textFill>
              </w:rPr>
              <w:t>设计阶段。企业应当委托有相应资质（建设部门核发的综合、行业专项等设计资质）的设计单位对建设项目（含环保设施）进行设计，落实安全生产相关技术要求，自行开展或组织环保和安全生产有关专家参与设计审查，出具审查报告，并案审查意见进行修改完善。</w:t>
            </w:r>
          </w:p>
          <w:p w14:paraId="55E9FB5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③</w:t>
            </w:r>
            <w:r>
              <w:rPr>
                <w:rFonts w:hint="default" w:ascii="Times New Roman" w:hAnsi="Times New Roman" w:eastAsia="宋体" w:cs="Times New Roman"/>
                <w:color w:val="000000" w:themeColor="text1"/>
                <w:sz w:val="24"/>
                <w:szCs w:val="24"/>
                <w:highlight w:val="none"/>
                <w14:textFill>
                  <w14:solidFill>
                    <w14:schemeClr w14:val="tx1"/>
                  </w14:solidFill>
                </w14:textFill>
              </w:rPr>
              <w:t>建设和验收阶段。建设单位应严格按照设计方案和相关施工技术标准、规范施工。建设项目竣工后，建设单位应当按照法律、法规规定的标准和程序，对环保设施进行验收，确保环保设施符合生态环境和安全生产要求，并形成书面报告。</w:t>
            </w:r>
          </w:p>
          <w:p w14:paraId="3928ACB8">
            <w:pPr>
              <w:pStyle w:val="7"/>
              <w:spacing w:line="360" w:lineRule="auto"/>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④</w:t>
            </w:r>
            <w:r>
              <w:rPr>
                <w:rFonts w:hint="default" w:ascii="Times New Roman" w:hAnsi="Times New Roman" w:eastAsia="宋体" w:cs="Times New Roman"/>
                <w:color w:val="000000" w:themeColor="text1"/>
                <w:sz w:val="24"/>
                <w:szCs w:val="24"/>
                <w:highlight w:val="none"/>
                <w14:textFill>
                  <w14:solidFill>
                    <w14:schemeClr w14:val="tx1"/>
                  </w14:solidFill>
                </w14:textFill>
              </w:rPr>
              <w:t>严格落实企业主体责任。企业要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控系统和连锁保护，严格日常安全检查。要严格执行吊装、动火、登高、有限空间、检维修等危险作业审批制度，落实安全隔离措施，实施现场安全监护，配齐应急处置装备，确保环保设施安全、温度、有效运行。</w:t>
            </w:r>
          </w:p>
          <w:p w14:paraId="4A39D1B3">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default" w:ascii="Times New Roman" w:hAnsi="Times New Roman" w:eastAsia="宋体" w:cs="Times New Roman"/>
                <w:color w:val="auto"/>
                <w:highlight w:val="none"/>
                <w:lang w:val="en-US"/>
              </w:rPr>
            </w:pPr>
            <w:r>
              <w:rPr>
                <w:rFonts w:hint="eastAsia" w:ascii="Times New Roman" w:hAnsi="Times New Roman" w:eastAsia="宋体" w:cs="Times New Roman"/>
                <w:b/>
                <w:color w:val="auto"/>
                <w:sz w:val="24"/>
                <w:szCs w:val="24"/>
                <w:highlight w:val="none"/>
                <w:lang w:val="en-US" w:eastAsia="zh-CN"/>
              </w:rPr>
              <w:t>4.2.8环保投资</w:t>
            </w:r>
          </w:p>
          <w:p w14:paraId="5E30483B">
            <w:pPr>
              <w:pStyle w:val="7"/>
              <w:keepNext w:val="0"/>
              <w:keepLines w:val="0"/>
              <w:pageBreakBefore w:val="0"/>
              <w:kinsoku/>
              <w:wordWrap/>
              <w:overflowPunct/>
              <w:topLinePunct w:val="0"/>
              <w:autoSpaceDE/>
              <w:autoSpaceDN/>
              <w:bidi w:val="0"/>
              <w:adjustRightInd/>
              <w:snapToGrid/>
              <w:spacing w:line="360" w:lineRule="auto"/>
              <w:ind w:firstLine="480" w:firstLineChars="200"/>
              <w:jc w:val="left"/>
              <w:textAlignment w:val="center"/>
              <w:rPr>
                <w:rFonts w:hint="eastAsia" w:ascii="Times New Roman" w:hAnsi="Times New Roman" w:cs="Times New Roman"/>
                <w:color w:val="FF0000"/>
                <w:sz w:val="24"/>
                <w:szCs w:val="24"/>
                <w:lang w:eastAsia="zh-CN"/>
              </w:rPr>
            </w:pPr>
            <w:r>
              <w:rPr>
                <w:rFonts w:ascii="Times New Roman" w:hAnsi="Times New Roman" w:cs="Times New Roman"/>
                <w:color w:val="auto"/>
                <w:sz w:val="24"/>
                <w:szCs w:val="24"/>
              </w:rPr>
              <w:t>本项目环保投资估算</w:t>
            </w:r>
            <w:r>
              <w:rPr>
                <w:rFonts w:hint="eastAsia" w:ascii="Times New Roman" w:hAnsi="Times New Roman" w:cs="Times New Roman"/>
                <w:color w:val="auto"/>
                <w:sz w:val="24"/>
                <w:szCs w:val="24"/>
                <w:lang w:val="en-US" w:eastAsia="zh-CN"/>
              </w:rPr>
              <w:t>71.5</w:t>
            </w:r>
            <w:r>
              <w:rPr>
                <w:rFonts w:ascii="Times New Roman" w:hAnsi="Times New Roman" w:cs="Times New Roman"/>
                <w:color w:val="auto"/>
                <w:sz w:val="24"/>
                <w:szCs w:val="24"/>
              </w:rPr>
              <w:t>万元，约占其总投资的</w:t>
            </w:r>
            <w:r>
              <w:rPr>
                <w:rFonts w:hint="eastAsia" w:ascii="Times New Roman" w:hAnsi="Times New Roman" w:cs="Times New Roman"/>
                <w:color w:val="auto"/>
                <w:sz w:val="24"/>
                <w:szCs w:val="24"/>
                <w:lang w:val="en-US" w:eastAsia="zh-CN"/>
              </w:rPr>
              <w:t>0.4</w:t>
            </w:r>
            <w:r>
              <w:rPr>
                <w:rFonts w:ascii="Times New Roman" w:hAnsi="Times New Roman" w:cs="Times New Roman"/>
                <w:color w:val="auto"/>
                <w:sz w:val="24"/>
                <w:szCs w:val="24"/>
              </w:rPr>
              <w:t>%</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环保投资估算具体见表</w:t>
            </w:r>
            <w:r>
              <w:rPr>
                <w:rFonts w:hint="eastAsia"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22</w:t>
            </w:r>
            <w:r>
              <w:rPr>
                <w:rFonts w:ascii="Times New Roman" w:hAnsi="Times New Roman" w:cs="Times New Roman"/>
                <w:color w:val="auto"/>
                <w:sz w:val="24"/>
                <w:szCs w:val="24"/>
              </w:rPr>
              <w:t>。</w:t>
            </w:r>
          </w:p>
          <w:p w14:paraId="611D67F8">
            <w:pPr>
              <w:pStyle w:val="7"/>
              <w:spacing w:line="460" w:lineRule="exact"/>
              <w:ind w:firstLine="0"/>
              <w:jc w:val="center"/>
              <w:textAlignment w:val="center"/>
              <w:rPr>
                <w:rFonts w:ascii="Times New Roman" w:hAnsi="Times New Roman" w:cs="Times New Roman"/>
                <w:b/>
                <w:bCs/>
                <w:color w:val="auto"/>
                <w:szCs w:val="21"/>
              </w:rPr>
            </w:pPr>
            <w:r>
              <w:rPr>
                <w:rFonts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4</w:t>
            </w:r>
            <w:r>
              <w:rPr>
                <w:rFonts w:hint="eastAsia"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22</w:t>
            </w:r>
            <w:r>
              <w:rPr>
                <w:rFonts w:ascii="Times New Roman" w:hAnsi="Times New Roman" w:cs="Times New Roman"/>
                <w:b/>
                <w:bCs/>
                <w:color w:val="auto"/>
                <w:szCs w:val="21"/>
              </w:rPr>
              <w:t xml:space="preserve">  环保工程投资估算表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74"/>
              <w:gridCol w:w="454"/>
              <w:gridCol w:w="3219"/>
              <w:gridCol w:w="1194"/>
              <w:gridCol w:w="2695"/>
            </w:tblGrid>
            <w:tr w14:paraId="659E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noWrap/>
                  <w:vAlign w:val="center"/>
                </w:tcPr>
                <w:p w14:paraId="71EA52A1">
                  <w:pPr>
                    <w:jc w:val="center"/>
                    <w:rPr>
                      <w:rFonts w:ascii="Times New Roman" w:hAnsi="Times New Roman" w:cs="Times New Roman"/>
                      <w:b/>
                      <w:bCs w:val="0"/>
                      <w:color w:val="auto"/>
                      <w:szCs w:val="21"/>
                    </w:rPr>
                  </w:pPr>
                  <w:r>
                    <w:rPr>
                      <w:rFonts w:ascii="Times New Roman" w:hAnsi="Times New Roman" w:cs="Times New Roman"/>
                      <w:b/>
                      <w:bCs w:val="0"/>
                      <w:color w:val="auto"/>
                      <w:szCs w:val="21"/>
                    </w:rPr>
                    <w:t>序号</w:t>
                  </w:r>
                </w:p>
              </w:tc>
              <w:tc>
                <w:tcPr>
                  <w:tcW w:w="928" w:type="dxa"/>
                  <w:gridSpan w:val="2"/>
                  <w:noWrap/>
                  <w:vAlign w:val="center"/>
                </w:tcPr>
                <w:p w14:paraId="2F7214F2">
                  <w:pPr>
                    <w:jc w:val="center"/>
                    <w:rPr>
                      <w:rFonts w:ascii="Times New Roman" w:hAnsi="Times New Roman" w:cs="Times New Roman"/>
                      <w:b/>
                      <w:bCs w:val="0"/>
                      <w:color w:val="auto"/>
                      <w:szCs w:val="21"/>
                    </w:rPr>
                  </w:pPr>
                  <w:r>
                    <w:rPr>
                      <w:rFonts w:ascii="Times New Roman" w:hAnsi="Times New Roman" w:cs="Times New Roman"/>
                      <w:b/>
                      <w:bCs w:val="0"/>
                      <w:color w:val="auto"/>
                      <w:szCs w:val="21"/>
                    </w:rPr>
                    <w:t>类别</w:t>
                  </w:r>
                </w:p>
              </w:tc>
              <w:tc>
                <w:tcPr>
                  <w:tcW w:w="3219" w:type="dxa"/>
                  <w:noWrap/>
                  <w:vAlign w:val="center"/>
                </w:tcPr>
                <w:p w14:paraId="55F364D3">
                  <w:pPr>
                    <w:jc w:val="center"/>
                    <w:rPr>
                      <w:rFonts w:ascii="Times New Roman" w:hAnsi="Times New Roman" w:cs="Times New Roman"/>
                      <w:b/>
                      <w:bCs w:val="0"/>
                      <w:color w:val="auto"/>
                      <w:szCs w:val="21"/>
                    </w:rPr>
                  </w:pPr>
                  <w:r>
                    <w:rPr>
                      <w:rFonts w:ascii="Times New Roman" w:hAnsi="Times New Roman" w:cs="Times New Roman"/>
                      <w:b/>
                      <w:bCs w:val="0"/>
                      <w:color w:val="auto"/>
                      <w:szCs w:val="21"/>
                    </w:rPr>
                    <w:t>污染防治设施或措施名称</w:t>
                  </w:r>
                </w:p>
              </w:tc>
              <w:tc>
                <w:tcPr>
                  <w:tcW w:w="1194" w:type="dxa"/>
                  <w:noWrap/>
                  <w:vAlign w:val="center"/>
                </w:tcPr>
                <w:p w14:paraId="10700EDE">
                  <w:pPr>
                    <w:jc w:val="center"/>
                    <w:rPr>
                      <w:rFonts w:ascii="Times New Roman" w:hAnsi="Times New Roman" w:cs="Times New Roman"/>
                      <w:b/>
                      <w:bCs w:val="0"/>
                      <w:color w:val="auto"/>
                      <w:szCs w:val="21"/>
                    </w:rPr>
                  </w:pPr>
                  <w:r>
                    <w:rPr>
                      <w:rFonts w:ascii="Times New Roman" w:hAnsi="Times New Roman" w:cs="Times New Roman"/>
                      <w:b/>
                      <w:bCs w:val="0"/>
                      <w:color w:val="auto"/>
                      <w:szCs w:val="21"/>
                    </w:rPr>
                    <w:t>投资估算</w:t>
                  </w:r>
                </w:p>
              </w:tc>
              <w:tc>
                <w:tcPr>
                  <w:tcW w:w="2695" w:type="dxa"/>
                  <w:noWrap/>
                  <w:vAlign w:val="center"/>
                </w:tcPr>
                <w:p w14:paraId="266E22D7">
                  <w:pPr>
                    <w:jc w:val="center"/>
                    <w:rPr>
                      <w:rFonts w:ascii="Times New Roman" w:hAnsi="Times New Roman" w:cs="Times New Roman"/>
                      <w:b/>
                      <w:bCs w:val="0"/>
                      <w:color w:val="auto"/>
                      <w:szCs w:val="21"/>
                    </w:rPr>
                  </w:pPr>
                  <w:r>
                    <w:rPr>
                      <w:rFonts w:ascii="Times New Roman" w:hAnsi="Times New Roman" w:cs="Times New Roman"/>
                      <w:b/>
                      <w:bCs w:val="0"/>
                      <w:color w:val="auto"/>
                      <w:szCs w:val="21"/>
                    </w:rPr>
                    <w:t>备注</w:t>
                  </w:r>
                </w:p>
              </w:tc>
            </w:tr>
            <w:tr w14:paraId="5BE3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restart"/>
                  <w:noWrap/>
                  <w:vAlign w:val="center"/>
                </w:tcPr>
                <w:p w14:paraId="3BBE765C">
                  <w:pPr>
                    <w:jc w:val="center"/>
                    <w:rPr>
                      <w:rFonts w:hint="eastAsia" w:ascii="Times New Roman" w:hAnsi="Times New Roman" w:cs="Times New Roman" w:eastAsiaTheme="minorEastAsia"/>
                      <w:b/>
                      <w:bCs w:val="0"/>
                      <w:color w:val="auto"/>
                      <w:szCs w:val="21"/>
                      <w:lang w:val="en-US" w:eastAsia="zh-CN"/>
                    </w:rPr>
                  </w:pPr>
                  <w:r>
                    <w:rPr>
                      <w:rFonts w:hint="eastAsia" w:ascii="Times New Roman" w:hAnsi="Times New Roman" w:cs="Times New Roman"/>
                      <w:b w:val="0"/>
                      <w:bCs/>
                      <w:color w:val="auto"/>
                      <w:szCs w:val="21"/>
                      <w:lang w:val="en-US" w:eastAsia="zh-CN"/>
                    </w:rPr>
                    <w:t>1</w:t>
                  </w:r>
                </w:p>
              </w:tc>
              <w:tc>
                <w:tcPr>
                  <w:tcW w:w="928" w:type="dxa"/>
                  <w:gridSpan w:val="2"/>
                  <w:vMerge w:val="restart"/>
                  <w:noWrap/>
                  <w:vAlign w:val="center"/>
                </w:tcPr>
                <w:p w14:paraId="52AA47C5">
                  <w:pPr>
                    <w:jc w:val="center"/>
                    <w:rPr>
                      <w:rFonts w:hint="default" w:ascii="Times New Roman" w:hAnsi="Times New Roman" w:cs="Times New Roman" w:eastAsiaTheme="minorEastAsia"/>
                      <w:b w:val="0"/>
                      <w:bCs/>
                      <w:color w:val="auto"/>
                      <w:szCs w:val="21"/>
                      <w:lang w:val="en-US" w:eastAsia="zh-CN"/>
                    </w:rPr>
                  </w:pPr>
                  <w:r>
                    <w:rPr>
                      <w:rFonts w:hint="eastAsia" w:ascii="Times New Roman" w:hAnsi="Times New Roman" w:cs="Times New Roman"/>
                      <w:b w:val="0"/>
                      <w:bCs/>
                      <w:color w:val="auto"/>
                      <w:szCs w:val="21"/>
                      <w:lang w:val="en-US" w:eastAsia="zh-CN"/>
                    </w:rPr>
                    <w:t>建设期</w:t>
                  </w:r>
                </w:p>
              </w:tc>
              <w:tc>
                <w:tcPr>
                  <w:tcW w:w="3219" w:type="dxa"/>
                  <w:noWrap/>
                  <w:vAlign w:val="center"/>
                </w:tcPr>
                <w:p w14:paraId="725E6F2D">
                  <w:pPr>
                    <w:pStyle w:val="58"/>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Times New Roman" w:hAnsi="Times New Roman" w:cs="Times New Roman"/>
                      <w:b w:val="0"/>
                      <w:bCs/>
                      <w:color w:val="auto"/>
                      <w:szCs w:val="21"/>
                    </w:rPr>
                  </w:pPr>
                  <w:r>
                    <w:rPr>
                      <w:rFonts w:hint="default" w:ascii="Times New Roman" w:hAnsi="Times New Roman" w:cs="Times New Roman"/>
                      <w:color w:val="auto"/>
                      <w:sz w:val="21"/>
                      <w:szCs w:val="21"/>
                    </w:rPr>
                    <w:t>临时隔声围护措施等</w:t>
                  </w:r>
                </w:p>
              </w:tc>
              <w:tc>
                <w:tcPr>
                  <w:tcW w:w="1194" w:type="dxa"/>
                  <w:noWrap/>
                  <w:vAlign w:val="center"/>
                </w:tcPr>
                <w:p w14:paraId="699C7F1B">
                  <w:pPr>
                    <w:pStyle w:val="58"/>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Times New Roman" w:hAnsi="Times New Roman" w:cs="Times New Roman"/>
                      <w:b w:val="0"/>
                      <w:bCs/>
                      <w:color w:val="auto"/>
                      <w:szCs w:val="21"/>
                    </w:rPr>
                  </w:pP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万元</w:t>
                  </w:r>
                </w:p>
              </w:tc>
              <w:tc>
                <w:tcPr>
                  <w:tcW w:w="2695" w:type="dxa"/>
                  <w:noWrap/>
                  <w:vAlign w:val="center"/>
                </w:tcPr>
                <w:p w14:paraId="32BA31A6">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Times New Roman" w:hAnsi="Times New Roman" w:cs="Times New Roman"/>
                      <w:b w:val="0"/>
                      <w:bCs/>
                      <w:color w:val="auto"/>
                      <w:szCs w:val="21"/>
                    </w:rPr>
                  </w:pPr>
                  <w:r>
                    <w:rPr>
                      <w:rFonts w:hint="default" w:ascii="Times New Roman" w:hAnsi="Times New Roman" w:cs="Times New Roman"/>
                      <w:color w:val="auto"/>
                      <w:sz w:val="21"/>
                      <w:szCs w:val="21"/>
                    </w:rPr>
                    <w:t>噪声防治</w:t>
                  </w:r>
                </w:p>
              </w:tc>
            </w:tr>
            <w:tr w14:paraId="3C09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05CC67F7">
                  <w:pPr>
                    <w:jc w:val="center"/>
                    <w:rPr>
                      <w:rFonts w:hint="eastAsia" w:ascii="Times New Roman" w:hAnsi="Times New Roman" w:cs="Times New Roman"/>
                      <w:b w:val="0"/>
                      <w:bCs/>
                      <w:color w:val="auto"/>
                      <w:szCs w:val="21"/>
                      <w:lang w:val="en-US" w:eastAsia="zh-CN"/>
                    </w:rPr>
                  </w:pPr>
                </w:p>
              </w:tc>
              <w:tc>
                <w:tcPr>
                  <w:tcW w:w="928" w:type="dxa"/>
                  <w:gridSpan w:val="2"/>
                  <w:vMerge w:val="continue"/>
                  <w:noWrap/>
                  <w:vAlign w:val="center"/>
                </w:tcPr>
                <w:p w14:paraId="119F1C81">
                  <w:pPr>
                    <w:jc w:val="center"/>
                    <w:rPr>
                      <w:rFonts w:hint="eastAsia" w:ascii="Times New Roman" w:hAnsi="Times New Roman" w:cs="Times New Roman"/>
                      <w:b w:val="0"/>
                      <w:bCs/>
                      <w:color w:val="auto"/>
                      <w:szCs w:val="21"/>
                      <w:lang w:val="en-US" w:eastAsia="zh-CN"/>
                    </w:rPr>
                  </w:pPr>
                </w:p>
              </w:tc>
              <w:tc>
                <w:tcPr>
                  <w:tcW w:w="3219" w:type="dxa"/>
                  <w:noWrap/>
                  <w:vAlign w:val="center"/>
                </w:tcPr>
                <w:p w14:paraId="323388B6">
                  <w:pPr>
                    <w:pStyle w:val="58"/>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洒水抑尘、材料遮盖等</w:t>
                  </w:r>
                </w:p>
                <w:p w14:paraId="00848D8A">
                  <w:pPr>
                    <w:pStyle w:val="58"/>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Times New Roman" w:hAnsi="Times New Roman" w:cs="Times New Roman"/>
                      <w:b w:val="0"/>
                      <w:bCs/>
                      <w:color w:val="auto"/>
                      <w:szCs w:val="21"/>
                    </w:rPr>
                  </w:pPr>
                  <w:r>
                    <w:rPr>
                      <w:rFonts w:hint="default" w:ascii="Times New Roman" w:hAnsi="Times New Roman" w:cs="Times New Roman"/>
                      <w:color w:val="auto"/>
                      <w:sz w:val="21"/>
                      <w:szCs w:val="21"/>
                    </w:rPr>
                    <w:t>所需设施</w:t>
                  </w:r>
                </w:p>
              </w:tc>
              <w:tc>
                <w:tcPr>
                  <w:tcW w:w="1194" w:type="dxa"/>
                  <w:noWrap/>
                  <w:vAlign w:val="center"/>
                </w:tcPr>
                <w:p w14:paraId="5DA8B53E">
                  <w:pPr>
                    <w:pStyle w:val="14"/>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0" w:firstLineChars="0"/>
                    <w:jc w:val="center"/>
                    <w:textAlignment w:val="auto"/>
                    <w:outlineLvl w:val="9"/>
                    <w:rPr>
                      <w:rFonts w:ascii="Times New Roman" w:hAnsi="Times New Roman" w:cs="Times New Roman"/>
                      <w:b w:val="0"/>
                      <w:bCs/>
                      <w:color w:val="auto"/>
                      <w:szCs w:val="21"/>
                    </w:rPr>
                  </w:pP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万元</w:t>
                  </w:r>
                </w:p>
              </w:tc>
              <w:tc>
                <w:tcPr>
                  <w:tcW w:w="2695" w:type="dxa"/>
                  <w:noWrap/>
                  <w:vAlign w:val="center"/>
                </w:tcPr>
                <w:p w14:paraId="6C17B9ED">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Times New Roman" w:hAnsi="Times New Roman" w:cs="Times New Roman"/>
                      <w:b w:val="0"/>
                      <w:bCs/>
                      <w:color w:val="auto"/>
                      <w:szCs w:val="21"/>
                    </w:rPr>
                  </w:pPr>
                  <w:r>
                    <w:rPr>
                      <w:rFonts w:hint="default" w:ascii="Times New Roman" w:hAnsi="Times New Roman" w:cs="Times New Roman"/>
                      <w:color w:val="auto"/>
                      <w:sz w:val="21"/>
                      <w:szCs w:val="21"/>
                    </w:rPr>
                    <w:t>行驶扬尘、堆场扬尘等处理</w:t>
                  </w:r>
                </w:p>
              </w:tc>
            </w:tr>
            <w:tr w14:paraId="167F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7ED7046A">
                  <w:pPr>
                    <w:jc w:val="center"/>
                    <w:rPr>
                      <w:rFonts w:hint="eastAsia" w:ascii="Times New Roman" w:hAnsi="Times New Roman" w:cs="Times New Roman"/>
                      <w:b w:val="0"/>
                      <w:bCs/>
                      <w:color w:val="auto"/>
                      <w:szCs w:val="21"/>
                      <w:lang w:val="en-US" w:eastAsia="zh-CN"/>
                    </w:rPr>
                  </w:pPr>
                </w:p>
              </w:tc>
              <w:tc>
                <w:tcPr>
                  <w:tcW w:w="928" w:type="dxa"/>
                  <w:gridSpan w:val="2"/>
                  <w:vMerge w:val="continue"/>
                  <w:noWrap/>
                  <w:vAlign w:val="center"/>
                </w:tcPr>
                <w:p w14:paraId="105B7ED3">
                  <w:pPr>
                    <w:jc w:val="center"/>
                    <w:rPr>
                      <w:rFonts w:hint="eastAsia" w:ascii="Times New Roman" w:hAnsi="Times New Roman" w:cs="Times New Roman"/>
                      <w:b w:val="0"/>
                      <w:bCs/>
                      <w:color w:val="auto"/>
                      <w:szCs w:val="21"/>
                      <w:lang w:val="en-US" w:eastAsia="zh-CN"/>
                    </w:rPr>
                  </w:pPr>
                </w:p>
              </w:tc>
              <w:tc>
                <w:tcPr>
                  <w:tcW w:w="3219" w:type="dxa"/>
                  <w:noWrap/>
                  <w:vAlign w:val="center"/>
                </w:tcPr>
                <w:p w14:paraId="167163FB">
                  <w:pPr>
                    <w:pStyle w:val="58"/>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Times New Roman" w:hAnsi="Times New Roman" w:cs="Times New Roman"/>
                      <w:b w:val="0"/>
                      <w:bCs/>
                      <w:color w:val="auto"/>
                      <w:szCs w:val="21"/>
                    </w:rPr>
                  </w:pPr>
                  <w:r>
                    <w:rPr>
                      <w:rFonts w:hint="default" w:ascii="Times New Roman" w:hAnsi="Times New Roman" w:cs="Times New Roman"/>
                      <w:color w:val="auto"/>
                      <w:sz w:val="21"/>
                      <w:szCs w:val="21"/>
                    </w:rPr>
                    <w:t>临时排水渠道等生态保护和水土流失防止措施</w:t>
                  </w:r>
                </w:p>
              </w:tc>
              <w:tc>
                <w:tcPr>
                  <w:tcW w:w="1194" w:type="dxa"/>
                  <w:noWrap/>
                  <w:vAlign w:val="center"/>
                </w:tcPr>
                <w:p w14:paraId="2F62E43E">
                  <w:pPr>
                    <w:pStyle w:val="14"/>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0" w:firstLineChars="0"/>
                    <w:jc w:val="center"/>
                    <w:textAlignment w:val="auto"/>
                    <w:outlineLvl w:val="9"/>
                    <w:rPr>
                      <w:rFonts w:ascii="Times New Roman" w:hAnsi="Times New Roman" w:cs="Times New Roman"/>
                      <w:b w:val="0"/>
                      <w:bCs/>
                      <w:color w:val="auto"/>
                      <w:szCs w:val="21"/>
                    </w:rPr>
                  </w:pPr>
                  <w:r>
                    <w:rPr>
                      <w:rFonts w:hint="eastAsia"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万元</w:t>
                  </w:r>
                </w:p>
              </w:tc>
              <w:tc>
                <w:tcPr>
                  <w:tcW w:w="2695" w:type="dxa"/>
                  <w:noWrap/>
                  <w:vAlign w:val="center"/>
                </w:tcPr>
                <w:p w14:paraId="2681BD26">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Times New Roman" w:hAnsi="Times New Roman" w:cs="Times New Roman"/>
                      <w:b w:val="0"/>
                      <w:bCs/>
                      <w:color w:val="auto"/>
                      <w:szCs w:val="21"/>
                    </w:rPr>
                  </w:pPr>
                  <w:r>
                    <w:rPr>
                      <w:rFonts w:hint="default" w:ascii="Times New Roman" w:hAnsi="Times New Roman" w:cs="Times New Roman"/>
                      <w:color w:val="auto"/>
                      <w:sz w:val="21"/>
                      <w:szCs w:val="21"/>
                    </w:rPr>
                    <w:t>生态保护及施工物质流失防治</w:t>
                  </w:r>
                </w:p>
              </w:tc>
            </w:tr>
            <w:tr w14:paraId="67C5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restart"/>
                  <w:noWrap/>
                  <w:vAlign w:val="center"/>
                </w:tcPr>
                <w:p w14:paraId="6EF3DD6C">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2</w:t>
                  </w:r>
                </w:p>
              </w:tc>
              <w:tc>
                <w:tcPr>
                  <w:tcW w:w="474" w:type="dxa"/>
                  <w:vMerge w:val="restart"/>
                  <w:noWrap/>
                  <w:vAlign w:val="center"/>
                </w:tcPr>
                <w:p w14:paraId="0FB93C5B">
                  <w:pPr>
                    <w:jc w:val="center"/>
                    <w:rPr>
                      <w:rFonts w:ascii="Times New Roman" w:hAnsi="Times New Roman" w:cs="Times New Roman"/>
                      <w:color w:val="auto"/>
                      <w:szCs w:val="21"/>
                    </w:rPr>
                  </w:pPr>
                  <w:r>
                    <w:rPr>
                      <w:rFonts w:ascii="Times New Roman" w:hAnsi="Times New Roman" w:cs="Times New Roman"/>
                      <w:color w:val="auto"/>
                      <w:szCs w:val="21"/>
                    </w:rPr>
                    <w:t>营运期</w:t>
                  </w:r>
                </w:p>
              </w:tc>
              <w:tc>
                <w:tcPr>
                  <w:tcW w:w="454" w:type="dxa"/>
                  <w:vMerge w:val="restart"/>
                  <w:noWrap/>
                  <w:vAlign w:val="center"/>
                </w:tcPr>
                <w:p w14:paraId="3DE85F81">
                  <w:pPr>
                    <w:jc w:val="center"/>
                    <w:rPr>
                      <w:rFonts w:ascii="Times New Roman" w:hAnsi="Times New Roman" w:cs="Times New Roman"/>
                      <w:color w:val="auto"/>
                      <w:szCs w:val="21"/>
                    </w:rPr>
                  </w:pPr>
                  <w:r>
                    <w:rPr>
                      <w:rFonts w:ascii="Times New Roman" w:hAnsi="Times New Roman" w:cs="Times New Roman"/>
                      <w:color w:val="auto"/>
                      <w:szCs w:val="21"/>
                    </w:rPr>
                    <w:t>废气</w:t>
                  </w:r>
                </w:p>
              </w:tc>
              <w:tc>
                <w:tcPr>
                  <w:tcW w:w="3219" w:type="dxa"/>
                  <w:noWrap/>
                  <w:vAlign w:val="center"/>
                </w:tcPr>
                <w:p w14:paraId="2F02D4B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过滤棉+活性炭吸附装置等配套设施</w:t>
                  </w:r>
                </w:p>
              </w:tc>
              <w:tc>
                <w:tcPr>
                  <w:tcW w:w="1194" w:type="dxa"/>
                  <w:noWrap/>
                  <w:vAlign w:val="center"/>
                </w:tcPr>
                <w:p w14:paraId="2B032F35">
                  <w:pPr>
                    <w:jc w:val="center"/>
                    <w:rPr>
                      <w:rFonts w:ascii="Times New Roman" w:hAnsi="Times New Roman" w:eastAsia="宋体" w:cs="Times New Roman"/>
                      <w:color w:val="auto"/>
                      <w:szCs w:val="21"/>
                    </w:rPr>
                  </w:pPr>
                  <w:r>
                    <w:rPr>
                      <w:rFonts w:hint="eastAsia" w:ascii="Times New Roman" w:hAnsi="Times New Roman" w:cs="Times New Roman"/>
                      <w:color w:val="auto"/>
                      <w:szCs w:val="21"/>
                      <w:lang w:val="en-US" w:eastAsia="zh-CN"/>
                    </w:rPr>
                    <w:t>15</w:t>
                  </w:r>
                  <w:r>
                    <w:rPr>
                      <w:rFonts w:hint="eastAsia" w:ascii="Times New Roman" w:hAnsi="Times New Roman" w:cs="Times New Roman"/>
                      <w:color w:val="auto"/>
                      <w:szCs w:val="21"/>
                    </w:rPr>
                    <w:t>万元</w:t>
                  </w:r>
                </w:p>
              </w:tc>
              <w:tc>
                <w:tcPr>
                  <w:tcW w:w="2695" w:type="dxa"/>
                  <w:noWrap/>
                  <w:vAlign w:val="center"/>
                </w:tcPr>
                <w:p w14:paraId="04301199">
                  <w:pPr>
                    <w:jc w:val="center"/>
                    <w:rPr>
                      <w:rFonts w:hint="default" w:ascii="Times New Roman" w:hAnsi="Times New Roman" w:eastAsia="宋体" w:cs="Times New Roman"/>
                      <w:color w:val="auto"/>
                      <w:szCs w:val="21"/>
                      <w:lang w:val="en-US"/>
                    </w:rPr>
                  </w:pPr>
                  <w:r>
                    <w:rPr>
                      <w:rFonts w:hint="eastAsia" w:ascii="Times New Roman" w:hAnsi="Times New Roman" w:cs="Times New Roman"/>
                      <w:color w:val="auto"/>
                      <w:szCs w:val="21"/>
                      <w:lang w:val="en-US" w:eastAsia="zh-CN"/>
                    </w:rPr>
                    <w:t>焊锡、清洗废气处理</w:t>
                  </w:r>
                </w:p>
              </w:tc>
            </w:tr>
            <w:tr w14:paraId="131B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3D529129">
                  <w:pPr>
                    <w:jc w:val="center"/>
                    <w:rPr>
                      <w:rFonts w:hint="eastAsia" w:ascii="Times New Roman" w:hAnsi="Times New Roman" w:cs="Times New Roman"/>
                      <w:color w:val="auto"/>
                      <w:szCs w:val="21"/>
                    </w:rPr>
                  </w:pPr>
                </w:p>
              </w:tc>
              <w:tc>
                <w:tcPr>
                  <w:tcW w:w="474" w:type="dxa"/>
                  <w:vMerge w:val="continue"/>
                  <w:noWrap/>
                  <w:vAlign w:val="center"/>
                </w:tcPr>
                <w:p w14:paraId="32225568">
                  <w:pPr>
                    <w:jc w:val="center"/>
                    <w:rPr>
                      <w:rFonts w:ascii="Times New Roman" w:hAnsi="Times New Roman" w:cs="Times New Roman"/>
                      <w:color w:val="auto"/>
                      <w:szCs w:val="21"/>
                    </w:rPr>
                  </w:pPr>
                </w:p>
              </w:tc>
              <w:tc>
                <w:tcPr>
                  <w:tcW w:w="454" w:type="dxa"/>
                  <w:vMerge w:val="continue"/>
                  <w:noWrap/>
                  <w:vAlign w:val="center"/>
                </w:tcPr>
                <w:p w14:paraId="07B83EF7">
                  <w:pPr>
                    <w:jc w:val="center"/>
                    <w:rPr>
                      <w:rFonts w:ascii="Times New Roman" w:hAnsi="Times New Roman" w:cs="Times New Roman"/>
                      <w:color w:val="auto"/>
                      <w:szCs w:val="21"/>
                    </w:rPr>
                  </w:pPr>
                </w:p>
              </w:tc>
              <w:tc>
                <w:tcPr>
                  <w:tcW w:w="3219" w:type="dxa"/>
                  <w:noWrap/>
                  <w:vAlign w:val="center"/>
                </w:tcPr>
                <w:p w14:paraId="02849F2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活性炭吸附装置等配套设施</w:t>
                  </w:r>
                </w:p>
              </w:tc>
              <w:tc>
                <w:tcPr>
                  <w:tcW w:w="1194" w:type="dxa"/>
                  <w:noWrap/>
                  <w:vAlign w:val="center"/>
                </w:tcPr>
                <w:p w14:paraId="5F5209F8">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13万元</w:t>
                  </w:r>
                </w:p>
              </w:tc>
              <w:tc>
                <w:tcPr>
                  <w:tcW w:w="2695" w:type="dxa"/>
                  <w:noWrap/>
                  <w:vAlign w:val="center"/>
                </w:tcPr>
                <w:p w14:paraId="6B26C4CA">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塑封废气处理</w:t>
                  </w:r>
                </w:p>
              </w:tc>
            </w:tr>
            <w:tr w14:paraId="4B40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4271215D">
                  <w:pPr>
                    <w:jc w:val="center"/>
                    <w:rPr>
                      <w:rFonts w:hint="eastAsia" w:ascii="Times New Roman" w:hAnsi="Times New Roman" w:cs="Times New Roman"/>
                      <w:color w:val="auto"/>
                      <w:szCs w:val="21"/>
                    </w:rPr>
                  </w:pPr>
                </w:p>
              </w:tc>
              <w:tc>
                <w:tcPr>
                  <w:tcW w:w="474" w:type="dxa"/>
                  <w:vMerge w:val="continue"/>
                  <w:noWrap/>
                  <w:vAlign w:val="center"/>
                </w:tcPr>
                <w:p w14:paraId="554D0DBE">
                  <w:pPr>
                    <w:jc w:val="center"/>
                    <w:rPr>
                      <w:rFonts w:ascii="Times New Roman" w:hAnsi="Times New Roman" w:cs="Times New Roman"/>
                      <w:color w:val="auto"/>
                      <w:szCs w:val="21"/>
                    </w:rPr>
                  </w:pPr>
                </w:p>
              </w:tc>
              <w:tc>
                <w:tcPr>
                  <w:tcW w:w="454" w:type="dxa"/>
                  <w:vMerge w:val="continue"/>
                  <w:noWrap/>
                  <w:vAlign w:val="center"/>
                </w:tcPr>
                <w:p w14:paraId="4C59C14D">
                  <w:pPr>
                    <w:jc w:val="center"/>
                    <w:rPr>
                      <w:rFonts w:ascii="Times New Roman" w:hAnsi="Times New Roman" w:cs="Times New Roman"/>
                      <w:color w:val="auto"/>
                      <w:szCs w:val="21"/>
                    </w:rPr>
                  </w:pPr>
                </w:p>
              </w:tc>
              <w:tc>
                <w:tcPr>
                  <w:tcW w:w="3219" w:type="dxa"/>
                  <w:noWrap/>
                  <w:vAlign w:val="center"/>
                </w:tcPr>
                <w:p w14:paraId="60AB9B4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油烟净化器</w:t>
                  </w:r>
                </w:p>
              </w:tc>
              <w:tc>
                <w:tcPr>
                  <w:tcW w:w="1194" w:type="dxa"/>
                  <w:noWrap/>
                  <w:vAlign w:val="center"/>
                </w:tcPr>
                <w:p w14:paraId="2C22A0CD">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0.5万元</w:t>
                  </w:r>
                </w:p>
              </w:tc>
              <w:tc>
                <w:tcPr>
                  <w:tcW w:w="2695" w:type="dxa"/>
                  <w:noWrap/>
                  <w:vAlign w:val="center"/>
                </w:tcPr>
                <w:p w14:paraId="0CC35D11">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食堂油烟</w:t>
                  </w:r>
                </w:p>
              </w:tc>
            </w:tr>
            <w:tr w14:paraId="4078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7EE65812">
                  <w:pPr>
                    <w:jc w:val="center"/>
                    <w:rPr>
                      <w:rFonts w:ascii="Times New Roman" w:hAnsi="Times New Roman" w:cs="Times New Roman"/>
                      <w:color w:val="auto"/>
                      <w:szCs w:val="21"/>
                    </w:rPr>
                  </w:pPr>
                </w:p>
              </w:tc>
              <w:tc>
                <w:tcPr>
                  <w:tcW w:w="474" w:type="dxa"/>
                  <w:vMerge w:val="continue"/>
                  <w:noWrap/>
                  <w:vAlign w:val="center"/>
                </w:tcPr>
                <w:p w14:paraId="5BA2B37B">
                  <w:pPr>
                    <w:jc w:val="center"/>
                    <w:rPr>
                      <w:rFonts w:ascii="Times New Roman" w:hAnsi="Times New Roman" w:cs="Times New Roman"/>
                      <w:color w:val="auto"/>
                      <w:szCs w:val="21"/>
                    </w:rPr>
                  </w:pPr>
                </w:p>
              </w:tc>
              <w:tc>
                <w:tcPr>
                  <w:tcW w:w="454" w:type="dxa"/>
                  <w:noWrap/>
                  <w:vAlign w:val="center"/>
                </w:tcPr>
                <w:p w14:paraId="61F54176">
                  <w:pPr>
                    <w:jc w:val="center"/>
                    <w:rPr>
                      <w:rFonts w:ascii="Times New Roman" w:hAnsi="Times New Roman" w:cs="Times New Roman"/>
                      <w:color w:val="auto"/>
                      <w:szCs w:val="21"/>
                    </w:rPr>
                  </w:pPr>
                  <w:r>
                    <w:rPr>
                      <w:rFonts w:ascii="Times New Roman" w:hAnsi="Times New Roman" w:cs="Times New Roman"/>
                      <w:color w:val="auto"/>
                      <w:szCs w:val="21"/>
                    </w:rPr>
                    <w:t>废水</w:t>
                  </w:r>
                </w:p>
              </w:tc>
              <w:tc>
                <w:tcPr>
                  <w:tcW w:w="3219" w:type="dxa"/>
                  <w:noWrap/>
                  <w:vAlign w:val="center"/>
                </w:tcPr>
                <w:p w14:paraId="70C52D8D">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隔油池、化粪池</w:t>
                  </w:r>
                </w:p>
              </w:tc>
              <w:tc>
                <w:tcPr>
                  <w:tcW w:w="1194" w:type="dxa"/>
                  <w:noWrap/>
                  <w:vAlign w:val="center"/>
                </w:tcPr>
                <w:p w14:paraId="5D6015A4">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10万元</w:t>
                  </w:r>
                </w:p>
              </w:tc>
              <w:tc>
                <w:tcPr>
                  <w:tcW w:w="2695" w:type="dxa"/>
                  <w:noWrap/>
                  <w:vAlign w:val="center"/>
                </w:tcPr>
                <w:p w14:paraId="5628AA4C">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生活污水处理</w:t>
                  </w:r>
                </w:p>
              </w:tc>
            </w:tr>
            <w:tr w14:paraId="619A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721A793D">
                  <w:pPr>
                    <w:jc w:val="center"/>
                    <w:rPr>
                      <w:rFonts w:ascii="Times New Roman" w:hAnsi="Times New Roman" w:cs="Times New Roman"/>
                      <w:color w:val="auto"/>
                      <w:szCs w:val="21"/>
                    </w:rPr>
                  </w:pPr>
                </w:p>
              </w:tc>
              <w:tc>
                <w:tcPr>
                  <w:tcW w:w="474" w:type="dxa"/>
                  <w:vMerge w:val="continue"/>
                  <w:noWrap/>
                  <w:vAlign w:val="center"/>
                </w:tcPr>
                <w:p w14:paraId="2FC3CA2B">
                  <w:pPr>
                    <w:jc w:val="center"/>
                    <w:rPr>
                      <w:rFonts w:ascii="Times New Roman" w:hAnsi="Times New Roman" w:cs="Times New Roman"/>
                      <w:color w:val="auto"/>
                      <w:szCs w:val="21"/>
                    </w:rPr>
                  </w:pPr>
                </w:p>
              </w:tc>
              <w:tc>
                <w:tcPr>
                  <w:tcW w:w="454" w:type="dxa"/>
                  <w:noWrap/>
                  <w:vAlign w:val="center"/>
                </w:tcPr>
                <w:p w14:paraId="61ABF38C">
                  <w:pPr>
                    <w:jc w:val="center"/>
                    <w:rPr>
                      <w:rFonts w:ascii="Times New Roman" w:hAnsi="Times New Roman" w:cs="Times New Roman"/>
                      <w:color w:val="auto"/>
                      <w:szCs w:val="21"/>
                    </w:rPr>
                  </w:pPr>
                  <w:r>
                    <w:rPr>
                      <w:rFonts w:ascii="Times New Roman" w:hAnsi="Times New Roman" w:cs="Times New Roman"/>
                      <w:color w:val="auto"/>
                      <w:szCs w:val="21"/>
                    </w:rPr>
                    <w:t>噪声</w:t>
                  </w:r>
                </w:p>
              </w:tc>
              <w:tc>
                <w:tcPr>
                  <w:tcW w:w="3219" w:type="dxa"/>
                  <w:noWrap/>
                  <w:vAlign w:val="center"/>
                </w:tcPr>
                <w:p w14:paraId="0FC01E04">
                  <w:pPr>
                    <w:jc w:val="center"/>
                    <w:rPr>
                      <w:rFonts w:ascii="Times New Roman" w:hAnsi="Times New Roman" w:cs="Times New Roman"/>
                      <w:color w:val="auto"/>
                      <w:szCs w:val="21"/>
                    </w:rPr>
                  </w:pPr>
                  <w:r>
                    <w:rPr>
                      <w:rFonts w:ascii="Times New Roman" w:hAnsi="Times New Roman" w:cs="Times New Roman"/>
                      <w:color w:val="auto"/>
                      <w:szCs w:val="21"/>
                    </w:rPr>
                    <w:t>噪声防治</w:t>
                  </w:r>
                </w:p>
              </w:tc>
              <w:tc>
                <w:tcPr>
                  <w:tcW w:w="1194" w:type="dxa"/>
                  <w:noWrap/>
                  <w:vAlign w:val="center"/>
                </w:tcPr>
                <w:p w14:paraId="65F70069">
                  <w:pPr>
                    <w:jc w:val="center"/>
                    <w:rPr>
                      <w:rFonts w:ascii="Times New Roman" w:hAnsi="Times New Roman" w:cs="Times New Roman"/>
                      <w:color w:val="auto"/>
                      <w:szCs w:val="21"/>
                    </w:rPr>
                  </w:pPr>
                  <w:r>
                    <w:rPr>
                      <w:rFonts w:hint="eastAsia" w:ascii="Times New Roman" w:hAnsi="Times New Roman" w:cs="Times New Roman"/>
                      <w:color w:val="auto"/>
                      <w:szCs w:val="21"/>
                    </w:rPr>
                    <w:t>5</w:t>
                  </w:r>
                  <w:r>
                    <w:rPr>
                      <w:rFonts w:ascii="Times New Roman" w:hAnsi="Times New Roman" w:cs="Times New Roman"/>
                      <w:color w:val="auto"/>
                      <w:szCs w:val="21"/>
                    </w:rPr>
                    <w:t>万元</w:t>
                  </w:r>
                </w:p>
              </w:tc>
              <w:tc>
                <w:tcPr>
                  <w:tcW w:w="2695" w:type="dxa"/>
                  <w:noWrap/>
                  <w:vAlign w:val="center"/>
                </w:tcPr>
                <w:p w14:paraId="7736D302">
                  <w:pPr>
                    <w:jc w:val="center"/>
                    <w:rPr>
                      <w:rFonts w:hint="default" w:ascii="Times New Roman" w:hAnsi="Times New Roman" w:cs="Times New Roman" w:eastAsiaTheme="minorEastAsia"/>
                      <w:color w:val="auto"/>
                      <w:szCs w:val="21"/>
                      <w:lang w:val="en-US" w:eastAsia="zh-CN"/>
                    </w:rPr>
                  </w:pPr>
                  <w:r>
                    <w:rPr>
                      <w:rFonts w:ascii="Times New Roman" w:hAnsi="Times New Roman" w:cs="Times New Roman"/>
                      <w:color w:val="auto"/>
                      <w:szCs w:val="21"/>
                    </w:rPr>
                    <w:t>减</w:t>
                  </w:r>
                  <w:r>
                    <w:rPr>
                      <w:rFonts w:hint="eastAsia" w:ascii="Times New Roman" w:hAnsi="Times New Roman" w:cs="Times New Roman"/>
                      <w:color w:val="auto"/>
                      <w:szCs w:val="21"/>
                      <w:lang w:val="en-US" w:eastAsia="zh-CN"/>
                    </w:rPr>
                    <w:t>振</w:t>
                  </w:r>
                  <w:r>
                    <w:rPr>
                      <w:rFonts w:ascii="Times New Roman" w:hAnsi="Times New Roman" w:cs="Times New Roman"/>
                      <w:color w:val="auto"/>
                      <w:szCs w:val="21"/>
                    </w:rPr>
                    <w:t>垫、</w:t>
                  </w:r>
                  <w:r>
                    <w:rPr>
                      <w:rFonts w:hint="eastAsia" w:ascii="Times New Roman" w:hAnsi="Times New Roman" w:cs="Times New Roman"/>
                      <w:color w:val="auto"/>
                      <w:szCs w:val="21"/>
                      <w:lang w:val="en-US" w:eastAsia="zh-CN"/>
                    </w:rPr>
                    <w:t>设备维护等</w:t>
                  </w:r>
                </w:p>
              </w:tc>
            </w:tr>
            <w:tr w14:paraId="3948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60D85658">
                  <w:pPr>
                    <w:jc w:val="center"/>
                    <w:rPr>
                      <w:rFonts w:ascii="Times New Roman" w:hAnsi="Times New Roman" w:cs="Times New Roman"/>
                      <w:color w:val="auto"/>
                      <w:szCs w:val="21"/>
                    </w:rPr>
                  </w:pPr>
                </w:p>
              </w:tc>
              <w:tc>
                <w:tcPr>
                  <w:tcW w:w="474" w:type="dxa"/>
                  <w:vMerge w:val="continue"/>
                  <w:noWrap/>
                  <w:vAlign w:val="center"/>
                </w:tcPr>
                <w:p w14:paraId="631CA760">
                  <w:pPr>
                    <w:jc w:val="center"/>
                    <w:rPr>
                      <w:rFonts w:ascii="Times New Roman" w:hAnsi="Times New Roman" w:cs="Times New Roman"/>
                      <w:color w:val="auto"/>
                      <w:szCs w:val="21"/>
                    </w:rPr>
                  </w:pPr>
                </w:p>
              </w:tc>
              <w:tc>
                <w:tcPr>
                  <w:tcW w:w="454" w:type="dxa"/>
                  <w:vMerge w:val="restart"/>
                  <w:noWrap/>
                  <w:vAlign w:val="center"/>
                </w:tcPr>
                <w:p w14:paraId="4F212AF9">
                  <w:pPr>
                    <w:jc w:val="center"/>
                    <w:rPr>
                      <w:rFonts w:ascii="Times New Roman" w:hAnsi="Times New Roman" w:cs="Times New Roman"/>
                      <w:color w:val="auto"/>
                      <w:szCs w:val="21"/>
                    </w:rPr>
                  </w:pPr>
                  <w:r>
                    <w:rPr>
                      <w:rFonts w:ascii="Times New Roman" w:hAnsi="Times New Roman" w:cs="Times New Roman"/>
                      <w:color w:val="auto"/>
                      <w:szCs w:val="21"/>
                    </w:rPr>
                    <w:t>固废</w:t>
                  </w:r>
                </w:p>
              </w:tc>
              <w:tc>
                <w:tcPr>
                  <w:tcW w:w="3219" w:type="dxa"/>
                  <w:noWrap/>
                  <w:vAlign w:val="center"/>
                </w:tcPr>
                <w:p w14:paraId="69315EF2">
                  <w:pPr>
                    <w:jc w:val="center"/>
                    <w:rPr>
                      <w:rFonts w:ascii="Times New Roman" w:hAnsi="Times New Roman" w:cs="Times New Roman"/>
                      <w:color w:val="auto"/>
                      <w:szCs w:val="21"/>
                    </w:rPr>
                  </w:pPr>
                  <w:r>
                    <w:rPr>
                      <w:rFonts w:ascii="Times New Roman" w:hAnsi="Times New Roman" w:cs="Times New Roman"/>
                      <w:color w:val="auto"/>
                      <w:szCs w:val="21"/>
                    </w:rPr>
                    <w:t>一般固废暂存设施</w:t>
                  </w:r>
                </w:p>
              </w:tc>
              <w:tc>
                <w:tcPr>
                  <w:tcW w:w="1194" w:type="dxa"/>
                  <w:noWrap/>
                  <w:vAlign w:val="center"/>
                </w:tcPr>
                <w:p w14:paraId="688B1596">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1万元</w:t>
                  </w:r>
                </w:p>
              </w:tc>
              <w:tc>
                <w:tcPr>
                  <w:tcW w:w="2695" w:type="dxa"/>
                  <w:noWrap/>
                  <w:vAlign w:val="center"/>
                </w:tcPr>
                <w:p w14:paraId="3D1B6164">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一般固废暂存</w:t>
                  </w:r>
                </w:p>
              </w:tc>
            </w:tr>
            <w:tr w14:paraId="6BEF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noWrap/>
                  <w:vAlign w:val="center"/>
                </w:tcPr>
                <w:p w14:paraId="6B280587">
                  <w:pPr>
                    <w:jc w:val="center"/>
                    <w:rPr>
                      <w:rFonts w:ascii="Times New Roman" w:hAnsi="Times New Roman" w:cs="Times New Roman"/>
                      <w:color w:val="FF0000"/>
                      <w:szCs w:val="21"/>
                    </w:rPr>
                  </w:pPr>
                </w:p>
              </w:tc>
              <w:tc>
                <w:tcPr>
                  <w:tcW w:w="474" w:type="dxa"/>
                  <w:vMerge w:val="continue"/>
                  <w:noWrap/>
                  <w:vAlign w:val="center"/>
                </w:tcPr>
                <w:p w14:paraId="295CB07B">
                  <w:pPr>
                    <w:jc w:val="center"/>
                    <w:rPr>
                      <w:rFonts w:ascii="Times New Roman" w:hAnsi="Times New Roman" w:cs="Times New Roman"/>
                      <w:color w:val="FF0000"/>
                      <w:szCs w:val="21"/>
                    </w:rPr>
                  </w:pPr>
                </w:p>
              </w:tc>
              <w:tc>
                <w:tcPr>
                  <w:tcW w:w="454" w:type="dxa"/>
                  <w:vMerge w:val="continue"/>
                  <w:noWrap/>
                  <w:vAlign w:val="center"/>
                </w:tcPr>
                <w:p w14:paraId="4AAE6CBB">
                  <w:pPr>
                    <w:jc w:val="center"/>
                    <w:rPr>
                      <w:rFonts w:ascii="Times New Roman" w:hAnsi="Times New Roman" w:cs="Times New Roman"/>
                      <w:color w:val="FF0000"/>
                      <w:szCs w:val="21"/>
                    </w:rPr>
                  </w:pPr>
                </w:p>
              </w:tc>
              <w:tc>
                <w:tcPr>
                  <w:tcW w:w="3219" w:type="dxa"/>
                  <w:noWrap/>
                  <w:vAlign w:val="center"/>
                </w:tcPr>
                <w:p w14:paraId="27B589D3">
                  <w:pPr>
                    <w:jc w:val="center"/>
                    <w:rPr>
                      <w:rFonts w:ascii="Times New Roman" w:hAnsi="Times New Roman" w:cs="Times New Roman"/>
                      <w:color w:val="auto"/>
                      <w:szCs w:val="21"/>
                    </w:rPr>
                  </w:pPr>
                  <w:r>
                    <w:rPr>
                      <w:rFonts w:ascii="Times New Roman" w:hAnsi="Times New Roman" w:cs="Times New Roman"/>
                      <w:color w:val="auto"/>
                      <w:szCs w:val="21"/>
                    </w:rPr>
                    <w:t>危险废物暂存设施</w:t>
                  </w:r>
                </w:p>
              </w:tc>
              <w:tc>
                <w:tcPr>
                  <w:tcW w:w="1194" w:type="dxa"/>
                  <w:noWrap/>
                  <w:vAlign w:val="center"/>
                </w:tcPr>
                <w:p w14:paraId="3B7F762A">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10万元</w:t>
                  </w:r>
                </w:p>
              </w:tc>
              <w:tc>
                <w:tcPr>
                  <w:tcW w:w="2695" w:type="dxa"/>
                  <w:noWrap/>
                  <w:vAlign w:val="center"/>
                </w:tcPr>
                <w:p w14:paraId="3A36BCEB">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危废仓库</w:t>
                  </w:r>
                </w:p>
              </w:tc>
            </w:tr>
            <w:tr w14:paraId="1206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5" w:type="dxa"/>
                  <w:gridSpan w:val="4"/>
                  <w:noWrap/>
                  <w:vAlign w:val="center"/>
                </w:tcPr>
                <w:p w14:paraId="309217BD">
                  <w:pPr>
                    <w:jc w:val="center"/>
                    <w:rPr>
                      <w:rFonts w:ascii="Times New Roman" w:hAnsi="Times New Roman" w:cs="Times New Roman"/>
                      <w:color w:val="FF0000"/>
                      <w:szCs w:val="21"/>
                    </w:rPr>
                  </w:pPr>
                  <w:r>
                    <w:rPr>
                      <w:rFonts w:ascii="Times New Roman" w:hAnsi="Times New Roman" w:cs="Times New Roman"/>
                      <w:color w:val="auto"/>
                      <w:szCs w:val="21"/>
                    </w:rPr>
                    <w:t>合计</w:t>
                  </w:r>
                </w:p>
              </w:tc>
              <w:tc>
                <w:tcPr>
                  <w:tcW w:w="3889" w:type="dxa"/>
                  <w:gridSpan w:val="2"/>
                  <w:noWrap/>
                  <w:vAlign w:val="center"/>
                </w:tcPr>
                <w:p w14:paraId="5E1E3CB2">
                  <w:pPr>
                    <w:jc w:val="center"/>
                    <w:rPr>
                      <w:rFonts w:ascii="Times New Roman" w:hAnsi="Times New Roman" w:cs="Times New Roman"/>
                      <w:color w:val="FF0000"/>
                      <w:szCs w:val="21"/>
                    </w:rPr>
                  </w:pPr>
                  <w:r>
                    <w:rPr>
                      <w:rFonts w:hint="eastAsia" w:ascii="Times New Roman" w:hAnsi="Times New Roman" w:cs="Times New Roman"/>
                      <w:color w:val="auto"/>
                      <w:szCs w:val="21"/>
                      <w:lang w:val="en-US" w:eastAsia="zh-CN"/>
                    </w:rPr>
                    <w:t>71.5</w:t>
                  </w:r>
                  <w:r>
                    <w:rPr>
                      <w:rFonts w:ascii="Times New Roman" w:hAnsi="Times New Roman" w:cs="Times New Roman"/>
                      <w:color w:val="auto"/>
                      <w:szCs w:val="21"/>
                    </w:rPr>
                    <w:t>万元</w:t>
                  </w:r>
                </w:p>
              </w:tc>
            </w:tr>
          </w:tbl>
          <w:p w14:paraId="17E1F223">
            <w:pPr>
              <w:rPr>
                <w:color w:val="FF0000"/>
              </w:rPr>
            </w:pPr>
          </w:p>
          <w:p w14:paraId="23AE6C1D">
            <w:pPr>
              <w:rPr>
                <w:color w:val="FF0000"/>
              </w:rPr>
            </w:pPr>
          </w:p>
          <w:p w14:paraId="39A62A5B">
            <w:pPr>
              <w:rPr>
                <w:color w:val="FF0000"/>
              </w:rPr>
            </w:pPr>
          </w:p>
        </w:tc>
      </w:tr>
    </w:tbl>
    <w:p w14:paraId="498F235B">
      <w:pPr>
        <w:rPr>
          <w:rFonts w:hint="eastAsia"/>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7D45FA4">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rPr>
      </w:pPr>
      <w:bookmarkStart w:id="16" w:name="_Toc13984"/>
      <w:r>
        <w:rPr>
          <w:rFonts w:hint="eastAsia" w:ascii="黑体" w:hAnsi="黑体" w:eastAsia="黑体" w:cs="黑体"/>
          <w:b w:val="0"/>
          <w:bCs/>
          <w:color w:val="auto"/>
          <w:sz w:val="30"/>
          <w:szCs w:val="30"/>
        </w:rPr>
        <w:t>五、环境保护措施监督检查清单</w:t>
      </w:r>
      <w:bookmarkEnd w:id="16"/>
    </w:p>
    <w:tbl>
      <w:tblPr>
        <w:tblStyle w:val="23"/>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86"/>
        <w:gridCol w:w="1049"/>
        <w:gridCol w:w="1067"/>
        <w:gridCol w:w="2971"/>
        <w:gridCol w:w="2716"/>
      </w:tblGrid>
      <w:tr w14:paraId="1BA8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gridSpan w:val="2"/>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14:paraId="30DD23F9">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 xml:space="preserve">          </w:t>
            </w:r>
          </w:p>
          <w:p w14:paraId="1A5AC997">
            <w:pPr>
              <w:adjustRightInd w:val="0"/>
              <w:snapToGrid w:val="0"/>
              <w:jc w:val="center"/>
              <w:rPr>
                <w:rFonts w:hint="default" w:ascii="Times New Roman" w:hAnsi="Times New Roman" w:cs="Times New Roman"/>
                <w:b/>
                <w:bCs/>
                <w:color w:val="auto"/>
                <w:sz w:val="21"/>
                <w:szCs w:val="21"/>
                <w:highlight w:val="none"/>
              </w:rPr>
            </w:pPr>
          </w:p>
          <w:p w14:paraId="62453292">
            <w:pPr>
              <w:adjustRightInd w:val="0"/>
              <w:snapToGrid w:val="0"/>
              <w:jc w:val="left"/>
              <mc:AlternateContent>
                <mc:Choice Requires="wpsCustomData">
                  <wpsCustomData:diagonalParaType/>
                </mc:Choice>
              </mc:AlternateContent>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要素</w:t>
            </w:r>
          </w:p>
          <w:p w14:paraId="79D255F2">
            <w:pPr>
              <w:adjustRightInd w:val="0"/>
              <w:snapToGrid w:val="0"/>
              <w:ind w:firstLine="211" w:firstLineChars="100"/>
              <w:jc w:val="right"/>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内容</w:t>
            </w:r>
          </w:p>
        </w:tc>
        <w:tc>
          <w:tcPr>
            <w:tcW w:w="578" w:type="pct"/>
            <w:tcBorders>
              <w:tl2br w:val="nil"/>
              <w:tr2bl w:val="nil"/>
            </w:tcBorders>
            <w:vAlign w:val="center"/>
          </w:tcPr>
          <w:p w14:paraId="03937EA8">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排放口(编号、名称)/污染源</w:t>
            </w:r>
          </w:p>
        </w:tc>
        <w:tc>
          <w:tcPr>
            <w:tcW w:w="588" w:type="pct"/>
            <w:tcBorders>
              <w:tl2br w:val="nil"/>
              <w:tr2bl w:val="nil"/>
            </w:tcBorders>
            <w:vAlign w:val="center"/>
          </w:tcPr>
          <w:p w14:paraId="3B189851">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1637" w:type="pct"/>
            <w:tcBorders>
              <w:tl2br w:val="nil"/>
              <w:tr2bl w:val="nil"/>
            </w:tcBorders>
            <w:vAlign w:val="center"/>
          </w:tcPr>
          <w:p w14:paraId="52D4D454">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1497" w:type="pct"/>
            <w:tcBorders>
              <w:tl2br w:val="nil"/>
              <w:tr2bl w:val="nil"/>
            </w:tcBorders>
            <w:vAlign w:val="center"/>
          </w:tcPr>
          <w:p w14:paraId="7FF548FC">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能够达到标准</w:t>
            </w:r>
          </w:p>
        </w:tc>
      </w:tr>
      <w:tr w14:paraId="12B9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tcBorders>
              <w:tl2br w:val="nil"/>
              <w:tr2bl w:val="nil"/>
            </w:tcBorders>
            <w:vAlign w:val="center"/>
          </w:tcPr>
          <w:p w14:paraId="3D38ABD7">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大气环境</w:t>
            </w:r>
          </w:p>
        </w:tc>
        <w:tc>
          <w:tcPr>
            <w:tcW w:w="323" w:type="pct"/>
            <w:vMerge w:val="restart"/>
            <w:tcBorders>
              <w:tl2br w:val="nil"/>
              <w:tr2bl w:val="nil"/>
            </w:tcBorders>
            <w:vAlign w:val="center"/>
          </w:tcPr>
          <w:p w14:paraId="64183DD9">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营运期</w:t>
            </w:r>
          </w:p>
        </w:tc>
        <w:tc>
          <w:tcPr>
            <w:tcW w:w="578" w:type="pct"/>
            <w:tcBorders>
              <w:tl2br w:val="nil"/>
              <w:tr2bl w:val="nil"/>
            </w:tcBorders>
            <w:vAlign w:val="center"/>
          </w:tcPr>
          <w:p w14:paraId="3526B281">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焊锡、清洗废气</w:t>
            </w:r>
          </w:p>
          <w:p w14:paraId="23B1140A">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DA001</w:t>
            </w:r>
          </w:p>
        </w:tc>
        <w:tc>
          <w:tcPr>
            <w:tcW w:w="588" w:type="pct"/>
            <w:tcBorders>
              <w:tl2br w:val="nil"/>
              <w:tr2bl w:val="nil"/>
            </w:tcBorders>
            <w:vAlign w:val="center"/>
          </w:tcPr>
          <w:p w14:paraId="5F3140B2">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非甲烷总烃、臭气浓度、颗粒物、锡及其化合物</w:t>
            </w:r>
          </w:p>
        </w:tc>
        <w:tc>
          <w:tcPr>
            <w:tcW w:w="1637" w:type="pct"/>
            <w:tcBorders>
              <w:tl2br w:val="nil"/>
              <w:tr2bl w:val="nil"/>
            </w:tcBorders>
            <w:vAlign w:val="center"/>
          </w:tcPr>
          <w:p w14:paraId="4C5B029E">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每个焊锡工位及超声波清洗机上方均设置一个吸风罩</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废气经收集后通过过滤棉+活性炭吸附装置处理，尾气通过不低于15m排气筒（DA001）排放</w:t>
            </w:r>
          </w:p>
        </w:tc>
        <w:tc>
          <w:tcPr>
            <w:tcW w:w="1497" w:type="pct"/>
            <w:tcBorders>
              <w:tl2br w:val="nil"/>
              <w:tr2bl w:val="nil"/>
            </w:tcBorders>
            <w:vAlign w:val="center"/>
          </w:tcPr>
          <w:p w14:paraId="517B7FB0">
            <w:pPr>
              <w:wordWrap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《大气污染物综合排放标准》（GB16297-1996）中的“新污染源、二级标准”</w:t>
            </w:r>
            <w:r>
              <w:rPr>
                <w:rFonts w:hint="eastAsia" w:ascii="Times New Roman" w:hAnsi="Times New Roman" w:cs="Times New Roman"/>
                <w:color w:val="auto"/>
                <w:sz w:val="21"/>
                <w:szCs w:val="21"/>
                <w:lang w:val="en-US" w:eastAsia="zh-CN"/>
              </w:rPr>
              <w:t>和表2无组织排放监控浓度限值；《恶臭污染物排放标准》（GB14554-93）表2标准值和表 1“二级、新扩改建”标准值</w:t>
            </w:r>
          </w:p>
        </w:tc>
      </w:tr>
      <w:tr w14:paraId="172C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2CC33633">
            <w:pPr>
              <w:jc w:val="center"/>
              <w:rPr>
                <w:rFonts w:hint="default" w:ascii="Times New Roman" w:hAnsi="Times New Roman" w:eastAsia="宋体" w:cs="Times New Roman"/>
                <w:b/>
                <w:bCs/>
                <w:color w:val="FF0000"/>
                <w:sz w:val="21"/>
                <w:szCs w:val="21"/>
                <w:highlight w:val="none"/>
              </w:rPr>
            </w:pPr>
          </w:p>
        </w:tc>
        <w:tc>
          <w:tcPr>
            <w:tcW w:w="323" w:type="pct"/>
            <w:vMerge w:val="continue"/>
            <w:tcBorders>
              <w:tl2br w:val="nil"/>
              <w:tr2bl w:val="nil"/>
            </w:tcBorders>
            <w:vAlign w:val="center"/>
          </w:tcPr>
          <w:p w14:paraId="60818481">
            <w:pPr>
              <w:jc w:val="center"/>
              <w:rPr>
                <w:rFonts w:hint="default" w:ascii="Times New Roman" w:hAnsi="Times New Roman" w:cs="Times New Roman"/>
                <w:b/>
                <w:bCs/>
                <w:color w:val="FF0000"/>
                <w:sz w:val="21"/>
                <w:szCs w:val="21"/>
                <w:highlight w:val="none"/>
              </w:rPr>
            </w:pPr>
          </w:p>
        </w:tc>
        <w:tc>
          <w:tcPr>
            <w:tcW w:w="578" w:type="pct"/>
            <w:tcBorders>
              <w:tl2br w:val="nil"/>
              <w:tr2bl w:val="nil"/>
            </w:tcBorders>
            <w:vAlign w:val="center"/>
          </w:tcPr>
          <w:p w14:paraId="384098C2">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塑封废气DA002</w:t>
            </w:r>
          </w:p>
        </w:tc>
        <w:tc>
          <w:tcPr>
            <w:tcW w:w="588" w:type="pct"/>
            <w:tcBorders>
              <w:tl2br w:val="nil"/>
              <w:tr2bl w:val="nil"/>
            </w:tcBorders>
            <w:vAlign w:val="center"/>
          </w:tcPr>
          <w:p w14:paraId="1AC8E26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sz w:val="21"/>
                <w:szCs w:val="21"/>
                <w:highlight w:val="none"/>
                <w:lang w:val="en-US" w:eastAsia="zh-CN"/>
              </w:rPr>
              <w:t>非甲烷总烃、臭气浓度、苯乙烯</w:t>
            </w:r>
          </w:p>
        </w:tc>
        <w:tc>
          <w:tcPr>
            <w:tcW w:w="1637" w:type="pct"/>
            <w:tcBorders>
              <w:tl2br w:val="nil"/>
              <w:tr2bl w:val="nil"/>
            </w:tcBorders>
            <w:vAlign w:val="center"/>
          </w:tcPr>
          <w:p w14:paraId="09D37E13">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企业设置单独密闭车间，对车间采用整体微负压换风形式，废气收集后通过一套活性炭吸附装置处理，尾气通过一根不低于15m排气筒（DA002）排放</w:t>
            </w:r>
          </w:p>
        </w:tc>
        <w:tc>
          <w:tcPr>
            <w:tcW w:w="1497" w:type="pct"/>
            <w:tcBorders>
              <w:tl2br w:val="nil"/>
              <w:tr2bl w:val="nil"/>
            </w:tcBorders>
            <w:vAlign w:val="center"/>
          </w:tcPr>
          <w:p w14:paraId="190762A8">
            <w:pPr>
              <w:wordWrap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《合成树脂工业污染物排放标准》（GB31572-2015）</w:t>
            </w:r>
            <w:r>
              <w:rPr>
                <w:rFonts w:hint="eastAsia" w:ascii="Times New Roman" w:hAnsi="Times New Roman" w:cs="Times New Roman"/>
                <w:color w:val="auto"/>
                <w:sz w:val="21"/>
                <w:szCs w:val="21"/>
                <w:lang w:val="en-US" w:eastAsia="zh-CN"/>
              </w:rPr>
              <w:t>（含2024年修改单）</w:t>
            </w:r>
            <w:r>
              <w:rPr>
                <w:rFonts w:hint="default" w:ascii="Times New Roman" w:hAnsi="Times New Roman" w:cs="Times New Roman" w:eastAsiaTheme="minorEastAsia"/>
                <w:color w:val="auto"/>
                <w:sz w:val="21"/>
                <w:szCs w:val="21"/>
                <w:lang w:val="en-US" w:eastAsia="zh-CN"/>
              </w:rPr>
              <w:t>表5及表9的标准限值要求</w:t>
            </w:r>
            <w:r>
              <w:rPr>
                <w:rFonts w:hint="eastAsia" w:ascii="Times New Roman" w:hAnsi="Times New Roman" w:cs="Times New Roman"/>
                <w:color w:val="auto"/>
                <w:sz w:val="21"/>
                <w:szCs w:val="21"/>
                <w:lang w:val="en-US" w:eastAsia="zh-CN"/>
              </w:rPr>
              <w:t>；《恶臭污染物排放标准》（GB14554-93）的二级标准</w:t>
            </w:r>
          </w:p>
        </w:tc>
      </w:tr>
      <w:tr w14:paraId="6A3E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3AA5BAAF">
            <w:pPr>
              <w:jc w:val="center"/>
              <w:rPr>
                <w:rFonts w:hint="default" w:ascii="Times New Roman" w:hAnsi="Times New Roman" w:eastAsia="宋体" w:cs="Times New Roman"/>
                <w:b/>
                <w:bCs/>
                <w:color w:val="FF0000"/>
                <w:sz w:val="21"/>
                <w:szCs w:val="21"/>
                <w:highlight w:val="none"/>
              </w:rPr>
            </w:pPr>
          </w:p>
        </w:tc>
        <w:tc>
          <w:tcPr>
            <w:tcW w:w="323" w:type="pct"/>
            <w:vMerge w:val="continue"/>
            <w:tcBorders>
              <w:tl2br w:val="nil"/>
              <w:tr2bl w:val="nil"/>
            </w:tcBorders>
            <w:vAlign w:val="center"/>
          </w:tcPr>
          <w:p w14:paraId="17C7A736">
            <w:pPr>
              <w:jc w:val="center"/>
              <w:rPr>
                <w:rFonts w:hint="default" w:ascii="Times New Roman" w:hAnsi="Times New Roman" w:cs="Times New Roman"/>
                <w:b/>
                <w:bCs/>
                <w:color w:val="FF0000"/>
                <w:sz w:val="21"/>
                <w:szCs w:val="21"/>
                <w:highlight w:val="none"/>
              </w:rPr>
            </w:pPr>
          </w:p>
        </w:tc>
        <w:tc>
          <w:tcPr>
            <w:tcW w:w="578" w:type="pct"/>
            <w:tcBorders>
              <w:tl2br w:val="nil"/>
              <w:tr2bl w:val="nil"/>
            </w:tcBorders>
            <w:vAlign w:val="center"/>
          </w:tcPr>
          <w:p w14:paraId="69088EBF">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食堂油烟废气</w:t>
            </w:r>
          </w:p>
        </w:tc>
        <w:tc>
          <w:tcPr>
            <w:tcW w:w="588" w:type="pct"/>
            <w:tcBorders>
              <w:tl2br w:val="nil"/>
              <w:tr2bl w:val="nil"/>
            </w:tcBorders>
            <w:vAlign w:val="center"/>
          </w:tcPr>
          <w:p w14:paraId="568B1E8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油烟</w:t>
            </w:r>
          </w:p>
        </w:tc>
        <w:tc>
          <w:tcPr>
            <w:tcW w:w="1637" w:type="pct"/>
            <w:tcBorders>
              <w:tl2br w:val="nil"/>
              <w:tr2bl w:val="nil"/>
            </w:tcBorders>
            <w:vAlign w:val="center"/>
          </w:tcPr>
          <w:p w14:paraId="35F4EA51">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经油烟净化器处理后于屋顶排放</w:t>
            </w:r>
          </w:p>
        </w:tc>
        <w:tc>
          <w:tcPr>
            <w:tcW w:w="1497" w:type="pct"/>
            <w:tcBorders>
              <w:tl2br w:val="nil"/>
              <w:tr2bl w:val="nil"/>
            </w:tcBorders>
            <w:vAlign w:val="center"/>
          </w:tcPr>
          <w:p w14:paraId="289A1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《饮食业油烟排放标准（试行）》（GB18483-2001）中的小型规模标准</w:t>
            </w:r>
          </w:p>
        </w:tc>
      </w:tr>
      <w:tr w14:paraId="3F3D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tcBorders>
              <w:tl2br w:val="nil"/>
              <w:tr2bl w:val="nil"/>
            </w:tcBorders>
            <w:vAlign w:val="center"/>
          </w:tcPr>
          <w:p w14:paraId="0E75AAB2">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地表水环境</w:t>
            </w:r>
          </w:p>
        </w:tc>
        <w:tc>
          <w:tcPr>
            <w:tcW w:w="323" w:type="pct"/>
            <w:vMerge w:val="restart"/>
            <w:tcBorders>
              <w:tl2br w:val="nil"/>
              <w:tr2bl w:val="nil"/>
            </w:tcBorders>
            <w:vAlign w:val="center"/>
          </w:tcPr>
          <w:p w14:paraId="33C55A31">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营运期</w:t>
            </w:r>
          </w:p>
        </w:tc>
        <w:tc>
          <w:tcPr>
            <w:tcW w:w="578" w:type="pct"/>
            <w:tcBorders>
              <w:tl2br w:val="nil"/>
              <w:tr2bl w:val="nil"/>
            </w:tcBorders>
            <w:vAlign w:val="center"/>
          </w:tcPr>
          <w:p w14:paraId="2254E09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w:t>
            </w:r>
          </w:p>
        </w:tc>
        <w:tc>
          <w:tcPr>
            <w:tcW w:w="588" w:type="pct"/>
            <w:tcBorders>
              <w:tl2br w:val="nil"/>
              <w:tr2bl w:val="nil"/>
            </w:tcBorders>
            <w:vAlign w:val="center"/>
          </w:tcPr>
          <w:p w14:paraId="28FC02B3">
            <w:pPr>
              <w:jc w:val="center"/>
              <w:rPr>
                <w:rFonts w:hint="default" w:ascii="Times New Roman" w:hAnsi="Times New Roman" w:eastAsia="宋体" w:cs="Times New Roman"/>
                <w:bCs/>
                <w:color w:val="auto"/>
                <w:sz w:val="21"/>
                <w:szCs w:val="21"/>
              </w:rPr>
            </w:pP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vertAlign w:val="subscript"/>
              </w:rPr>
              <w:t>Cr</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637" w:type="pct"/>
            <w:tcBorders>
              <w:tl2br w:val="nil"/>
              <w:tr2bl w:val="nil"/>
            </w:tcBorders>
            <w:vAlign w:val="center"/>
          </w:tcPr>
          <w:p w14:paraId="116C0A60">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生活污水经</w:t>
            </w:r>
            <w:r>
              <w:rPr>
                <w:rFonts w:hint="eastAsia" w:ascii="Times New Roman" w:hAnsi="Times New Roman" w:eastAsia="宋体" w:cs="Times New Roman"/>
                <w:color w:val="auto"/>
                <w:sz w:val="21"/>
                <w:szCs w:val="21"/>
                <w:lang w:val="en-US" w:eastAsia="zh-CN"/>
              </w:rPr>
              <w:t>隔油池、化粪池预处理后</w:t>
            </w:r>
            <w:r>
              <w:rPr>
                <w:rFonts w:hint="default" w:ascii="Times New Roman" w:hAnsi="Times New Roman" w:eastAsia="宋体" w:cs="Times New Roman"/>
                <w:color w:val="auto"/>
                <w:sz w:val="21"/>
                <w:szCs w:val="21"/>
              </w:rPr>
              <w:t>，纳管排入</w:t>
            </w:r>
            <w:r>
              <w:rPr>
                <w:rFonts w:hint="default" w:ascii="Times New Roman" w:hAnsi="Times New Roman" w:eastAsia="宋体" w:cs="Times New Roman"/>
                <w:color w:val="auto"/>
                <w:sz w:val="21"/>
                <w:szCs w:val="21"/>
                <w:lang w:val="en-US" w:eastAsia="zh-CN"/>
              </w:rPr>
              <w:t>德清县恒丰污水处理有限公司及湖州碧水源环境科技有限公司</w:t>
            </w:r>
            <w:r>
              <w:rPr>
                <w:rFonts w:hint="default" w:ascii="Times New Roman" w:hAnsi="Times New Roman" w:eastAsia="宋体" w:cs="Times New Roman"/>
                <w:color w:val="auto"/>
                <w:sz w:val="21"/>
                <w:szCs w:val="21"/>
              </w:rPr>
              <w:t>集中处理，达标排放</w:t>
            </w:r>
          </w:p>
        </w:tc>
        <w:tc>
          <w:tcPr>
            <w:tcW w:w="1497" w:type="pct"/>
            <w:tcBorders>
              <w:tl2br w:val="nil"/>
              <w:tr2bl w:val="nil"/>
            </w:tcBorders>
            <w:vAlign w:val="center"/>
          </w:tcPr>
          <w:p w14:paraId="213E1027">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《污水综合排放标准》（GB8978-1996）中的三级标准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对当地水环境质量影响较小</w:t>
            </w:r>
          </w:p>
        </w:tc>
      </w:tr>
      <w:tr w14:paraId="5C1C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5E955B7A">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5D05A1D3">
            <w:pPr>
              <w:jc w:val="center"/>
              <w:rPr>
                <w:rFonts w:hint="default" w:ascii="Times New Roman" w:hAnsi="Times New Roman" w:cs="Times New Roman"/>
                <w:b/>
                <w:bCs/>
                <w:color w:val="FF0000"/>
                <w:sz w:val="21"/>
                <w:szCs w:val="21"/>
              </w:rPr>
            </w:pPr>
          </w:p>
        </w:tc>
        <w:tc>
          <w:tcPr>
            <w:tcW w:w="578" w:type="pct"/>
            <w:tcBorders>
              <w:tl2br w:val="nil"/>
              <w:tr2bl w:val="nil"/>
            </w:tcBorders>
            <w:vAlign w:val="center"/>
          </w:tcPr>
          <w:p w14:paraId="05E84DA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冷却水</w:t>
            </w:r>
          </w:p>
        </w:tc>
        <w:tc>
          <w:tcPr>
            <w:tcW w:w="588" w:type="pct"/>
            <w:tcBorders>
              <w:tl2br w:val="nil"/>
              <w:tr2bl w:val="nil"/>
            </w:tcBorders>
            <w:vAlign w:val="center"/>
          </w:tcPr>
          <w:p w14:paraId="5942BA0C">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3134" w:type="pct"/>
            <w:gridSpan w:val="2"/>
            <w:tcBorders>
              <w:tl2br w:val="nil"/>
              <w:tr2bl w:val="nil"/>
            </w:tcBorders>
            <w:vAlign w:val="center"/>
          </w:tcPr>
          <w:p w14:paraId="17F6D2AC">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循环使用不排放，定期补充损耗即可</w:t>
            </w:r>
          </w:p>
        </w:tc>
      </w:tr>
      <w:tr w14:paraId="2B98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tcBorders>
              <w:tl2br w:val="nil"/>
              <w:tr2bl w:val="nil"/>
            </w:tcBorders>
            <w:vAlign w:val="center"/>
          </w:tcPr>
          <w:p w14:paraId="136B06B4">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声环境</w:t>
            </w:r>
          </w:p>
        </w:tc>
        <w:tc>
          <w:tcPr>
            <w:tcW w:w="323" w:type="pct"/>
            <w:tcBorders>
              <w:tl2br w:val="nil"/>
              <w:tr2bl w:val="nil"/>
            </w:tcBorders>
            <w:vAlign w:val="center"/>
          </w:tcPr>
          <w:p w14:paraId="0E5F75E3">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rPr>
              <w:t>营运期</w:t>
            </w:r>
          </w:p>
        </w:tc>
        <w:tc>
          <w:tcPr>
            <w:tcW w:w="578" w:type="pct"/>
            <w:tcBorders>
              <w:tl2br w:val="nil"/>
              <w:tr2bl w:val="nil"/>
            </w:tcBorders>
            <w:vAlign w:val="center"/>
          </w:tcPr>
          <w:p w14:paraId="192477C7">
            <w:pPr>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机械噪声</w:t>
            </w:r>
          </w:p>
        </w:tc>
        <w:tc>
          <w:tcPr>
            <w:tcW w:w="588" w:type="pct"/>
            <w:tcBorders>
              <w:tl2br w:val="nil"/>
              <w:tr2bl w:val="nil"/>
            </w:tcBorders>
            <w:vAlign w:val="center"/>
          </w:tcPr>
          <w:p w14:paraId="7AF794B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637" w:type="pct"/>
            <w:tcBorders>
              <w:tl2br w:val="nil"/>
              <w:tr2bl w:val="nil"/>
            </w:tcBorders>
            <w:vAlign w:val="center"/>
          </w:tcPr>
          <w:p w14:paraId="438681F4">
            <w:pPr>
              <w:pStyle w:val="13"/>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选用噪声低、震动小的设备；对</w:t>
            </w:r>
            <w:r>
              <w:rPr>
                <w:rFonts w:hint="default" w:ascii="Times New Roman" w:hAnsi="Times New Roman" w:eastAsia="宋体" w:cs="Times New Roman"/>
                <w:color w:val="auto"/>
                <w:sz w:val="21"/>
                <w:szCs w:val="21"/>
                <w:lang w:val="en-US" w:eastAsia="zh-CN"/>
              </w:rPr>
              <w:t>风</w:t>
            </w:r>
            <w:r>
              <w:rPr>
                <w:rFonts w:hint="default" w:ascii="Times New Roman" w:hAnsi="Times New Roman" w:eastAsia="宋体" w:cs="Times New Roman"/>
                <w:color w:val="auto"/>
                <w:sz w:val="21"/>
                <w:szCs w:val="21"/>
              </w:rPr>
              <w:t>机等高噪声设备加设减</w:t>
            </w:r>
            <w:r>
              <w:rPr>
                <w:rFonts w:hint="eastAsia" w:ascii="Times New Roman" w:hAnsi="Times New Roman" w:eastAsia="宋体" w:cs="Times New Roman"/>
                <w:color w:val="auto"/>
                <w:sz w:val="21"/>
                <w:szCs w:val="21"/>
                <w:lang w:val="en-US" w:eastAsia="zh-CN"/>
              </w:rPr>
              <w:t>振</w:t>
            </w:r>
            <w:r>
              <w:rPr>
                <w:rFonts w:hint="default" w:ascii="Times New Roman" w:hAnsi="Times New Roman" w:eastAsia="宋体" w:cs="Times New Roman"/>
                <w:color w:val="auto"/>
                <w:sz w:val="21"/>
                <w:szCs w:val="21"/>
              </w:rPr>
              <w:t>垫；合理布置设备位置；车间安装隔声门窗，生产时关闭门窗；加强生产现场管理和设备养护，减少或降低人为噪声</w:t>
            </w:r>
          </w:p>
        </w:tc>
        <w:tc>
          <w:tcPr>
            <w:tcW w:w="1497" w:type="pct"/>
            <w:tcBorders>
              <w:tl2br w:val="nil"/>
              <w:tr2bl w:val="nil"/>
            </w:tcBorders>
            <w:vAlign w:val="center"/>
          </w:tcPr>
          <w:p w14:paraId="717057C0">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项目各侧厂界昼间噪声</w:t>
            </w:r>
            <w:r>
              <w:rPr>
                <w:rFonts w:hint="eastAsia" w:ascii="Times New Roman" w:hAnsi="Times New Roman" w:eastAsia="宋体" w:cs="Times New Roman"/>
                <w:color w:val="auto"/>
                <w:sz w:val="21"/>
                <w:szCs w:val="21"/>
                <w:lang w:val="en-US" w:eastAsia="zh-CN"/>
              </w:rPr>
              <w:t>排放</w:t>
            </w:r>
            <w:r>
              <w:rPr>
                <w:rFonts w:hint="default" w:ascii="Times New Roman" w:hAnsi="Times New Roman" w:eastAsia="宋体" w:cs="Times New Roman"/>
                <w:color w:val="auto"/>
                <w:sz w:val="21"/>
                <w:szCs w:val="21"/>
              </w:rPr>
              <w:t>能够达到《工业企业厂界环境噪声排放标准》（GB12348-2008）中的3类标准</w:t>
            </w:r>
          </w:p>
        </w:tc>
      </w:tr>
      <w:tr w14:paraId="40D2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gridSpan w:val="2"/>
            <w:tcBorders>
              <w:tl2br w:val="nil"/>
              <w:tr2bl w:val="nil"/>
            </w:tcBorders>
            <w:vAlign w:val="center"/>
          </w:tcPr>
          <w:p w14:paraId="04304BEF">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电磁辐射</w:t>
            </w:r>
          </w:p>
        </w:tc>
        <w:tc>
          <w:tcPr>
            <w:tcW w:w="4301" w:type="pct"/>
            <w:gridSpan w:val="4"/>
            <w:tcBorders>
              <w:tl2br w:val="nil"/>
              <w:tr2bl w:val="nil"/>
            </w:tcBorders>
            <w:vAlign w:val="center"/>
          </w:tcPr>
          <w:p w14:paraId="08A8E5A2">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w:t>
            </w:r>
          </w:p>
        </w:tc>
      </w:tr>
      <w:tr w14:paraId="5EFF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tcBorders>
              <w:tl2br w:val="nil"/>
              <w:tr2bl w:val="nil"/>
            </w:tcBorders>
            <w:vAlign w:val="center"/>
          </w:tcPr>
          <w:p w14:paraId="0EC0D745">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固体废物</w:t>
            </w:r>
          </w:p>
        </w:tc>
        <w:tc>
          <w:tcPr>
            <w:tcW w:w="323" w:type="pct"/>
            <w:vMerge w:val="restart"/>
            <w:tcBorders>
              <w:tl2br w:val="nil"/>
              <w:tr2bl w:val="nil"/>
            </w:tcBorders>
            <w:vAlign w:val="center"/>
          </w:tcPr>
          <w:p w14:paraId="24A0C796">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营运期</w:t>
            </w:r>
          </w:p>
        </w:tc>
        <w:tc>
          <w:tcPr>
            <w:tcW w:w="578" w:type="pct"/>
            <w:vMerge w:val="restart"/>
            <w:tcBorders>
              <w:tl2br w:val="nil"/>
              <w:tr2bl w:val="nil"/>
            </w:tcBorders>
            <w:vAlign w:val="center"/>
          </w:tcPr>
          <w:p w14:paraId="11B84C3E">
            <w:pPr>
              <w:pStyle w:val="64"/>
              <w:autoSpaceDE/>
              <w:autoSpaceDN/>
              <w:adjustRightInd/>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588" w:type="pct"/>
            <w:tcBorders>
              <w:tl2br w:val="nil"/>
              <w:tr2bl w:val="nil"/>
            </w:tcBorders>
            <w:vAlign w:val="center"/>
          </w:tcPr>
          <w:p w14:paraId="6B4B499C">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一般废包装材料</w:t>
            </w:r>
          </w:p>
        </w:tc>
        <w:tc>
          <w:tcPr>
            <w:tcW w:w="1637" w:type="pct"/>
            <w:vMerge w:val="restart"/>
            <w:tcBorders>
              <w:tl2br w:val="nil"/>
              <w:tr2bl w:val="nil"/>
            </w:tcBorders>
            <w:vAlign w:val="center"/>
          </w:tcPr>
          <w:p w14:paraId="5F468814">
            <w:pPr>
              <w:jc w:val="left"/>
              <w:rPr>
                <w:rFonts w:hint="default" w:ascii="Times New Roman" w:hAnsi="Times New Roman" w:eastAsia="宋体" w:cs="Times New Roman"/>
                <w:color w:val="FF0000"/>
                <w:sz w:val="21"/>
                <w:szCs w:val="21"/>
              </w:rPr>
            </w:pPr>
            <w:r>
              <w:rPr>
                <w:rFonts w:hint="eastAsia" w:ascii="Times New Roman" w:hAnsi="Times New Roman" w:cs="Times New Roman"/>
                <w:color w:val="auto"/>
                <w:szCs w:val="21"/>
              </w:rPr>
              <w:t>出售给废旧物资回收单位</w:t>
            </w:r>
          </w:p>
        </w:tc>
        <w:tc>
          <w:tcPr>
            <w:tcW w:w="1497" w:type="pct"/>
            <w:vMerge w:val="restart"/>
            <w:tcBorders>
              <w:tl2br w:val="nil"/>
              <w:tr2bl w:val="nil"/>
            </w:tcBorders>
            <w:vAlign w:val="center"/>
          </w:tcPr>
          <w:p w14:paraId="77C75423">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（采用库房、包装工具（罐、桶、包装袋等）贮存一般工业固体废物过程的污染控制，其贮存过程应满足相应防渗漏、防雨淋、防扬尘等环境保护要求）</w:t>
            </w:r>
          </w:p>
        </w:tc>
      </w:tr>
      <w:tr w14:paraId="4D06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542C41B6">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2F832C7D">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14A2E8C9">
            <w:pPr>
              <w:pStyle w:val="64"/>
              <w:autoSpaceDE/>
              <w:autoSpaceDN/>
              <w:adjustRightInd/>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0F6E79A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废塑料</w:t>
            </w:r>
          </w:p>
        </w:tc>
        <w:tc>
          <w:tcPr>
            <w:tcW w:w="1637" w:type="pct"/>
            <w:vMerge w:val="continue"/>
            <w:tcBorders>
              <w:tl2br w:val="nil"/>
              <w:tr2bl w:val="nil"/>
            </w:tcBorders>
            <w:vAlign w:val="center"/>
          </w:tcPr>
          <w:p w14:paraId="02D52854">
            <w:pPr>
              <w:tabs>
                <w:tab w:val="left" w:pos="374"/>
                <w:tab w:val="left" w:pos="929"/>
                <w:tab w:val="center" w:pos="1372"/>
              </w:tabs>
              <w:rPr>
                <w:rFonts w:hint="default" w:ascii="Times New Roman" w:hAnsi="Times New Roman" w:eastAsia="宋体" w:cs="Times New Roman"/>
                <w:color w:val="FF0000"/>
                <w:sz w:val="21"/>
                <w:szCs w:val="21"/>
              </w:rPr>
            </w:pPr>
          </w:p>
        </w:tc>
        <w:tc>
          <w:tcPr>
            <w:tcW w:w="1497" w:type="pct"/>
            <w:vMerge w:val="continue"/>
            <w:tcBorders>
              <w:tl2br w:val="nil"/>
              <w:tr2bl w:val="nil"/>
            </w:tcBorders>
            <w:vAlign w:val="center"/>
          </w:tcPr>
          <w:p w14:paraId="721E639C">
            <w:pPr>
              <w:rPr>
                <w:rFonts w:hint="default" w:ascii="Times New Roman" w:hAnsi="Times New Roman" w:cs="Times New Roman"/>
                <w:color w:val="auto"/>
                <w:sz w:val="21"/>
                <w:szCs w:val="21"/>
              </w:rPr>
            </w:pPr>
          </w:p>
        </w:tc>
      </w:tr>
      <w:tr w14:paraId="4D32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3FF58626">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295FE10B">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7649341D">
            <w:pPr>
              <w:pStyle w:val="64"/>
              <w:autoSpaceDE/>
              <w:autoSpaceDN/>
              <w:adjustRightInd/>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5C4491DA">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废丝网纸</w:t>
            </w:r>
          </w:p>
        </w:tc>
        <w:tc>
          <w:tcPr>
            <w:tcW w:w="1637" w:type="pct"/>
            <w:vMerge w:val="continue"/>
            <w:tcBorders>
              <w:tl2br w:val="nil"/>
              <w:tr2bl w:val="nil"/>
            </w:tcBorders>
            <w:vAlign w:val="center"/>
          </w:tcPr>
          <w:p w14:paraId="0A0D4BF2">
            <w:pPr>
              <w:tabs>
                <w:tab w:val="left" w:pos="374"/>
                <w:tab w:val="left" w:pos="929"/>
                <w:tab w:val="center" w:pos="1372"/>
              </w:tabs>
              <w:rPr>
                <w:rFonts w:hint="default" w:ascii="Times New Roman" w:hAnsi="Times New Roman" w:eastAsia="宋体" w:cs="Times New Roman"/>
                <w:color w:val="FF0000"/>
                <w:sz w:val="21"/>
                <w:szCs w:val="21"/>
              </w:rPr>
            </w:pPr>
          </w:p>
        </w:tc>
        <w:tc>
          <w:tcPr>
            <w:tcW w:w="1497" w:type="pct"/>
            <w:vMerge w:val="continue"/>
            <w:tcBorders>
              <w:tl2br w:val="nil"/>
              <w:tr2bl w:val="nil"/>
            </w:tcBorders>
            <w:vAlign w:val="center"/>
          </w:tcPr>
          <w:p w14:paraId="79C40B13">
            <w:pPr>
              <w:rPr>
                <w:rFonts w:hint="default" w:ascii="Times New Roman" w:hAnsi="Times New Roman" w:cs="Times New Roman"/>
                <w:color w:val="auto"/>
                <w:sz w:val="21"/>
                <w:szCs w:val="21"/>
              </w:rPr>
            </w:pPr>
          </w:p>
        </w:tc>
      </w:tr>
      <w:tr w14:paraId="0096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2884B270">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5A5CD201">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0059A314">
            <w:pPr>
              <w:pStyle w:val="64"/>
              <w:autoSpaceDE/>
              <w:autoSpaceDN/>
              <w:adjustRightInd/>
              <w:rPr>
                <w:rFonts w:hint="default" w:ascii="Times New Roman" w:hAnsi="Times New Roman" w:eastAsia="宋体" w:cs="Times New Roman"/>
                <w:color w:val="FF0000"/>
                <w:sz w:val="21"/>
                <w:szCs w:val="21"/>
              </w:rPr>
            </w:pPr>
          </w:p>
        </w:tc>
        <w:tc>
          <w:tcPr>
            <w:tcW w:w="588" w:type="pct"/>
            <w:tcBorders>
              <w:tl2br w:val="nil"/>
              <w:tr2bl w:val="nil"/>
            </w:tcBorders>
            <w:vAlign w:val="center"/>
          </w:tcPr>
          <w:p w14:paraId="2798A99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焊渣</w:t>
            </w:r>
          </w:p>
        </w:tc>
        <w:tc>
          <w:tcPr>
            <w:tcW w:w="1637" w:type="pct"/>
            <w:vMerge w:val="continue"/>
            <w:tcBorders>
              <w:tl2br w:val="nil"/>
              <w:tr2bl w:val="nil"/>
            </w:tcBorders>
            <w:vAlign w:val="center"/>
          </w:tcPr>
          <w:p w14:paraId="498E5699">
            <w:pPr>
              <w:tabs>
                <w:tab w:val="left" w:pos="374"/>
                <w:tab w:val="left" w:pos="929"/>
                <w:tab w:val="center" w:pos="1372"/>
              </w:tabs>
              <w:rPr>
                <w:rFonts w:hint="default" w:ascii="Times New Roman" w:hAnsi="Times New Roman" w:eastAsia="宋体" w:cs="Times New Roman"/>
                <w:color w:val="FF0000"/>
                <w:sz w:val="21"/>
                <w:szCs w:val="21"/>
              </w:rPr>
            </w:pPr>
          </w:p>
        </w:tc>
        <w:tc>
          <w:tcPr>
            <w:tcW w:w="1497" w:type="pct"/>
            <w:vMerge w:val="continue"/>
            <w:tcBorders>
              <w:tl2br w:val="nil"/>
              <w:tr2bl w:val="nil"/>
            </w:tcBorders>
            <w:vAlign w:val="center"/>
          </w:tcPr>
          <w:p w14:paraId="74CFA430">
            <w:pPr>
              <w:rPr>
                <w:rFonts w:hint="default" w:ascii="Times New Roman" w:hAnsi="Times New Roman" w:cs="Times New Roman"/>
                <w:color w:val="auto"/>
                <w:sz w:val="21"/>
                <w:szCs w:val="21"/>
              </w:rPr>
            </w:pPr>
          </w:p>
        </w:tc>
      </w:tr>
      <w:tr w14:paraId="52A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681AC772">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4C30BF1D">
            <w:pPr>
              <w:jc w:val="center"/>
              <w:rPr>
                <w:rFonts w:hint="default" w:ascii="Times New Roman" w:hAnsi="Times New Roman" w:cs="Times New Roman"/>
                <w:b/>
                <w:bCs/>
                <w:color w:val="FF0000"/>
                <w:sz w:val="21"/>
                <w:szCs w:val="21"/>
              </w:rPr>
            </w:pPr>
          </w:p>
        </w:tc>
        <w:tc>
          <w:tcPr>
            <w:tcW w:w="578" w:type="pct"/>
            <w:vMerge w:val="restart"/>
            <w:tcBorders>
              <w:tl2br w:val="nil"/>
              <w:tr2bl w:val="nil"/>
            </w:tcBorders>
            <w:vAlign w:val="center"/>
          </w:tcPr>
          <w:p w14:paraId="22C5C0DE">
            <w:pPr>
              <w:pStyle w:val="64"/>
              <w:autoSpaceDE/>
              <w:autoSpaceDN/>
              <w:adjustRightInd/>
              <w:rPr>
                <w:rFonts w:hint="default" w:ascii="Times New Roman" w:hAnsi="Times New Roman" w:eastAsia="宋体" w:cs="Times New Roman"/>
                <w:color w:val="FF0000"/>
                <w:sz w:val="21"/>
                <w:szCs w:val="21"/>
              </w:rPr>
            </w:pPr>
            <w:r>
              <w:rPr>
                <w:rFonts w:hint="default" w:ascii="Times New Roman" w:hAnsi="Times New Roman" w:eastAsia="宋体" w:cs="Times New Roman"/>
                <w:color w:val="auto"/>
                <w:sz w:val="21"/>
                <w:szCs w:val="21"/>
              </w:rPr>
              <w:t>危险废物</w:t>
            </w:r>
          </w:p>
        </w:tc>
        <w:tc>
          <w:tcPr>
            <w:tcW w:w="1067" w:type="dxa"/>
            <w:tcBorders>
              <w:tl2br w:val="nil"/>
              <w:tr2bl w:val="nil"/>
            </w:tcBorders>
            <w:vAlign w:val="center"/>
          </w:tcPr>
          <w:p w14:paraId="214021C0">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废活性炭</w:t>
            </w:r>
          </w:p>
        </w:tc>
        <w:tc>
          <w:tcPr>
            <w:tcW w:w="1637" w:type="pct"/>
            <w:vMerge w:val="restart"/>
            <w:tcBorders>
              <w:tl2br w:val="nil"/>
              <w:tr2bl w:val="nil"/>
            </w:tcBorders>
            <w:vAlign w:val="center"/>
          </w:tcPr>
          <w:p w14:paraId="0684FE37">
            <w:pPr>
              <w:rPr>
                <w:rFonts w:hint="default" w:ascii="Times New Roman" w:hAnsi="Times New Roman" w:eastAsia="宋体" w:cs="Times New Roman"/>
                <w:bCs/>
                <w:color w:val="FF0000"/>
                <w:sz w:val="21"/>
                <w:szCs w:val="21"/>
              </w:rPr>
            </w:pPr>
            <w:r>
              <w:rPr>
                <w:rFonts w:hint="default" w:ascii="Times New Roman" w:hAnsi="Times New Roman" w:cs="Times New Roman"/>
                <w:bCs/>
                <w:color w:val="auto"/>
                <w:sz w:val="21"/>
                <w:szCs w:val="21"/>
              </w:rPr>
              <w:t>委托相关资质单位进行处置</w:t>
            </w:r>
          </w:p>
        </w:tc>
        <w:tc>
          <w:tcPr>
            <w:tcW w:w="1497" w:type="pct"/>
            <w:vMerge w:val="restart"/>
            <w:tcBorders>
              <w:tl2br w:val="nil"/>
              <w:tr2bl w:val="nil"/>
            </w:tcBorders>
            <w:vAlign w:val="center"/>
          </w:tcPr>
          <w:p w14:paraId="0F276391">
            <w:pPr>
              <w:adjustRightInd w:val="0"/>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符合《危险废物贮存污染控制标准》（GB 18597—2023）的相关要求。此外，对危险废物的转移处理须严格按照</w:t>
            </w:r>
            <w:r>
              <w:rPr>
                <w:rFonts w:hint="default" w:ascii="Times New Roman" w:hAnsi="Times New Roman" w:cs="Times New Roman"/>
                <w:color w:val="auto"/>
                <w:sz w:val="21"/>
                <w:szCs w:val="21"/>
                <w:lang w:val="zh-CN" w:eastAsia="zh-CN"/>
              </w:rPr>
              <w:t>《危险废物转移管理办法》（生态环境部、公安部、交通运输部令第23号）</w:t>
            </w:r>
            <w:r>
              <w:rPr>
                <w:rFonts w:hint="default" w:ascii="Times New Roman" w:hAnsi="Times New Roman" w:cs="Times New Roman"/>
                <w:color w:val="auto"/>
                <w:sz w:val="21"/>
                <w:szCs w:val="21"/>
                <w:lang w:val="en-US" w:eastAsia="zh-CN"/>
              </w:rPr>
              <w:t>执行</w:t>
            </w:r>
          </w:p>
        </w:tc>
      </w:tr>
      <w:tr w14:paraId="5D94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174A3337">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2235A40A">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56FF6A02">
            <w:pPr>
              <w:pStyle w:val="64"/>
              <w:autoSpaceDE/>
              <w:autoSpaceDN/>
              <w:adjustRightInd/>
              <w:jc w:val="both"/>
              <w:rPr>
                <w:rFonts w:hint="default" w:ascii="Times New Roman" w:hAnsi="Times New Roman" w:eastAsia="宋体" w:cs="Times New Roman"/>
                <w:color w:val="FF0000"/>
                <w:sz w:val="21"/>
                <w:szCs w:val="21"/>
              </w:rPr>
            </w:pPr>
          </w:p>
        </w:tc>
        <w:tc>
          <w:tcPr>
            <w:tcW w:w="1067" w:type="dxa"/>
            <w:tcBorders>
              <w:tl2br w:val="nil"/>
              <w:tr2bl w:val="nil"/>
            </w:tcBorders>
            <w:vAlign w:val="center"/>
          </w:tcPr>
          <w:p w14:paraId="0B97248E">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废过滤棉</w:t>
            </w:r>
          </w:p>
        </w:tc>
        <w:tc>
          <w:tcPr>
            <w:tcW w:w="1637" w:type="pct"/>
            <w:vMerge w:val="continue"/>
            <w:tcBorders>
              <w:tl2br w:val="nil"/>
              <w:tr2bl w:val="nil"/>
            </w:tcBorders>
            <w:vAlign w:val="center"/>
          </w:tcPr>
          <w:p w14:paraId="42BE39E9">
            <w:pPr>
              <w:rPr>
                <w:rFonts w:hint="default" w:ascii="Times New Roman" w:hAnsi="Times New Roman" w:eastAsia="宋体" w:cs="Times New Roman"/>
                <w:bCs/>
                <w:color w:val="FF0000"/>
                <w:sz w:val="21"/>
                <w:szCs w:val="21"/>
              </w:rPr>
            </w:pPr>
          </w:p>
        </w:tc>
        <w:tc>
          <w:tcPr>
            <w:tcW w:w="1497" w:type="pct"/>
            <w:vMerge w:val="continue"/>
            <w:tcBorders>
              <w:tl2br w:val="nil"/>
              <w:tr2bl w:val="nil"/>
            </w:tcBorders>
            <w:vAlign w:val="center"/>
          </w:tcPr>
          <w:p w14:paraId="71CEC85F">
            <w:pPr>
              <w:adjustRightInd w:val="0"/>
              <w:snapToGrid w:val="0"/>
              <w:rPr>
                <w:rFonts w:hint="default" w:ascii="Times New Roman" w:hAnsi="Times New Roman" w:cs="Times New Roman"/>
                <w:color w:val="FF0000"/>
                <w:sz w:val="21"/>
                <w:szCs w:val="21"/>
              </w:rPr>
            </w:pPr>
          </w:p>
        </w:tc>
      </w:tr>
      <w:tr w14:paraId="0BCB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7B35FD67">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70088392">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32F594D5">
            <w:pPr>
              <w:pStyle w:val="64"/>
              <w:autoSpaceDE/>
              <w:autoSpaceDN/>
              <w:adjustRightInd/>
              <w:jc w:val="both"/>
              <w:rPr>
                <w:rFonts w:hint="default" w:ascii="Times New Roman" w:hAnsi="Times New Roman" w:eastAsia="宋体" w:cs="Times New Roman"/>
                <w:color w:val="FF0000"/>
                <w:sz w:val="21"/>
                <w:szCs w:val="21"/>
              </w:rPr>
            </w:pPr>
          </w:p>
        </w:tc>
        <w:tc>
          <w:tcPr>
            <w:tcW w:w="1067" w:type="dxa"/>
            <w:tcBorders>
              <w:tl2br w:val="nil"/>
              <w:tr2bl w:val="nil"/>
            </w:tcBorders>
            <w:vAlign w:val="center"/>
          </w:tcPr>
          <w:p w14:paraId="0AC3BDE9">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废清洗液</w:t>
            </w:r>
          </w:p>
        </w:tc>
        <w:tc>
          <w:tcPr>
            <w:tcW w:w="1637" w:type="pct"/>
            <w:vMerge w:val="continue"/>
            <w:tcBorders>
              <w:tl2br w:val="nil"/>
              <w:tr2bl w:val="nil"/>
            </w:tcBorders>
            <w:vAlign w:val="center"/>
          </w:tcPr>
          <w:p w14:paraId="50995C49">
            <w:pPr>
              <w:rPr>
                <w:rFonts w:hint="default" w:ascii="Times New Roman" w:hAnsi="Times New Roman" w:eastAsia="宋体" w:cs="Times New Roman"/>
                <w:bCs/>
                <w:color w:val="FF0000"/>
                <w:sz w:val="21"/>
                <w:szCs w:val="21"/>
              </w:rPr>
            </w:pPr>
          </w:p>
        </w:tc>
        <w:tc>
          <w:tcPr>
            <w:tcW w:w="1497" w:type="pct"/>
            <w:vMerge w:val="continue"/>
            <w:tcBorders>
              <w:tl2br w:val="nil"/>
              <w:tr2bl w:val="nil"/>
            </w:tcBorders>
            <w:vAlign w:val="center"/>
          </w:tcPr>
          <w:p w14:paraId="00BA0B8B">
            <w:pPr>
              <w:adjustRightInd w:val="0"/>
              <w:snapToGrid w:val="0"/>
              <w:rPr>
                <w:rFonts w:hint="default" w:ascii="Times New Roman" w:hAnsi="Times New Roman" w:cs="Times New Roman"/>
                <w:color w:val="FF0000"/>
                <w:sz w:val="21"/>
                <w:szCs w:val="21"/>
              </w:rPr>
            </w:pPr>
          </w:p>
        </w:tc>
      </w:tr>
      <w:tr w14:paraId="74B9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tcBorders>
              <w:tl2br w:val="nil"/>
              <w:tr2bl w:val="nil"/>
            </w:tcBorders>
            <w:vAlign w:val="center"/>
          </w:tcPr>
          <w:p w14:paraId="7FCC17C4">
            <w:pPr>
              <w:jc w:val="center"/>
              <w:rPr>
                <w:rFonts w:hint="default" w:ascii="Times New Roman" w:hAnsi="Times New Roman" w:cs="Times New Roman"/>
                <w:b/>
                <w:bCs/>
                <w:color w:val="FF0000"/>
                <w:sz w:val="21"/>
                <w:szCs w:val="21"/>
              </w:rPr>
            </w:pPr>
          </w:p>
        </w:tc>
        <w:tc>
          <w:tcPr>
            <w:tcW w:w="323" w:type="pct"/>
            <w:vMerge w:val="continue"/>
            <w:tcBorders>
              <w:tl2br w:val="nil"/>
              <w:tr2bl w:val="nil"/>
            </w:tcBorders>
            <w:vAlign w:val="center"/>
          </w:tcPr>
          <w:p w14:paraId="2A36A05C">
            <w:pPr>
              <w:jc w:val="center"/>
              <w:rPr>
                <w:rFonts w:hint="default" w:ascii="Times New Roman" w:hAnsi="Times New Roman" w:cs="Times New Roman"/>
                <w:b/>
                <w:bCs/>
                <w:color w:val="FF0000"/>
                <w:sz w:val="21"/>
                <w:szCs w:val="21"/>
              </w:rPr>
            </w:pPr>
          </w:p>
        </w:tc>
        <w:tc>
          <w:tcPr>
            <w:tcW w:w="578" w:type="pct"/>
            <w:vMerge w:val="continue"/>
            <w:tcBorders>
              <w:tl2br w:val="nil"/>
              <w:tr2bl w:val="nil"/>
            </w:tcBorders>
            <w:vAlign w:val="center"/>
          </w:tcPr>
          <w:p w14:paraId="6FCB3065">
            <w:pPr>
              <w:pStyle w:val="64"/>
              <w:autoSpaceDE/>
              <w:autoSpaceDN/>
              <w:adjustRightInd/>
              <w:jc w:val="both"/>
              <w:rPr>
                <w:rFonts w:hint="default" w:ascii="Times New Roman" w:hAnsi="Times New Roman" w:eastAsia="宋体" w:cs="Times New Roman"/>
                <w:color w:val="FF0000"/>
                <w:sz w:val="21"/>
                <w:szCs w:val="21"/>
              </w:rPr>
            </w:pPr>
          </w:p>
        </w:tc>
        <w:tc>
          <w:tcPr>
            <w:tcW w:w="1067" w:type="dxa"/>
            <w:tcBorders>
              <w:tl2br w:val="nil"/>
              <w:tr2bl w:val="nil"/>
            </w:tcBorders>
            <w:vAlign w:val="center"/>
          </w:tcPr>
          <w:p w14:paraId="4AF00166">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Cs w:val="21"/>
                <w:lang w:val="en-US" w:eastAsia="zh-CN"/>
              </w:rPr>
              <w:t>边角料</w:t>
            </w:r>
          </w:p>
        </w:tc>
        <w:tc>
          <w:tcPr>
            <w:tcW w:w="1637" w:type="pct"/>
            <w:vMerge w:val="continue"/>
            <w:tcBorders>
              <w:tl2br w:val="nil"/>
              <w:tr2bl w:val="nil"/>
            </w:tcBorders>
            <w:vAlign w:val="center"/>
          </w:tcPr>
          <w:p w14:paraId="5BC51A13">
            <w:pPr>
              <w:rPr>
                <w:rFonts w:hint="default" w:ascii="Times New Roman" w:hAnsi="Times New Roman" w:eastAsia="宋体" w:cs="Times New Roman"/>
                <w:bCs/>
                <w:color w:val="FF0000"/>
                <w:sz w:val="21"/>
                <w:szCs w:val="21"/>
              </w:rPr>
            </w:pPr>
          </w:p>
        </w:tc>
        <w:tc>
          <w:tcPr>
            <w:tcW w:w="1497" w:type="pct"/>
            <w:vMerge w:val="continue"/>
            <w:tcBorders>
              <w:tl2br w:val="nil"/>
              <w:tr2bl w:val="nil"/>
            </w:tcBorders>
            <w:vAlign w:val="center"/>
          </w:tcPr>
          <w:p w14:paraId="74FA1201">
            <w:pPr>
              <w:adjustRightInd w:val="0"/>
              <w:snapToGrid w:val="0"/>
              <w:rPr>
                <w:rFonts w:hint="default" w:ascii="Times New Roman" w:hAnsi="Times New Roman" w:cs="Times New Roman"/>
                <w:color w:val="FF0000"/>
                <w:sz w:val="21"/>
                <w:szCs w:val="21"/>
              </w:rPr>
            </w:pPr>
          </w:p>
        </w:tc>
      </w:tr>
      <w:tr w14:paraId="6F5B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gridSpan w:val="2"/>
            <w:tcBorders>
              <w:tl2br w:val="nil"/>
              <w:tr2bl w:val="nil"/>
            </w:tcBorders>
            <w:vAlign w:val="center"/>
          </w:tcPr>
          <w:p w14:paraId="7231DA7A">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土壤及地下水</w:t>
            </w:r>
          </w:p>
          <w:p w14:paraId="43E25509">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污染防治措施</w:t>
            </w:r>
          </w:p>
        </w:tc>
        <w:tc>
          <w:tcPr>
            <w:tcW w:w="4301" w:type="pct"/>
            <w:gridSpan w:val="4"/>
            <w:tcBorders>
              <w:tl2br w:val="nil"/>
              <w:tr2bl w:val="nil"/>
            </w:tcBorders>
            <w:vAlign w:val="center"/>
          </w:tcPr>
          <w:p w14:paraId="22FDB15F">
            <w:pPr>
              <w:adjustRightInd w:val="0"/>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本项目生产车间地面均已硬化处理，原料、危废仓库地面均已硬化、防腐、防渗处理，且项目不排放生产废水，</w:t>
            </w:r>
            <w:r>
              <w:rPr>
                <w:rFonts w:hint="default" w:ascii="Times New Roman" w:hAnsi="Times New Roman" w:eastAsia="宋体" w:cs="Times New Roman"/>
                <w:color w:val="auto"/>
                <w:sz w:val="21"/>
                <w:szCs w:val="21"/>
              </w:rPr>
              <w:t>对地下水、土壤环境影响较小</w:t>
            </w:r>
            <w:r>
              <w:rPr>
                <w:rFonts w:hint="default" w:ascii="Times New Roman" w:hAnsi="Times New Roman" w:eastAsia="宋体" w:cs="Times New Roman"/>
                <w:color w:val="auto"/>
                <w:sz w:val="21"/>
                <w:szCs w:val="21"/>
                <w:lang w:eastAsia="zh-CN"/>
              </w:rPr>
              <w:t>。</w:t>
            </w:r>
          </w:p>
        </w:tc>
      </w:tr>
      <w:tr w14:paraId="463F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gridSpan w:val="2"/>
            <w:tcBorders>
              <w:tl2br w:val="nil"/>
              <w:tr2bl w:val="nil"/>
            </w:tcBorders>
            <w:vAlign w:val="center"/>
          </w:tcPr>
          <w:p w14:paraId="2083A047">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生态保护措施</w:t>
            </w:r>
          </w:p>
        </w:tc>
        <w:tc>
          <w:tcPr>
            <w:tcW w:w="4301" w:type="pct"/>
            <w:gridSpan w:val="4"/>
            <w:tcBorders>
              <w:tl2br w:val="nil"/>
              <w:tr2bl w:val="nil"/>
            </w:tcBorders>
            <w:vAlign w:val="center"/>
          </w:tcPr>
          <w:p w14:paraId="41CD282D">
            <w:pPr>
              <w:pStyle w:val="64"/>
              <w:autoSpaceDE/>
              <w:autoSpaceDN/>
              <w:adjustRightInd/>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13F9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tcBorders>
              <w:tl2br w:val="nil"/>
              <w:tr2bl w:val="nil"/>
            </w:tcBorders>
            <w:vAlign w:val="center"/>
          </w:tcPr>
          <w:p w14:paraId="03CD1794">
            <w:pPr>
              <w:jc w:val="center"/>
              <w:rPr>
                <w:rFonts w:hint="default" w:ascii="Times New Roman" w:hAnsi="Times New Roman" w:cs="Times New Roman"/>
                <w:b/>
                <w:bCs/>
                <w:color w:val="auto"/>
                <w:spacing w:val="-8"/>
                <w:sz w:val="21"/>
                <w:szCs w:val="21"/>
              </w:rPr>
            </w:pPr>
            <w:r>
              <w:rPr>
                <w:rFonts w:hint="default" w:ascii="Times New Roman" w:hAnsi="Times New Roman" w:cs="Times New Roman"/>
                <w:b/>
                <w:bCs/>
                <w:color w:val="auto"/>
                <w:spacing w:val="-8"/>
                <w:sz w:val="21"/>
                <w:szCs w:val="21"/>
              </w:rPr>
              <w:t>环境风险</w:t>
            </w:r>
          </w:p>
          <w:p w14:paraId="185861F4">
            <w:pPr>
              <w:jc w:val="center"/>
              <w:rPr>
                <w:rFonts w:hint="default" w:ascii="Times New Roman" w:hAnsi="Times New Roman" w:cs="Times New Roman"/>
                <w:b/>
                <w:bCs/>
                <w:color w:val="FF0000"/>
                <w:spacing w:val="-8"/>
                <w:sz w:val="21"/>
                <w:szCs w:val="21"/>
              </w:rPr>
            </w:pPr>
            <w:r>
              <w:rPr>
                <w:rFonts w:hint="default" w:ascii="Times New Roman" w:hAnsi="Times New Roman" w:cs="Times New Roman"/>
                <w:b/>
                <w:bCs/>
                <w:color w:val="auto"/>
                <w:spacing w:val="-8"/>
                <w:sz w:val="21"/>
                <w:szCs w:val="21"/>
              </w:rPr>
              <w:t>防范措施</w:t>
            </w:r>
          </w:p>
        </w:tc>
        <w:tc>
          <w:tcPr>
            <w:tcW w:w="4624" w:type="pct"/>
            <w:gridSpan w:val="5"/>
            <w:tcBorders>
              <w:tl2br w:val="nil"/>
              <w:tr2bl w:val="nil"/>
            </w:tcBorders>
            <w:vAlign w:val="center"/>
          </w:tcPr>
          <w:p w14:paraId="080167DE">
            <w:pPr>
              <w:pStyle w:val="65"/>
              <w:spacing w:line="5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1、泄漏事故风险防范措施</w:t>
            </w:r>
          </w:p>
          <w:p w14:paraId="2F4E908C">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（1）为了保证各物料仓储和使用安全，本项目各物料的存储条件和设施必须严格按照有关文件中的要求执行，并有严格的管理。</w:t>
            </w:r>
          </w:p>
          <w:p w14:paraId="08C6CADC">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（2）总平面布置严格遵守国家颁布的有关防火和安全等方面规范和规定，在危险源布置方面，充分考虑厂内职工和厂外敏感目标的安全，一旦出现突发性事件时，对人员造成的伤害最小。</w:t>
            </w:r>
          </w:p>
          <w:p w14:paraId="1E93AEE2">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（3）在生产装置、仓储区等附近场所以及需要提醒人员注意的地点均应按标准设置各种安全标志，凡需要迅速发现并引起注意以防止发生事故的场所、部位，均按要求涂安全色。</w:t>
            </w:r>
          </w:p>
          <w:p w14:paraId="7190F85D">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（4）车间、仓储区布置需通风良好，保证易燃易爆和有毒物质迅速稀释和扩散。</w:t>
            </w:r>
          </w:p>
          <w:p w14:paraId="3542097C">
            <w:pPr>
              <w:pStyle w:val="65"/>
              <w:spacing w:line="5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2、火灾爆炸事故风险防范措施</w:t>
            </w:r>
          </w:p>
          <w:p w14:paraId="178E4B4D">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（1）控制与消除火源</w:t>
            </w:r>
          </w:p>
          <w:p w14:paraId="05C479FB">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时严禁吸烟、携带火种、穿带钉皮鞋等进入易燃易爆区；使用防爆型电器；严禁钢制工具敲打、撞击、抛掷；安装避雷装置；转动设备部位要保持清洁，防止因摩擦引起杂物等燃烧；危险固废运输要请专门的、有资质的运输单位，定期委托处置。</w:t>
            </w:r>
          </w:p>
          <w:p w14:paraId="003E273C">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（2）加强管理、严格纪律，遵守各项规章制度和操作规程，严格执行岗位责任制；坚持巡回检查，发现问题及时处理；加强培训、教育和考核工作。</w:t>
            </w:r>
          </w:p>
          <w:p w14:paraId="365684F7">
            <w:pPr>
              <w:pStyle w:val="65"/>
              <w:spacing w:line="5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3、物料贮存风险防范措施</w:t>
            </w:r>
          </w:p>
          <w:p w14:paraId="40E34ABE">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（1）原料存放点应阴凉通风，远离热源、火种，防止日光曝晒，严禁受热。库内照明应采用防爆照明灯，存放点周围不得堆放任何可燃材料。</w:t>
            </w:r>
          </w:p>
          <w:p w14:paraId="1E47BED3">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（2）原料库有专人管理，要有消防器材，要有醒目的防火标志。本项目在仓库门口张贴防火标示，并配有进出台账管理。</w:t>
            </w:r>
          </w:p>
          <w:p w14:paraId="4D5D8E07">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（3）对员工进行日常风险教育和培训，提高安全防范知识的宣传力度。企业定期对员工进行安全培训教育，从控制过程减少了风险事故的产生。</w:t>
            </w:r>
          </w:p>
          <w:p w14:paraId="2CDC6671">
            <w:pPr>
              <w:pStyle w:val="65"/>
              <w:spacing w:line="5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4、废气事故排放的防范措施</w:t>
            </w:r>
          </w:p>
          <w:p w14:paraId="0834A2DD">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为确保不发生事故性废气排放，建设单位采取一定的事故性防范保护措施</w:t>
            </w:r>
          </w:p>
          <w:p w14:paraId="620FC3BC">
            <w:pPr>
              <w:pStyle w:val="65"/>
              <w:spacing w:line="5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（1）各生产环节严格执行生产管理的有关规定，加强设备的检修及保养，提高管理人员素质，并设置机器事故应急措施及管理制度，确保设备长期处于良好状态，使设备达到预期的处理效果。</w:t>
            </w:r>
          </w:p>
          <w:p w14:paraId="2AC5332C">
            <w:pPr>
              <w:pStyle w:val="65"/>
              <w:spacing w:line="500" w:lineRule="exact"/>
              <w:ind w:firstLine="420" w:firstLineChars="200"/>
              <w:rPr>
                <w:rFonts w:hint="default" w:ascii="Times New Roman" w:hAnsi="Times New Roman" w:cs="Times New Roman"/>
                <w:color w:val="FF0000"/>
                <w:sz w:val="21"/>
                <w:szCs w:val="21"/>
              </w:rPr>
            </w:pPr>
            <w:r>
              <w:rPr>
                <w:rFonts w:hint="default" w:ascii="Times New Roman" w:hAnsi="Times New Roman" w:eastAsia="宋体" w:cs="Times New Roman"/>
                <w:color w:val="auto"/>
                <w:sz w:val="21"/>
                <w:szCs w:val="21"/>
              </w:rPr>
              <w:t>（2）现场作业人员定时记录废气处理状况，如对废气处理设施的风机等设备进行点检工作，并派专人巡视，遇不良工作状况立即停止车间相关作业，维修正常后再开始作业，杜绝事故性废气直排，并及时呈报单位主管。待检修完毕再通知生产车间相关工序。</w:t>
            </w:r>
          </w:p>
        </w:tc>
      </w:tr>
      <w:tr w14:paraId="2DAC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tcBorders>
              <w:tl2br w:val="nil"/>
              <w:tr2bl w:val="nil"/>
            </w:tcBorders>
            <w:vAlign w:val="center"/>
          </w:tcPr>
          <w:p w14:paraId="24C55AA5">
            <w:pPr>
              <w:jc w:val="center"/>
              <w:rPr>
                <w:rFonts w:hint="default" w:ascii="Times New Roman" w:hAnsi="Times New Roman" w:cs="Times New Roman"/>
                <w:b/>
                <w:bCs/>
                <w:color w:val="auto"/>
                <w:spacing w:val="-8"/>
                <w:sz w:val="21"/>
                <w:szCs w:val="21"/>
              </w:rPr>
            </w:pPr>
            <w:r>
              <w:rPr>
                <w:rFonts w:hint="default" w:ascii="Times New Roman" w:hAnsi="Times New Roman" w:cs="Times New Roman"/>
                <w:b/>
                <w:bCs/>
                <w:color w:val="auto"/>
                <w:spacing w:val="-8"/>
                <w:sz w:val="21"/>
                <w:szCs w:val="21"/>
              </w:rPr>
              <w:t>其他环境</w:t>
            </w:r>
          </w:p>
          <w:p w14:paraId="7A21AA4E">
            <w:pPr>
              <w:jc w:val="center"/>
              <w:rPr>
                <w:rFonts w:hint="default" w:ascii="Times New Roman" w:hAnsi="Times New Roman" w:cs="Times New Roman"/>
                <w:b/>
                <w:bCs/>
                <w:color w:val="FF0000"/>
                <w:spacing w:val="-8"/>
                <w:sz w:val="21"/>
                <w:szCs w:val="21"/>
              </w:rPr>
            </w:pPr>
            <w:r>
              <w:rPr>
                <w:rFonts w:hint="default" w:ascii="Times New Roman" w:hAnsi="Times New Roman" w:cs="Times New Roman"/>
                <w:b/>
                <w:bCs/>
                <w:color w:val="auto"/>
                <w:spacing w:val="-8"/>
                <w:sz w:val="21"/>
                <w:szCs w:val="21"/>
              </w:rPr>
              <w:t>管理要求</w:t>
            </w:r>
          </w:p>
        </w:tc>
        <w:tc>
          <w:tcPr>
            <w:tcW w:w="4624" w:type="pct"/>
            <w:gridSpan w:val="5"/>
            <w:tcBorders>
              <w:tl2br w:val="nil"/>
              <w:tr2bl w:val="nil"/>
            </w:tcBorders>
            <w:vAlign w:val="center"/>
          </w:tcPr>
          <w:p w14:paraId="0EACE6DD">
            <w:pPr>
              <w:spacing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1环境管理制度建设</w:t>
            </w:r>
          </w:p>
          <w:p w14:paraId="057C116B">
            <w:pPr>
              <w:spacing w:line="50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投产后，企业应成立环境保护管理领导小组的组织架构，并设置环保科，指派一名领导分管环保工作，配备技术力量较强的环保管理人员，定期对公司所有环保设施进行监督管理，并明确环保责任，建立和健全各项环保管理制度，从上而下形成一整套环保管理网络，有效地保证环保工作有序的开展。</w:t>
            </w:r>
          </w:p>
          <w:p w14:paraId="789F962D">
            <w:pPr>
              <w:spacing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2“三同时”管理要求</w:t>
            </w:r>
          </w:p>
          <w:p w14:paraId="2CE616AB">
            <w:pPr>
              <w:spacing w:line="50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根据《建设项目环境保护管理条例》，建设项目需要配套建设的环境保护设施，必须与主体工程同时设计、同时施工、同时投产使用。</w:t>
            </w:r>
          </w:p>
          <w:p w14:paraId="43D46D9B">
            <w:pPr>
              <w:spacing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3竣工自主环保验收要求</w:t>
            </w:r>
          </w:p>
          <w:p w14:paraId="3621A8F1">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根据《建设项目竣工环境保护验收暂行办法》，对企业自主开展相关验收工作要求如下：</w:t>
            </w:r>
          </w:p>
          <w:p w14:paraId="40E018FB">
            <w:pPr>
              <w:spacing w:line="360" w:lineRule="auto"/>
              <w:ind w:firstLine="420" w:firstLineChars="200"/>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tc>
      </w:tr>
    </w:tbl>
    <w:p w14:paraId="273D0862">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color w:val="auto"/>
          <w:sz w:val="30"/>
          <w:szCs w:val="30"/>
        </w:rPr>
      </w:pPr>
      <w:bookmarkStart w:id="17" w:name="_GoBack"/>
      <w:bookmarkEnd w:id="17"/>
      <w:r>
        <w:rPr>
          <w:rFonts w:hint="eastAsia" w:ascii="黑体" w:hAnsi="黑体" w:eastAsia="黑体" w:cs="黑体"/>
          <w:b w:val="0"/>
          <w:bCs/>
          <w:color w:val="auto"/>
          <w:sz w:val="30"/>
          <w:szCs w:val="30"/>
        </w:rPr>
        <w:t>六、结论</w:t>
      </w:r>
    </w:p>
    <w:tbl>
      <w:tblPr>
        <w:tblStyle w:val="23"/>
        <w:tblW w:w="9072" w:type="dxa"/>
        <w:jc w:val="center"/>
        <w:tblLayout w:type="autofit"/>
        <w:tblCellMar>
          <w:top w:w="0" w:type="dxa"/>
          <w:left w:w="0" w:type="dxa"/>
          <w:bottom w:w="0" w:type="dxa"/>
          <w:right w:w="0" w:type="dxa"/>
        </w:tblCellMar>
      </w:tblPr>
      <w:tblGrid>
        <w:gridCol w:w="9072"/>
      </w:tblGrid>
      <w:tr w14:paraId="31405591">
        <w:tblPrEx>
          <w:tblCellMar>
            <w:top w:w="0" w:type="dxa"/>
            <w:left w:w="0" w:type="dxa"/>
            <w:bottom w:w="0" w:type="dxa"/>
            <w:right w:w="0" w:type="dxa"/>
          </w:tblCellMar>
        </w:tblPrEx>
        <w:trPr>
          <w:trHeight w:val="12915" w:hRule="atLeast"/>
          <w:jc w:val="center"/>
        </w:trPr>
        <w:tc>
          <w:tcPr>
            <w:tcW w:w="8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14:paraId="14D39B19">
            <w:pPr>
              <w:pStyle w:val="35"/>
              <w:keepNext w:val="0"/>
              <w:keepLines w:val="0"/>
              <w:pageBreakBefore w:val="0"/>
              <w:widowControl w:val="0"/>
              <w:kinsoku/>
              <w:wordWrap/>
              <w:overflowPunct/>
              <w:topLinePunct w:val="0"/>
              <w:bidi w:val="0"/>
              <w:snapToGrid/>
              <w:spacing w:line="500" w:lineRule="exact"/>
              <w:ind w:firstLine="480" w:firstLineChars="200"/>
              <w:jc w:val="left"/>
              <w:textAlignment w:val="auto"/>
              <w:rPr>
                <w:rFonts w:hint="eastAsia" w:ascii="宋体" w:hAnsi="宋体" w:eastAsia="宋体" w:cs="Times New Roman"/>
                <w:color w:val="auto"/>
                <w:kern w:val="0"/>
                <w:szCs w:val="21"/>
              </w:rPr>
            </w:pPr>
            <w:r>
              <w:rPr>
                <w:rFonts w:hint="eastAsia" w:ascii="Times New Roman" w:cs="Times New Roman"/>
                <w:color w:val="auto"/>
                <w:kern w:val="0"/>
                <w:sz w:val="24"/>
                <w:szCs w:val="24"/>
                <w:highlight w:val="none"/>
                <w:lang w:val="en-US" w:eastAsia="zh-CN"/>
              </w:rPr>
              <w:t>浙江桃园智能科技有限公司</w:t>
            </w:r>
            <w:r>
              <w:rPr>
                <w:rFonts w:hint="eastAsia" w:ascii="Times New Roman" w:hAnsi="Times New Roman" w:eastAsia="宋体" w:cs="Times New Roman"/>
                <w:color w:val="auto"/>
                <w:kern w:val="0"/>
                <w:sz w:val="24"/>
                <w:szCs w:val="24"/>
                <w:highlight w:val="none"/>
                <w:lang w:eastAsia="zh-CN"/>
              </w:rPr>
              <w:t>年产400万片电磁阀智能芯片及2万台高端电磁阀项目</w:t>
            </w:r>
            <w:r>
              <w:rPr>
                <w:rFonts w:hint="eastAsia" w:ascii="Times New Roman" w:cs="Times New Roman"/>
                <w:color w:val="auto"/>
                <w:kern w:val="0"/>
                <w:sz w:val="24"/>
                <w:szCs w:val="24"/>
                <w:highlight w:val="none"/>
                <w:lang w:val="en-US" w:eastAsia="zh-CN"/>
              </w:rPr>
              <w:t>位于</w:t>
            </w:r>
            <w:r>
              <w:rPr>
                <w:rFonts w:hint="eastAsia" w:ascii="Times New Roman" w:hAnsi="Times New Roman" w:eastAsia="宋体" w:cs="Times New Roman"/>
                <w:color w:val="auto"/>
                <w:kern w:val="0"/>
                <w:sz w:val="24"/>
                <w:szCs w:val="24"/>
                <w:highlight w:val="none"/>
                <w:lang w:val="en-US" w:eastAsia="zh-CN"/>
              </w:rPr>
              <w:t>浙江省湖州市德清县阜溪街道新丰北路599号</w:t>
            </w:r>
            <w:r>
              <w:rPr>
                <w:rFonts w:ascii="Times New Roman" w:hAnsi="Times New Roman"/>
                <w:color w:val="auto"/>
                <w:sz w:val="24"/>
                <w:szCs w:val="24"/>
              </w:rPr>
              <w:t>，</w:t>
            </w:r>
            <w:r>
              <w:rPr>
                <w:rFonts w:hint="eastAsia" w:ascii="Times New Roman" w:hAnsi="Times New Roman"/>
                <w:color w:val="auto"/>
                <w:sz w:val="24"/>
                <w:szCs w:val="24"/>
              </w:rPr>
              <w:t>项目建设符合《建设项目环境保护管理条例》（国务院令第682号）“四性五不批”要求，符合《关于以改善环境质量为核心加强环境影响评价管理的通知》（环环评〔2016〕150号）中“三线一单”要求，符合《浙江省建设项目环境保护管理办法》（浙江省人民政府令第388号）中规定的审批原则，符合当地总体规划，符合国家、地方产业政策，选址合理。本项目营运过程中产生的各类污染源均能够得到有效控制并做到达标排放，符合总量控制和达标排放的原则，对环境影响不大，环境风险很小，从环保角度看，本项目在所选</w:t>
            </w:r>
            <w:r>
              <w:rPr>
                <w:rFonts w:hint="eastAsia" w:ascii="Times New Roman"/>
                <w:color w:val="auto"/>
                <w:sz w:val="24"/>
                <w:szCs w:val="24"/>
                <w:lang w:val="en-US" w:eastAsia="zh-CN"/>
              </w:rPr>
              <w:t>地址</w:t>
            </w:r>
            <w:r>
              <w:rPr>
                <w:rFonts w:hint="eastAsia" w:ascii="Times New Roman" w:hAnsi="Times New Roman"/>
                <w:color w:val="auto"/>
                <w:sz w:val="24"/>
                <w:szCs w:val="24"/>
              </w:rPr>
              <w:t>上实施是可行的</w:t>
            </w:r>
            <w:r>
              <w:rPr>
                <w:rFonts w:ascii="Times New Roman" w:hAnsi="Times New Roman"/>
                <w:color w:val="auto"/>
                <w:sz w:val="24"/>
                <w:szCs w:val="24"/>
              </w:rPr>
              <w:t>。</w:t>
            </w:r>
          </w:p>
          <w:p w14:paraId="37175C81">
            <w:pPr>
              <w:jc w:val="both"/>
              <w:rPr>
                <w:color w:val="FF0000"/>
              </w:rPr>
            </w:pPr>
          </w:p>
          <w:p w14:paraId="6C1B51D4">
            <w:pPr>
              <w:jc w:val="both"/>
              <w:rPr>
                <w:color w:val="FF0000"/>
              </w:rPr>
            </w:pPr>
          </w:p>
          <w:p w14:paraId="05EE2ED1">
            <w:pPr>
              <w:jc w:val="both"/>
              <w:rPr>
                <w:color w:val="FF0000"/>
              </w:rPr>
            </w:pPr>
          </w:p>
          <w:p w14:paraId="4B8DC3A6">
            <w:pPr>
              <w:jc w:val="both"/>
              <w:rPr>
                <w:color w:val="FF0000"/>
              </w:rPr>
            </w:pPr>
          </w:p>
          <w:p w14:paraId="0AC5026E">
            <w:pPr>
              <w:jc w:val="both"/>
              <w:rPr>
                <w:color w:val="FF0000"/>
              </w:rPr>
            </w:pPr>
          </w:p>
          <w:p w14:paraId="3A9C4859">
            <w:pPr>
              <w:jc w:val="both"/>
              <w:rPr>
                <w:color w:val="FF0000"/>
              </w:rPr>
            </w:pPr>
          </w:p>
          <w:p w14:paraId="007527CA">
            <w:pPr>
              <w:jc w:val="both"/>
              <w:rPr>
                <w:color w:val="FF0000"/>
              </w:rPr>
            </w:pPr>
          </w:p>
          <w:p w14:paraId="2AEFF5A4">
            <w:pPr>
              <w:jc w:val="both"/>
              <w:rPr>
                <w:color w:val="FF0000"/>
              </w:rPr>
            </w:pPr>
          </w:p>
          <w:p w14:paraId="1320DA40">
            <w:pPr>
              <w:jc w:val="both"/>
              <w:rPr>
                <w:color w:val="FF0000"/>
              </w:rPr>
            </w:pPr>
          </w:p>
          <w:p w14:paraId="3DF2ECEE">
            <w:pPr>
              <w:jc w:val="both"/>
              <w:rPr>
                <w:color w:val="FF0000"/>
              </w:rPr>
            </w:pPr>
          </w:p>
          <w:p w14:paraId="5650580D">
            <w:pPr>
              <w:jc w:val="both"/>
              <w:rPr>
                <w:color w:val="FF0000"/>
              </w:rPr>
            </w:pPr>
          </w:p>
          <w:p w14:paraId="2EECA862">
            <w:pPr>
              <w:jc w:val="both"/>
              <w:rPr>
                <w:color w:val="FF0000"/>
              </w:rPr>
            </w:pPr>
          </w:p>
          <w:p w14:paraId="14BF464E">
            <w:pPr>
              <w:jc w:val="both"/>
              <w:rPr>
                <w:color w:val="FF0000"/>
              </w:rPr>
            </w:pPr>
          </w:p>
          <w:p w14:paraId="221BAF8A">
            <w:pPr>
              <w:jc w:val="both"/>
              <w:rPr>
                <w:color w:val="FF0000"/>
              </w:rPr>
            </w:pPr>
          </w:p>
          <w:p w14:paraId="2DF5576C">
            <w:pPr>
              <w:jc w:val="both"/>
              <w:rPr>
                <w:color w:val="FF0000"/>
              </w:rPr>
            </w:pPr>
          </w:p>
          <w:p w14:paraId="3887FEFB">
            <w:pPr>
              <w:jc w:val="both"/>
              <w:rPr>
                <w:color w:val="FF0000"/>
              </w:rPr>
            </w:pPr>
          </w:p>
          <w:p w14:paraId="5F111DFD">
            <w:pPr>
              <w:jc w:val="both"/>
              <w:rPr>
                <w:color w:val="FF0000"/>
              </w:rPr>
            </w:pPr>
          </w:p>
          <w:p w14:paraId="1DBAB573">
            <w:pPr>
              <w:jc w:val="both"/>
              <w:rPr>
                <w:color w:val="FF0000"/>
              </w:rPr>
            </w:pPr>
          </w:p>
          <w:p w14:paraId="4E4C1488">
            <w:pPr>
              <w:jc w:val="both"/>
              <w:rPr>
                <w:color w:val="FF0000"/>
              </w:rPr>
            </w:pPr>
          </w:p>
          <w:p w14:paraId="756B6164">
            <w:pPr>
              <w:jc w:val="both"/>
              <w:rPr>
                <w:color w:val="FF0000"/>
              </w:rPr>
            </w:pPr>
          </w:p>
          <w:p w14:paraId="6E98B8BC">
            <w:pPr>
              <w:jc w:val="both"/>
              <w:rPr>
                <w:color w:val="FF0000"/>
              </w:rPr>
            </w:pPr>
          </w:p>
          <w:p w14:paraId="561C8969">
            <w:pPr>
              <w:jc w:val="both"/>
              <w:rPr>
                <w:color w:val="FF0000"/>
              </w:rPr>
            </w:pPr>
          </w:p>
          <w:p w14:paraId="019A8320">
            <w:pPr>
              <w:jc w:val="both"/>
              <w:rPr>
                <w:color w:val="FF0000"/>
              </w:rPr>
            </w:pPr>
          </w:p>
          <w:p w14:paraId="3F08C035">
            <w:pPr>
              <w:jc w:val="both"/>
              <w:rPr>
                <w:color w:val="FF0000"/>
              </w:rPr>
            </w:pPr>
          </w:p>
          <w:p w14:paraId="4652B1F0">
            <w:pPr>
              <w:jc w:val="both"/>
              <w:rPr>
                <w:color w:val="FF0000"/>
              </w:rPr>
            </w:pPr>
          </w:p>
          <w:p w14:paraId="10375097">
            <w:pPr>
              <w:jc w:val="both"/>
              <w:rPr>
                <w:color w:val="FF0000"/>
              </w:rPr>
            </w:pPr>
          </w:p>
          <w:p w14:paraId="720FA44C">
            <w:pPr>
              <w:jc w:val="both"/>
              <w:rPr>
                <w:color w:val="FF0000"/>
              </w:rPr>
            </w:pPr>
          </w:p>
        </w:tc>
      </w:tr>
    </w:tbl>
    <w:p w14:paraId="753FCE53">
      <w:pPr>
        <w:rPr>
          <w:rFonts w:hint="eastAsia"/>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3C062EFD">
      <w:pPr>
        <w:widowControl/>
        <w:shd w:val="clear" w:color="auto" w:fill="FFFFFF"/>
        <w:spacing w:line="616" w:lineRule="atLeast"/>
        <w:jc w:val="center"/>
        <w:rPr>
          <w:rFonts w:hint="eastAsia" w:ascii="宋体" w:hAnsi="宋体" w:eastAsia="宋体" w:cs="宋体"/>
          <w:b/>
          <w:bCs/>
          <w:color w:val="auto"/>
          <w:spacing w:val="9"/>
          <w:kern w:val="0"/>
          <w:sz w:val="24"/>
          <w:szCs w:val="24"/>
        </w:rPr>
      </w:pPr>
      <w:r>
        <w:rPr>
          <w:rFonts w:hint="eastAsia" w:ascii="宋体" w:hAnsi="宋体" w:eastAsia="宋体" w:cs="宋体"/>
          <w:b/>
          <w:bCs/>
          <w:color w:val="auto"/>
          <w:spacing w:val="9"/>
          <w:kern w:val="0"/>
          <w:sz w:val="24"/>
          <w:szCs w:val="24"/>
        </w:rPr>
        <w:t>建设项目污染物排放量汇总表</w:t>
      </w:r>
    </w:p>
    <w:p w14:paraId="09592C46">
      <w:pPr>
        <w:jc w:val="right"/>
        <w:rPr>
          <w:rFonts w:hint="eastAsia"/>
          <w:color w:val="auto"/>
        </w:rPr>
      </w:pPr>
      <w:r>
        <w:rPr>
          <w:rFonts w:ascii="Times New Roman" w:hAnsi="Times New Roman" w:cs="Times New Roman"/>
          <w:color w:val="auto"/>
          <w:spacing w:val="9"/>
          <w:kern w:val="0"/>
          <w:szCs w:val="21"/>
        </w:rPr>
        <w:t>单位：</w:t>
      </w:r>
      <w:r>
        <w:rPr>
          <w:rFonts w:ascii="Times New Roman" w:hAnsi="Times New Roman" w:cs="Times New Roman"/>
          <w:color w:val="auto"/>
          <w:szCs w:val="21"/>
        </w:rPr>
        <w:t>t/a</w:t>
      </w:r>
    </w:p>
    <w:tbl>
      <w:tblPr>
        <w:tblStyle w:val="23"/>
        <w:tblW w:w="14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0"/>
        <w:gridCol w:w="1984"/>
        <w:gridCol w:w="1888"/>
        <w:gridCol w:w="1297"/>
        <w:gridCol w:w="1735"/>
        <w:gridCol w:w="1657"/>
        <w:gridCol w:w="1537"/>
        <w:gridCol w:w="1940"/>
        <w:gridCol w:w="1482"/>
      </w:tblGrid>
      <w:tr w14:paraId="008E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tcMar>
              <w:top w:w="0" w:type="dxa"/>
              <w:left w:w="28" w:type="dxa"/>
              <w:bottom w:w="0" w:type="dxa"/>
              <w:right w:w="28" w:type="dxa"/>
            </w:tcMar>
            <w:vAlign w:val="center"/>
          </w:tcPr>
          <w:p w14:paraId="0B3E6E9F">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项目</w:t>
            </w:r>
          </w:p>
          <w:p w14:paraId="6B561EAB">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分类</w:t>
            </w:r>
          </w:p>
        </w:tc>
        <w:tc>
          <w:tcPr>
            <w:tcW w:w="1984" w:type="dxa"/>
            <w:tcMar>
              <w:top w:w="0" w:type="dxa"/>
              <w:left w:w="28" w:type="dxa"/>
              <w:bottom w:w="0" w:type="dxa"/>
              <w:right w:w="28" w:type="dxa"/>
            </w:tcMar>
            <w:vAlign w:val="center"/>
          </w:tcPr>
          <w:p w14:paraId="05323815">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污染物名称</w:t>
            </w:r>
          </w:p>
        </w:tc>
        <w:tc>
          <w:tcPr>
            <w:tcW w:w="1888" w:type="dxa"/>
            <w:tcMar>
              <w:top w:w="0" w:type="dxa"/>
              <w:left w:w="28" w:type="dxa"/>
              <w:bottom w:w="0" w:type="dxa"/>
              <w:right w:w="28" w:type="dxa"/>
            </w:tcMar>
            <w:vAlign w:val="center"/>
          </w:tcPr>
          <w:p w14:paraId="59868D3D">
            <w:pPr>
              <w:widowControl/>
              <w:wordWrap w:val="0"/>
              <w:jc w:val="center"/>
              <w:rPr>
                <w:rFonts w:ascii="Times New Roman" w:hAnsi="Times New Roman" w:eastAsia="宋体" w:cs="Times New Roman"/>
                <w:color w:val="auto"/>
                <w:kern w:val="0"/>
                <w:szCs w:val="21"/>
              </w:rPr>
            </w:pPr>
            <w:r>
              <w:rPr>
                <w:rFonts w:hint="eastAsia" w:ascii="Times New Roman" w:hAnsi="Times New Roman" w:eastAsia="黑体" w:cs="Times New Roman"/>
                <w:color w:val="auto"/>
                <w:spacing w:val="-6"/>
                <w:kern w:val="0"/>
                <w:szCs w:val="21"/>
                <w:lang w:val="en-US" w:eastAsia="zh-CN"/>
              </w:rPr>
              <w:t>现有</w:t>
            </w:r>
            <w:r>
              <w:rPr>
                <w:rFonts w:ascii="Times New Roman" w:hAnsi="Times New Roman" w:eastAsia="黑体" w:cs="Times New Roman"/>
                <w:color w:val="auto"/>
                <w:spacing w:val="-6"/>
                <w:kern w:val="0"/>
                <w:szCs w:val="21"/>
              </w:rPr>
              <w:t>工程</w:t>
            </w:r>
          </w:p>
          <w:p w14:paraId="3E5B14D5">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排放量（固体废物产生量）</w:t>
            </w:r>
            <w:r>
              <w:rPr>
                <w:rFonts w:ascii="Times New Roman" w:hAnsi="Times New Roman" w:eastAsia="黑体" w:cs="Times New Roman"/>
                <w:color w:val="auto"/>
                <w:kern w:val="0"/>
                <w:szCs w:val="21"/>
              </w:rPr>
              <w:t>①</w:t>
            </w:r>
          </w:p>
        </w:tc>
        <w:tc>
          <w:tcPr>
            <w:tcW w:w="1297" w:type="dxa"/>
            <w:tcMar>
              <w:top w:w="0" w:type="dxa"/>
              <w:left w:w="28" w:type="dxa"/>
              <w:bottom w:w="0" w:type="dxa"/>
              <w:right w:w="28" w:type="dxa"/>
            </w:tcMar>
            <w:vAlign w:val="center"/>
          </w:tcPr>
          <w:p w14:paraId="25D182C4">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现有工程</w:t>
            </w:r>
          </w:p>
          <w:p w14:paraId="647AA6BB">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许可排放量②</w:t>
            </w:r>
          </w:p>
        </w:tc>
        <w:tc>
          <w:tcPr>
            <w:tcW w:w="1735" w:type="dxa"/>
            <w:tcMar>
              <w:top w:w="0" w:type="dxa"/>
              <w:left w:w="28" w:type="dxa"/>
              <w:bottom w:w="0" w:type="dxa"/>
              <w:right w:w="28" w:type="dxa"/>
            </w:tcMar>
            <w:vAlign w:val="center"/>
          </w:tcPr>
          <w:p w14:paraId="443F2193">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在建工程</w:t>
            </w:r>
          </w:p>
          <w:p w14:paraId="4A4CB276">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排放量（固体废物产生量）</w:t>
            </w:r>
            <w:r>
              <w:rPr>
                <w:rFonts w:ascii="Times New Roman" w:hAnsi="Times New Roman" w:eastAsia="黑体" w:cs="Times New Roman"/>
                <w:color w:val="auto"/>
                <w:kern w:val="0"/>
                <w:szCs w:val="21"/>
              </w:rPr>
              <w:t>③</w:t>
            </w:r>
          </w:p>
        </w:tc>
        <w:tc>
          <w:tcPr>
            <w:tcW w:w="1657" w:type="dxa"/>
            <w:tcMar>
              <w:top w:w="0" w:type="dxa"/>
              <w:left w:w="28" w:type="dxa"/>
              <w:bottom w:w="0" w:type="dxa"/>
              <w:right w:w="28" w:type="dxa"/>
            </w:tcMar>
            <w:vAlign w:val="center"/>
          </w:tcPr>
          <w:p w14:paraId="5718092A">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本项目</w:t>
            </w:r>
          </w:p>
          <w:p w14:paraId="3C10DB83">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排放量（固体废物产生量）</w:t>
            </w:r>
            <w:r>
              <w:rPr>
                <w:rFonts w:ascii="Times New Roman" w:hAnsi="Times New Roman" w:eastAsia="黑体" w:cs="Times New Roman"/>
                <w:color w:val="auto"/>
                <w:kern w:val="0"/>
                <w:szCs w:val="21"/>
              </w:rPr>
              <w:t>④</w:t>
            </w:r>
          </w:p>
        </w:tc>
        <w:tc>
          <w:tcPr>
            <w:tcW w:w="1537" w:type="dxa"/>
            <w:tcMar>
              <w:top w:w="0" w:type="dxa"/>
              <w:left w:w="28" w:type="dxa"/>
              <w:bottom w:w="0" w:type="dxa"/>
              <w:right w:w="28" w:type="dxa"/>
            </w:tcMar>
            <w:vAlign w:val="center"/>
          </w:tcPr>
          <w:p w14:paraId="60859B0E">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16"/>
                <w:kern w:val="0"/>
                <w:szCs w:val="21"/>
              </w:rPr>
              <w:t>以新带老削减量</w:t>
            </w:r>
          </w:p>
          <w:p w14:paraId="1A43BD49">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16"/>
                <w:kern w:val="0"/>
                <w:szCs w:val="21"/>
              </w:rPr>
              <w:t>（新建项目不填）</w:t>
            </w:r>
            <w:r>
              <w:rPr>
                <w:rFonts w:ascii="Times New Roman" w:hAnsi="Times New Roman" w:eastAsia="黑体" w:cs="Times New Roman"/>
                <w:color w:val="auto"/>
                <w:kern w:val="0"/>
                <w:szCs w:val="21"/>
              </w:rPr>
              <w:t>⑤</w:t>
            </w:r>
          </w:p>
        </w:tc>
        <w:tc>
          <w:tcPr>
            <w:tcW w:w="1940" w:type="dxa"/>
            <w:tcMar>
              <w:top w:w="0" w:type="dxa"/>
              <w:left w:w="28" w:type="dxa"/>
              <w:bottom w:w="0" w:type="dxa"/>
              <w:right w:w="28" w:type="dxa"/>
            </w:tcMar>
            <w:vAlign w:val="center"/>
          </w:tcPr>
          <w:p w14:paraId="453156AD">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16"/>
                <w:kern w:val="0"/>
                <w:szCs w:val="21"/>
              </w:rPr>
              <w:t>本项目建成后</w:t>
            </w:r>
          </w:p>
          <w:p w14:paraId="49C55050">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16"/>
                <w:kern w:val="0"/>
                <w:szCs w:val="21"/>
              </w:rPr>
              <w:t>全厂排放量（固体废物产生量）</w:t>
            </w:r>
            <w:r>
              <w:rPr>
                <w:rFonts w:ascii="Times New Roman" w:hAnsi="Times New Roman" w:eastAsia="黑体" w:cs="Times New Roman"/>
                <w:color w:val="auto"/>
                <w:kern w:val="0"/>
                <w:szCs w:val="21"/>
              </w:rPr>
              <w:t>⑥</w:t>
            </w:r>
          </w:p>
        </w:tc>
        <w:tc>
          <w:tcPr>
            <w:tcW w:w="1482" w:type="dxa"/>
            <w:tcMar>
              <w:top w:w="0" w:type="dxa"/>
              <w:left w:w="28" w:type="dxa"/>
              <w:bottom w:w="0" w:type="dxa"/>
              <w:right w:w="28" w:type="dxa"/>
            </w:tcMar>
            <w:vAlign w:val="center"/>
          </w:tcPr>
          <w:p w14:paraId="06DF608A">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spacing w:val="-6"/>
                <w:kern w:val="0"/>
                <w:szCs w:val="21"/>
              </w:rPr>
              <w:t>变化量</w:t>
            </w:r>
          </w:p>
          <w:p w14:paraId="0FE5F93F">
            <w:pPr>
              <w:widowControl/>
              <w:wordWrap w:val="0"/>
              <w:jc w:val="center"/>
              <w:rPr>
                <w:rFonts w:ascii="Times New Roman" w:hAnsi="Times New Roman" w:eastAsia="宋体" w:cs="Times New Roman"/>
                <w:color w:val="auto"/>
                <w:kern w:val="0"/>
                <w:szCs w:val="21"/>
              </w:rPr>
            </w:pPr>
            <w:r>
              <w:rPr>
                <w:rFonts w:ascii="Times New Roman" w:hAnsi="Times New Roman" w:eastAsia="黑体" w:cs="Times New Roman"/>
                <w:color w:val="auto"/>
                <w:kern w:val="0"/>
                <w:szCs w:val="21"/>
              </w:rPr>
              <w:t>⑦</w:t>
            </w:r>
          </w:p>
        </w:tc>
      </w:tr>
      <w:tr w14:paraId="16237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restart"/>
            <w:tcMar>
              <w:top w:w="0" w:type="dxa"/>
              <w:left w:w="108" w:type="dxa"/>
              <w:bottom w:w="0" w:type="dxa"/>
              <w:right w:w="108" w:type="dxa"/>
            </w:tcMar>
            <w:vAlign w:val="center"/>
          </w:tcPr>
          <w:p w14:paraId="46F2253E">
            <w:pPr>
              <w:widowControl/>
              <w:wordWrap w:val="0"/>
              <w:jc w:val="center"/>
              <w:rPr>
                <w:rFonts w:ascii="Times New Roman" w:hAnsi="Times New Roman" w:cs="Times New Roman"/>
                <w:color w:val="auto"/>
              </w:rPr>
            </w:pPr>
            <w:r>
              <w:rPr>
                <w:rFonts w:ascii="Times New Roman" w:hAnsi="Times New Roman" w:cs="Times New Roman"/>
                <w:color w:val="auto"/>
              </w:rPr>
              <w:t>废气</w:t>
            </w:r>
          </w:p>
        </w:tc>
        <w:tc>
          <w:tcPr>
            <w:tcW w:w="1984" w:type="dxa"/>
            <w:tcMar>
              <w:top w:w="0" w:type="dxa"/>
              <w:left w:w="108" w:type="dxa"/>
              <w:bottom w:w="0" w:type="dxa"/>
              <w:right w:w="108" w:type="dxa"/>
            </w:tcMar>
            <w:vAlign w:val="center"/>
          </w:tcPr>
          <w:p w14:paraId="66B22142">
            <w:pPr>
              <w:tabs>
                <w:tab w:val="left" w:pos="4830"/>
              </w:tabs>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auto"/>
                <w:kern w:val="0"/>
                <w:szCs w:val="21"/>
                <w:lang w:val="en-US" w:eastAsia="zh-CN"/>
              </w:rPr>
              <w:t>颗粒物、锡及其化合物</w:t>
            </w:r>
          </w:p>
        </w:tc>
        <w:tc>
          <w:tcPr>
            <w:tcW w:w="1888" w:type="dxa"/>
            <w:tcMar>
              <w:top w:w="0" w:type="dxa"/>
              <w:left w:w="108" w:type="dxa"/>
              <w:bottom w:w="0" w:type="dxa"/>
              <w:right w:w="108" w:type="dxa"/>
            </w:tcMar>
            <w:vAlign w:val="center"/>
          </w:tcPr>
          <w:p w14:paraId="42B238A3">
            <w:pPr>
              <w:spacing w:line="240" w:lineRule="auto"/>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Mar>
              <w:top w:w="0" w:type="dxa"/>
              <w:left w:w="108" w:type="dxa"/>
              <w:bottom w:w="0" w:type="dxa"/>
              <w:right w:w="108" w:type="dxa"/>
            </w:tcMar>
            <w:vAlign w:val="center"/>
          </w:tcPr>
          <w:p w14:paraId="3F0111C0">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Mar>
              <w:top w:w="0" w:type="dxa"/>
              <w:left w:w="108" w:type="dxa"/>
              <w:bottom w:w="0" w:type="dxa"/>
              <w:right w:w="108" w:type="dxa"/>
            </w:tcMar>
            <w:vAlign w:val="center"/>
          </w:tcPr>
          <w:p w14:paraId="36D6AD00">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Mar>
              <w:top w:w="0" w:type="dxa"/>
              <w:left w:w="108" w:type="dxa"/>
              <w:bottom w:w="0" w:type="dxa"/>
              <w:right w:w="108" w:type="dxa"/>
            </w:tcMar>
            <w:vAlign w:val="center"/>
          </w:tcPr>
          <w:p w14:paraId="11DC5122">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少量</w:t>
            </w:r>
          </w:p>
        </w:tc>
        <w:tc>
          <w:tcPr>
            <w:tcW w:w="1537" w:type="dxa"/>
            <w:tcMar>
              <w:top w:w="0" w:type="dxa"/>
              <w:left w:w="108" w:type="dxa"/>
              <w:bottom w:w="0" w:type="dxa"/>
              <w:right w:w="108" w:type="dxa"/>
            </w:tcMar>
            <w:vAlign w:val="center"/>
          </w:tcPr>
          <w:p w14:paraId="1AD3F684">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940" w:type="dxa"/>
            <w:tcMar>
              <w:top w:w="0" w:type="dxa"/>
              <w:left w:w="108" w:type="dxa"/>
              <w:bottom w:w="0" w:type="dxa"/>
              <w:right w:w="108" w:type="dxa"/>
            </w:tcMar>
            <w:vAlign w:val="center"/>
          </w:tcPr>
          <w:p w14:paraId="6266D48B">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少量</w:t>
            </w:r>
          </w:p>
        </w:tc>
        <w:tc>
          <w:tcPr>
            <w:tcW w:w="1482" w:type="dxa"/>
            <w:tcMar>
              <w:top w:w="0" w:type="dxa"/>
              <w:left w:w="108" w:type="dxa"/>
              <w:bottom w:w="0" w:type="dxa"/>
              <w:right w:w="108" w:type="dxa"/>
            </w:tcMar>
            <w:vAlign w:val="center"/>
          </w:tcPr>
          <w:p w14:paraId="3CBB8BF9">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r>
      <w:tr w14:paraId="173DD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shd w:val="clear" w:color="auto" w:fill="FF0000"/>
            <w:tcMar>
              <w:top w:w="0" w:type="dxa"/>
              <w:left w:w="108" w:type="dxa"/>
              <w:bottom w:w="0" w:type="dxa"/>
              <w:right w:w="108" w:type="dxa"/>
            </w:tcMar>
            <w:vAlign w:val="center"/>
          </w:tcPr>
          <w:p w14:paraId="4AAE41E9">
            <w:pPr>
              <w:widowControl/>
              <w:wordWrap w:val="0"/>
              <w:jc w:val="center"/>
              <w:rPr>
                <w:rFonts w:ascii="Times New Roman" w:hAnsi="Times New Roman" w:cs="Times New Roman"/>
                <w:color w:val="auto"/>
              </w:rPr>
            </w:pPr>
          </w:p>
        </w:tc>
        <w:tc>
          <w:tcPr>
            <w:tcW w:w="1984" w:type="dxa"/>
            <w:tcBorders>
              <w:bottom w:val="single" w:color="auto" w:sz="4" w:space="0"/>
            </w:tcBorders>
            <w:shd w:val="clear" w:color="auto" w:fill="auto"/>
            <w:tcMar>
              <w:top w:w="0" w:type="dxa"/>
              <w:left w:w="108" w:type="dxa"/>
              <w:bottom w:w="0" w:type="dxa"/>
              <w:right w:w="108" w:type="dxa"/>
            </w:tcMar>
            <w:vAlign w:val="center"/>
          </w:tcPr>
          <w:p w14:paraId="23887DE7">
            <w:pPr>
              <w:tabs>
                <w:tab w:val="left" w:pos="4830"/>
              </w:tabs>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非甲烷总烃</w:t>
            </w:r>
          </w:p>
        </w:tc>
        <w:tc>
          <w:tcPr>
            <w:tcW w:w="1888" w:type="dxa"/>
            <w:tcBorders>
              <w:bottom w:val="single" w:color="auto" w:sz="4" w:space="0"/>
            </w:tcBorders>
            <w:shd w:val="clear" w:color="auto" w:fill="auto"/>
            <w:tcMar>
              <w:top w:w="0" w:type="dxa"/>
              <w:left w:w="108" w:type="dxa"/>
              <w:bottom w:w="0" w:type="dxa"/>
              <w:right w:w="108" w:type="dxa"/>
            </w:tcMar>
            <w:vAlign w:val="center"/>
          </w:tcPr>
          <w:p w14:paraId="3732C50C">
            <w:pPr>
              <w:spacing w:line="240" w:lineRule="auto"/>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bottom w:val="single" w:color="auto" w:sz="4" w:space="0"/>
            </w:tcBorders>
            <w:shd w:val="clear" w:color="auto" w:fill="auto"/>
            <w:tcMar>
              <w:top w:w="0" w:type="dxa"/>
              <w:left w:w="108" w:type="dxa"/>
              <w:bottom w:w="0" w:type="dxa"/>
              <w:right w:w="108" w:type="dxa"/>
            </w:tcMar>
            <w:vAlign w:val="center"/>
          </w:tcPr>
          <w:p w14:paraId="44B3FB08">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bottom w:val="single" w:color="auto" w:sz="4" w:space="0"/>
            </w:tcBorders>
            <w:shd w:val="clear" w:color="auto" w:fill="auto"/>
            <w:tcMar>
              <w:top w:w="0" w:type="dxa"/>
              <w:left w:w="108" w:type="dxa"/>
              <w:bottom w:w="0" w:type="dxa"/>
              <w:right w:w="108" w:type="dxa"/>
            </w:tcMar>
            <w:vAlign w:val="center"/>
          </w:tcPr>
          <w:p w14:paraId="735478E7">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bottom w:val="single" w:color="auto" w:sz="4" w:space="0"/>
            </w:tcBorders>
            <w:shd w:val="clear" w:color="auto" w:fill="auto"/>
            <w:tcMar>
              <w:top w:w="0" w:type="dxa"/>
              <w:left w:w="108" w:type="dxa"/>
              <w:bottom w:w="0" w:type="dxa"/>
              <w:right w:w="108" w:type="dxa"/>
            </w:tcMar>
            <w:vAlign w:val="center"/>
          </w:tcPr>
          <w:p w14:paraId="603C6350">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0.055</w:t>
            </w:r>
          </w:p>
        </w:tc>
        <w:tc>
          <w:tcPr>
            <w:tcW w:w="1537" w:type="dxa"/>
            <w:tcBorders>
              <w:bottom w:val="single" w:color="auto" w:sz="4" w:space="0"/>
            </w:tcBorders>
            <w:shd w:val="clear" w:color="auto" w:fill="auto"/>
            <w:tcMar>
              <w:top w:w="0" w:type="dxa"/>
              <w:left w:w="108" w:type="dxa"/>
              <w:bottom w:w="0" w:type="dxa"/>
              <w:right w:w="108" w:type="dxa"/>
            </w:tcMar>
            <w:vAlign w:val="center"/>
          </w:tcPr>
          <w:p w14:paraId="5650BB02">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bottom w:val="single" w:color="auto" w:sz="4" w:space="0"/>
            </w:tcBorders>
            <w:shd w:val="clear" w:color="auto" w:fill="auto"/>
            <w:tcMar>
              <w:top w:w="0" w:type="dxa"/>
              <w:left w:w="108" w:type="dxa"/>
              <w:bottom w:w="0" w:type="dxa"/>
              <w:right w:w="108" w:type="dxa"/>
            </w:tcMar>
            <w:vAlign w:val="center"/>
          </w:tcPr>
          <w:p w14:paraId="527B4341">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0.055</w:t>
            </w:r>
          </w:p>
        </w:tc>
        <w:tc>
          <w:tcPr>
            <w:tcW w:w="1482" w:type="dxa"/>
            <w:tcBorders>
              <w:bottom w:val="single" w:color="auto" w:sz="4" w:space="0"/>
            </w:tcBorders>
            <w:shd w:val="clear" w:color="auto" w:fill="auto"/>
            <w:tcMar>
              <w:top w:w="0" w:type="dxa"/>
              <w:left w:w="108" w:type="dxa"/>
              <w:bottom w:w="0" w:type="dxa"/>
              <w:right w:w="108" w:type="dxa"/>
            </w:tcMar>
            <w:vAlign w:val="center"/>
          </w:tcPr>
          <w:p w14:paraId="69321A8E">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0.055</w:t>
            </w:r>
          </w:p>
        </w:tc>
      </w:tr>
      <w:tr w14:paraId="413EA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shd w:val="clear" w:color="auto" w:fill="FF0000"/>
            <w:tcMar>
              <w:top w:w="0" w:type="dxa"/>
              <w:left w:w="108" w:type="dxa"/>
              <w:bottom w:w="0" w:type="dxa"/>
              <w:right w:w="108" w:type="dxa"/>
            </w:tcMar>
            <w:vAlign w:val="center"/>
          </w:tcPr>
          <w:p w14:paraId="35F8104C">
            <w:pPr>
              <w:widowControl/>
              <w:wordWrap w:val="0"/>
              <w:jc w:val="center"/>
              <w:rPr>
                <w:rFonts w:ascii="Times New Roman" w:hAnsi="Times New Roman" w:cs="Times New Roman"/>
                <w:color w:val="auto"/>
              </w:rPr>
            </w:pPr>
          </w:p>
        </w:tc>
        <w:tc>
          <w:tcPr>
            <w:tcW w:w="1984"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3E37FBDC">
            <w:pPr>
              <w:tabs>
                <w:tab w:val="left" w:pos="4830"/>
              </w:tabs>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苯乙烯</w:t>
            </w:r>
          </w:p>
        </w:tc>
        <w:tc>
          <w:tcPr>
            <w:tcW w:w="1888"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4FD70F6C">
            <w:pPr>
              <w:spacing w:line="240" w:lineRule="auto"/>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4F35E0E6">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597C673">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5CBB769B">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0.024</w:t>
            </w:r>
          </w:p>
        </w:tc>
        <w:tc>
          <w:tcPr>
            <w:tcW w:w="153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02C624C7">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15DBCA91">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0.024</w:t>
            </w:r>
          </w:p>
        </w:tc>
        <w:tc>
          <w:tcPr>
            <w:tcW w:w="1482"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2084245F">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0.024</w:t>
            </w:r>
          </w:p>
        </w:tc>
      </w:tr>
      <w:tr w14:paraId="130FF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shd w:val="clear" w:color="auto" w:fill="FF0000"/>
            <w:tcMar>
              <w:top w:w="0" w:type="dxa"/>
              <w:left w:w="108" w:type="dxa"/>
              <w:bottom w:w="0" w:type="dxa"/>
              <w:right w:w="108" w:type="dxa"/>
            </w:tcMar>
            <w:vAlign w:val="center"/>
          </w:tcPr>
          <w:p w14:paraId="34BBB8B0">
            <w:pPr>
              <w:widowControl/>
              <w:wordWrap w:val="0"/>
              <w:jc w:val="center"/>
              <w:rPr>
                <w:rFonts w:ascii="Times New Roman" w:hAnsi="Times New Roman" w:cs="Times New Roman"/>
                <w:color w:val="auto"/>
              </w:rPr>
            </w:pPr>
          </w:p>
        </w:tc>
        <w:tc>
          <w:tcPr>
            <w:tcW w:w="1984"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11D0BFF2">
            <w:pPr>
              <w:tabs>
                <w:tab w:val="left" w:pos="4830"/>
              </w:tabs>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臭气浓度</w:t>
            </w:r>
          </w:p>
        </w:tc>
        <w:tc>
          <w:tcPr>
            <w:tcW w:w="1888"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7770F9D">
            <w:pPr>
              <w:spacing w:line="240" w:lineRule="auto"/>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5097C79C">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86FDFF7">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C517AD5">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少量</w:t>
            </w:r>
          </w:p>
        </w:tc>
        <w:tc>
          <w:tcPr>
            <w:tcW w:w="153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0E397F38">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52A31322">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少量</w:t>
            </w:r>
          </w:p>
        </w:tc>
        <w:tc>
          <w:tcPr>
            <w:tcW w:w="1482"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8D9D272">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w:t>
            </w:r>
          </w:p>
        </w:tc>
      </w:tr>
      <w:tr w14:paraId="14610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shd w:val="clear" w:color="auto" w:fill="FF0000"/>
            <w:tcMar>
              <w:top w:w="0" w:type="dxa"/>
              <w:left w:w="108" w:type="dxa"/>
              <w:bottom w:w="0" w:type="dxa"/>
              <w:right w:w="108" w:type="dxa"/>
            </w:tcMar>
            <w:vAlign w:val="center"/>
          </w:tcPr>
          <w:p w14:paraId="3CB9FA4B">
            <w:pPr>
              <w:widowControl/>
              <w:wordWrap w:val="0"/>
              <w:jc w:val="center"/>
              <w:rPr>
                <w:rFonts w:ascii="Times New Roman" w:hAnsi="Times New Roman" w:cs="Times New Roman"/>
                <w:color w:val="auto"/>
              </w:rPr>
            </w:pPr>
          </w:p>
        </w:tc>
        <w:tc>
          <w:tcPr>
            <w:tcW w:w="1984"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0171ACFA">
            <w:pPr>
              <w:tabs>
                <w:tab w:val="left" w:pos="4830"/>
              </w:tabs>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油烟</w:t>
            </w:r>
          </w:p>
        </w:tc>
        <w:tc>
          <w:tcPr>
            <w:tcW w:w="1888"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37477EB5">
            <w:pPr>
              <w:spacing w:line="240" w:lineRule="auto"/>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7EE9C54C">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36F9DD8">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6909C584">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0.005</w:t>
            </w:r>
          </w:p>
        </w:tc>
        <w:tc>
          <w:tcPr>
            <w:tcW w:w="1537"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0BE33782">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115B9A4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0.005</w:t>
            </w:r>
          </w:p>
        </w:tc>
        <w:tc>
          <w:tcPr>
            <w:tcW w:w="1482" w:type="dxa"/>
            <w:tcBorders>
              <w:top w:val="single" w:color="auto" w:sz="4" w:space="0"/>
              <w:bottom w:val="single" w:color="auto" w:sz="4" w:space="0"/>
            </w:tcBorders>
            <w:shd w:val="clear" w:color="auto" w:fill="auto"/>
            <w:tcMar>
              <w:top w:w="0" w:type="dxa"/>
              <w:left w:w="108" w:type="dxa"/>
              <w:bottom w:w="0" w:type="dxa"/>
              <w:right w:w="108" w:type="dxa"/>
            </w:tcMar>
            <w:vAlign w:val="center"/>
          </w:tcPr>
          <w:p w14:paraId="1E2C3302">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0.005</w:t>
            </w:r>
          </w:p>
        </w:tc>
      </w:tr>
      <w:tr w14:paraId="57F2F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restart"/>
            <w:tcMar>
              <w:top w:w="0" w:type="dxa"/>
              <w:left w:w="108" w:type="dxa"/>
              <w:bottom w:w="0" w:type="dxa"/>
              <w:right w:w="108" w:type="dxa"/>
            </w:tcMar>
            <w:vAlign w:val="center"/>
          </w:tcPr>
          <w:p w14:paraId="69323AB8">
            <w:pPr>
              <w:widowControl/>
              <w:wordWrap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废水</w:t>
            </w:r>
          </w:p>
        </w:tc>
        <w:tc>
          <w:tcPr>
            <w:tcW w:w="1984" w:type="dxa"/>
            <w:tcMar>
              <w:top w:w="0" w:type="dxa"/>
              <w:left w:w="108" w:type="dxa"/>
              <w:bottom w:w="0" w:type="dxa"/>
              <w:right w:w="108" w:type="dxa"/>
            </w:tcMar>
            <w:vAlign w:val="center"/>
          </w:tcPr>
          <w:p w14:paraId="60992783">
            <w:pPr>
              <w:autoSpaceDE w:val="0"/>
              <w:autoSpaceDN w:val="0"/>
              <w:jc w:val="center"/>
              <w:rPr>
                <w:rFonts w:ascii="Times New Roman" w:hAnsi="Times New Roman" w:eastAsia="宋体" w:cs="Times New Roman"/>
                <w:color w:val="auto"/>
                <w:szCs w:val="21"/>
              </w:rPr>
            </w:pPr>
            <w:r>
              <w:rPr>
                <w:rFonts w:ascii="Times New Roman" w:hAnsi="Times New Roman"/>
                <w:b w:val="0"/>
                <w:bCs w:val="0"/>
                <w:color w:val="auto"/>
                <w:sz w:val="21"/>
                <w:szCs w:val="21"/>
                <w:highlight w:val="none"/>
              </w:rPr>
              <w:t>COD</w:t>
            </w:r>
            <w:r>
              <w:rPr>
                <w:rFonts w:ascii="Times New Roman" w:hAnsi="Times New Roman"/>
                <w:b w:val="0"/>
                <w:bCs w:val="0"/>
                <w:color w:val="auto"/>
                <w:sz w:val="21"/>
                <w:szCs w:val="21"/>
                <w:highlight w:val="none"/>
                <w:vertAlign w:val="subscript"/>
              </w:rPr>
              <w:t>Cr</w:t>
            </w:r>
          </w:p>
        </w:tc>
        <w:tc>
          <w:tcPr>
            <w:tcW w:w="1888" w:type="dxa"/>
            <w:tcMar>
              <w:top w:w="0" w:type="dxa"/>
              <w:left w:w="108" w:type="dxa"/>
              <w:bottom w:w="0" w:type="dxa"/>
              <w:right w:w="108" w:type="dxa"/>
            </w:tcMar>
            <w:vAlign w:val="center"/>
          </w:tcPr>
          <w:p w14:paraId="3F95FD8D">
            <w:pPr>
              <w:spacing w:line="2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97" w:type="dxa"/>
            <w:tcMar>
              <w:top w:w="0" w:type="dxa"/>
              <w:left w:w="108" w:type="dxa"/>
              <w:bottom w:w="0" w:type="dxa"/>
              <w:right w:w="108" w:type="dxa"/>
            </w:tcMar>
            <w:vAlign w:val="center"/>
          </w:tcPr>
          <w:p w14:paraId="1149B94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5" w:type="dxa"/>
            <w:tcMar>
              <w:top w:w="0" w:type="dxa"/>
              <w:left w:w="108" w:type="dxa"/>
              <w:bottom w:w="0" w:type="dxa"/>
              <w:right w:w="108" w:type="dxa"/>
            </w:tcMar>
            <w:vAlign w:val="center"/>
          </w:tcPr>
          <w:p w14:paraId="3636633D">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Mar>
              <w:top w:w="0" w:type="dxa"/>
              <w:left w:w="108" w:type="dxa"/>
              <w:bottom w:w="0" w:type="dxa"/>
              <w:right w:w="108" w:type="dxa"/>
            </w:tcMar>
            <w:vAlign w:val="center"/>
          </w:tcPr>
          <w:p w14:paraId="381206B8">
            <w:pPr>
              <w:widowControl w:val="0"/>
              <w:adjustRightInd w:val="0"/>
              <w:snapToGrid w:val="0"/>
              <w:spacing w:line="240" w:lineRule="auto"/>
              <w:jc w:val="center"/>
              <w:rPr>
                <w:rFonts w:hint="default" w:ascii="Times New Roman" w:hAnsi="Times New Roman" w:cs="Times New Roman" w:eastAsiaTheme="minorEastAsia"/>
                <w:color w:val="auto"/>
                <w:szCs w:val="21"/>
                <w:lang w:val="en-US" w:eastAsia="zh-CN"/>
              </w:rPr>
            </w:pPr>
            <w:r>
              <w:rPr>
                <w:rFonts w:hint="eastAsia" w:ascii="Times New Roman" w:hAnsi="Times New Roman" w:eastAsia="宋体" w:cs="Times New Roman"/>
                <w:b w:val="0"/>
                <w:bCs w:val="0"/>
                <w:color w:val="auto"/>
                <w:highlight w:val="none"/>
                <w:lang w:val="en-US" w:eastAsia="zh-CN"/>
              </w:rPr>
              <w:t>0.061</w:t>
            </w:r>
          </w:p>
        </w:tc>
        <w:tc>
          <w:tcPr>
            <w:tcW w:w="1537" w:type="dxa"/>
            <w:tcMar>
              <w:top w:w="0" w:type="dxa"/>
              <w:left w:w="108" w:type="dxa"/>
              <w:bottom w:w="0" w:type="dxa"/>
              <w:right w:w="108" w:type="dxa"/>
            </w:tcMar>
            <w:vAlign w:val="center"/>
          </w:tcPr>
          <w:p w14:paraId="1BCB648B">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Mar>
              <w:top w:w="0" w:type="dxa"/>
              <w:left w:w="108" w:type="dxa"/>
              <w:bottom w:w="0" w:type="dxa"/>
              <w:right w:w="108" w:type="dxa"/>
            </w:tcMar>
            <w:vAlign w:val="center"/>
          </w:tcPr>
          <w:p w14:paraId="10DB5502">
            <w:pPr>
              <w:widowControl w:val="0"/>
              <w:adjustRightInd w:val="0"/>
              <w:snapToGrid w:val="0"/>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b w:val="0"/>
                <w:bCs w:val="0"/>
                <w:color w:val="auto"/>
                <w:highlight w:val="none"/>
                <w:lang w:val="en-US" w:eastAsia="zh-CN"/>
              </w:rPr>
              <w:t>0.061</w:t>
            </w:r>
          </w:p>
        </w:tc>
        <w:tc>
          <w:tcPr>
            <w:tcW w:w="1482" w:type="dxa"/>
            <w:tcMar>
              <w:top w:w="0" w:type="dxa"/>
              <w:left w:w="108" w:type="dxa"/>
              <w:bottom w:w="0" w:type="dxa"/>
              <w:right w:w="108" w:type="dxa"/>
            </w:tcMar>
            <w:vAlign w:val="center"/>
          </w:tcPr>
          <w:p w14:paraId="7A98072B">
            <w:pPr>
              <w:widowControl w:val="0"/>
              <w:adjustRightInd w:val="0"/>
              <w:snapToGrid w:val="0"/>
              <w:spacing w:line="240" w:lineRule="auto"/>
              <w:jc w:val="center"/>
              <w:rPr>
                <w:rFonts w:hint="default" w:ascii="Times New Roman" w:hAnsi="Times New Roman" w:cs="Times New Roman" w:eastAsiaTheme="minorEastAsia"/>
                <w:bCs/>
                <w:color w:val="FF0000"/>
                <w:szCs w:val="21"/>
                <w:lang w:val="en-US" w:eastAsia="zh-CN"/>
              </w:rPr>
            </w:pPr>
            <w:r>
              <w:rPr>
                <w:rFonts w:hint="eastAsia" w:ascii="Times New Roman" w:hAnsi="Times New Roman" w:eastAsia="宋体" w:cs="Times New Roman"/>
                <w:b w:val="0"/>
                <w:bCs w:val="0"/>
                <w:color w:val="auto"/>
                <w:highlight w:val="none"/>
                <w:lang w:val="en-US" w:eastAsia="zh-CN"/>
              </w:rPr>
              <w:t>0.061</w:t>
            </w:r>
          </w:p>
        </w:tc>
      </w:tr>
      <w:tr w14:paraId="47CC2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437E8B86">
            <w:pPr>
              <w:widowControl/>
              <w:jc w:val="center"/>
              <w:rPr>
                <w:rFonts w:ascii="Times New Roman" w:hAnsi="Times New Roman" w:eastAsia="宋体" w:cs="Times New Roman"/>
                <w:color w:val="auto"/>
                <w:kern w:val="0"/>
                <w:szCs w:val="21"/>
              </w:rPr>
            </w:pPr>
          </w:p>
        </w:tc>
        <w:tc>
          <w:tcPr>
            <w:tcW w:w="1984" w:type="dxa"/>
            <w:tcBorders>
              <w:bottom w:val="single" w:color="auto" w:sz="4" w:space="0"/>
            </w:tcBorders>
            <w:tcMar>
              <w:top w:w="0" w:type="dxa"/>
              <w:left w:w="108" w:type="dxa"/>
              <w:bottom w:w="0" w:type="dxa"/>
              <w:right w:w="108" w:type="dxa"/>
            </w:tcMar>
            <w:vAlign w:val="center"/>
          </w:tcPr>
          <w:p w14:paraId="10E22EF1">
            <w:pPr>
              <w:autoSpaceDE w:val="0"/>
              <w:autoSpaceDN w:val="0"/>
              <w:jc w:val="center"/>
              <w:rPr>
                <w:rFonts w:ascii="Times New Roman" w:hAnsi="Times New Roman" w:eastAsia="宋体" w:cs="Times New Roman"/>
                <w:color w:val="auto"/>
                <w:szCs w:val="21"/>
              </w:rPr>
            </w:pPr>
            <w:r>
              <w:rPr>
                <w:rFonts w:ascii="Times New Roman" w:hAnsi="Times New Roman"/>
                <w:b w:val="0"/>
                <w:bCs w:val="0"/>
                <w:color w:val="auto"/>
                <w:sz w:val="21"/>
                <w:szCs w:val="21"/>
                <w:highlight w:val="none"/>
              </w:rPr>
              <w:t>NH</w:t>
            </w:r>
            <w:r>
              <w:rPr>
                <w:rFonts w:ascii="Times New Roman" w:hAnsi="Times New Roman"/>
                <w:b w:val="0"/>
                <w:bCs w:val="0"/>
                <w:color w:val="auto"/>
                <w:sz w:val="21"/>
                <w:szCs w:val="21"/>
                <w:highlight w:val="none"/>
                <w:vertAlign w:val="subscript"/>
              </w:rPr>
              <w:t>3</w:t>
            </w:r>
            <w:r>
              <w:rPr>
                <w:rFonts w:ascii="Times New Roman" w:hAnsi="Times New Roman"/>
                <w:b w:val="0"/>
                <w:bCs w:val="0"/>
                <w:color w:val="auto"/>
                <w:sz w:val="21"/>
                <w:szCs w:val="21"/>
                <w:highlight w:val="none"/>
              </w:rPr>
              <w:t>-N</w:t>
            </w:r>
          </w:p>
        </w:tc>
        <w:tc>
          <w:tcPr>
            <w:tcW w:w="1888" w:type="dxa"/>
            <w:tcBorders>
              <w:bottom w:val="single" w:color="auto" w:sz="4" w:space="0"/>
            </w:tcBorders>
            <w:tcMar>
              <w:top w:w="0" w:type="dxa"/>
              <w:left w:w="108" w:type="dxa"/>
              <w:bottom w:w="0" w:type="dxa"/>
              <w:right w:w="108" w:type="dxa"/>
            </w:tcMar>
            <w:vAlign w:val="center"/>
          </w:tcPr>
          <w:p w14:paraId="0DBD0BD7">
            <w:pPr>
              <w:spacing w:line="2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97" w:type="dxa"/>
            <w:tcBorders>
              <w:bottom w:val="single" w:color="auto" w:sz="4" w:space="0"/>
            </w:tcBorders>
            <w:tcMar>
              <w:top w:w="0" w:type="dxa"/>
              <w:left w:w="108" w:type="dxa"/>
              <w:bottom w:w="0" w:type="dxa"/>
              <w:right w:w="108" w:type="dxa"/>
            </w:tcMar>
            <w:vAlign w:val="center"/>
          </w:tcPr>
          <w:p w14:paraId="440FC5B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5" w:type="dxa"/>
            <w:tcBorders>
              <w:bottom w:val="single" w:color="auto" w:sz="4" w:space="0"/>
            </w:tcBorders>
            <w:tcMar>
              <w:top w:w="0" w:type="dxa"/>
              <w:left w:w="108" w:type="dxa"/>
              <w:bottom w:w="0" w:type="dxa"/>
              <w:right w:w="108" w:type="dxa"/>
            </w:tcMar>
            <w:vAlign w:val="center"/>
          </w:tcPr>
          <w:p w14:paraId="13BC232D">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Borders>
              <w:bottom w:val="single" w:color="auto" w:sz="4" w:space="0"/>
            </w:tcBorders>
            <w:tcMar>
              <w:top w:w="0" w:type="dxa"/>
              <w:left w:w="108" w:type="dxa"/>
              <w:bottom w:w="0" w:type="dxa"/>
              <w:right w:w="108" w:type="dxa"/>
            </w:tcMar>
            <w:vAlign w:val="center"/>
          </w:tcPr>
          <w:p w14:paraId="467712E2">
            <w:pPr>
              <w:widowControl w:val="0"/>
              <w:adjustRightInd w:val="0"/>
              <w:snapToGrid w:val="0"/>
              <w:spacing w:line="240" w:lineRule="auto"/>
              <w:jc w:val="center"/>
              <w:rPr>
                <w:rFonts w:hint="default" w:ascii="Times New Roman" w:hAnsi="Times New Roman" w:cs="Times New Roman" w:eastAsiaTheme="minorEastAsia"/>
                <w:color w:val="auto"/>
                <w:szCs w:val="21"/>
                <w:lang w:val="en-US" w:eastAsia="zh-CN"/>
              </w:rPr>
            </w:pPr>
            <w:r>
              <w:rPr>
                <w:rFonts w:hint="eastAsia" w:ascii="Times New Roman" w:hAnsi="Times New Roman" w:eastAsia="宋体" w:cs="Times New Roman"/>
                <w:b w:val="0"/>
                <w:bCs w:val="0"/>
                <w:color w:val="auto"/>
                <w:highlight w:val="none"/>
                <w:lang w:val="en-US" w:eastAsia="zh-CN"/>
              </w:rPr>
              <w:t>0.003</w:t>
            </w:r>
          </w:p>
        </w:tc>
        <w:tc>
          <w:tcPr>
            <w:tcW w:w="1537" w:type="dxa"/>
            <w:tcBorders>
              <w:bottom w:val="single" w:color="auto" w:sz="4" w:space="0"/>
            </w:tcBorders>
            <w:tcMar>
              <w:top w:w="0" w:type="dxa"/>
              <w:left w:w="108" w:type="dxa"/>
              <w:bottom w:w="0" w:type="dxa"/>
              <w:right w:w="108" w:type="dxa"/>
            </w:tcMar>
            <w:vAlign w:val="center"/>
          </w:tcPr>
          <w:p w14:paraId="156BEA3E">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bottom w:val="single" w:color="auto" w:sz="4" w:space="0"/>
            </w:tcBorders>
            <w:tcMar>
              <w:top w:w="0" w:type="dxa"/>
              <w:left w:w="108" w:type="dxa"/>
              <w:bottom w:w="0" w:type="dxa"/>
              <w:right w:w="108" w:type="dxa"/>
            </w:tcMar>
            <w:vAlign w:val="center"/>
          </w:tcPr>
          <w:p w14:paraId="1DB5C431">
            <w:pPr>
              <w:widowControl w:val="0"/>
              <w:adjustRightInd w:val="0"/>
              <w:snapToGrid w:val="0"/>
              <w:spacing w:line="240"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b w:val="0"/>
                <w:bCs w:val="0"/>
                <w:color w:val="auto"/>
                <w:highlight w:val="none"/>
                <w:lang w:val="en-US" w:eastAsia="zh-CN"/>
              </w:rPr>
              <w:t>0.003</w:t>
            </w:r>
          </w:p>
        </w:tc>
        <w:tc>
          <w:tcPr>
            <w:tcW w:w="1482" w:type="dxa"/>
            <w:tcBorders>
              <w:bottom w:val="single" w:color="auto" w:sz="4" w:space="0"/>
            </w:tcBorders>
            <w:tcMar>
              <w:top w:w="0" w:type="dxa"/>
              <w:left w:w="108" w:type="dxa"/>
              <w:bottom w:w="0" w:type="dxa"/>
              <w:right w:w="108" w:type="dxa"/>
            </w:tcMar>
            <w:vAlign w:val="center"/>
          </w:tcPr>
          <w:p w14:paraId="79DE3CAF">
            <w:pPr>
              <w:widowControl w:val="0"/>
              <w:adjustRightInd w:val="0"/>
              <w:snapToGrid w:val="0"/>
              <w:spacing w:line="240" w:lineRule="auto"/>
              <w:jc w:val="center"/>
              <w:rPr>
                <w:rFonts w:hint="default" w:ascii="Times New Roman" w:hAnsi="Times New Roman" w:cs="Times New Roman" w:eastAsiaTheme="minorEastAsia"/>
                <w:color w:val="FF0000"/>
                <w:szCs w:val="21"/>
                <w:lang w:val="en-US" w:eastAsia="zh-CN"/>
              </w:rPr>
            </w:pPr>
            <w:r>
              <w:rPr>
                <w:rFonts w:hint="eastAsia" w:ascii="Times New Roman" w:hAnsi="Times New Roman" w:eastAsia="宋体" w:cs="Times New Roman"/>
                <w:b w:val="0"/>
                <w:bCs w:val="0"/>
                <w:color w:val="auto"/>
                <w:highlight w:val="none"/>
                <w:lang w:val="en-US" w:eastAsia="zh-CN"/>
              </w:rPr>
              <w:t>0.003</w:t>
            </w:r>
          </w:p>
        </w:tc>
      </w:tr>
      <w:tr w14:paraId="446F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757EEDBF">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6F21F726">
            <w:pPr>
              <w:autoSpaceDE w:val="0"/>
              <w:autoSpaceDN w:val="0"/>
              <w:jc w:val="center"/>
              <w:rPr>
                <w:rFonts w:hint="eastAsia" w:ascii="Times New Roman" w:hAnsi="Times New Roman" w:eastAsiaTheme="minorEastAsia"/>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动植物油</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3118F6DC">
            <w:pPr>
              <w:spacing w:line="2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2211BF8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44B7EFC2">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51E35318">
            <w:pPr>
              <w:widowControl w:val="0"/>
              <w:adjustRightInd w:val="0"/>
              <w:snapToGrid w:val="0"/>
              <w:spacing w:line="240" w:lineRule="auto"/>
              <w:jc w:val="center"/>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0.002</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61B9FA0B">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555EB909">
            <w:pPr>
              <w:widowControl w:val="0"/>
              <w:adjustRightInd w:val="0"/>
              <w:snapToGrid w:val="0"/>
              <w:spacing w:line="240" w:lineRule="auto"/>
              <w:jc w:val="center"/>
              <w:rPr>
                <w:rFonts w:hint="eastAsia" w:ascii="Times New Roman" w:hAnsi="Times New Roman" w:eastAsia="宋体" w:cs="Times New Roman"/>
                <w:b w:val="0"/>
                <w:bCs w:val="0"/>
                <w:color w:val="FF0000"/>
                <w:highlight w:val="none"/>
                <w:lang w:val="en-US" w:eastAsia="zh-CN"/>
              </w:rPr>
            </w:pPr>
            <w:r>
              <w:rPr>
                <w:rFonts w:hint="eastAsia" w:ascii="Times New Roman" w:hAnsi="Times New Roman" w:eastAsia="宋体" w:cs="Times New Roman"/>
                <w:b w:val="0"/>
                <w:bCs w:val="0"/>
                <w:color w:val="auto"/>
                <w:highlight w:val="none"/>
                <w:lang w:val="en-US" w:eastAsia="zh-CN"/>
              </w:rPr>
              <w:t>0.002</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35F0658A">
            <w:pPr>
              <w:widowControl w:val="0"/>
              <w:adjustRightInd w:val="0"/>
              <w:snapToGrid w:val="0"/>
              <w:spacing w:line="240" w:lineRule="auto"/>
              <w:jc w:val="center"/>
              <w:rPr>
                <w:rFonts w:hint="eastAsia" w:ascii="Times New Roman" w:hAnsi="Times New Roman" w:eastAsia="宋体" w:cs="Times New Roman"/>
                <w:b w:val="0"/>
                <w:bCs w:val="0"/>
                <w:color w:val="FF0000"/>
                <w:highlight w:val="none"/>
                <w:lang w:val="en-US" w:eastAsia="zh-CN"/>
              </w:rPr>
            </w:pPr>
            <w:r>
              <w:rPr>
                <w:rFonts w:hint="eastAsia" w:ascii="Times New Roman" w:hAnsi="Times New Roman" w:eastAsia="宋体" w:cs="Times New Roman"/>
                <w:b w:val="0"/>
                <w:bCs w:val="0"/>
                <w:color w:val="auto"/>
                <w:highlight w:val="none"/>
                <w:lang w:val="en-US" w:eastAsia="zh-CN"/>
              </w:rPr>
              <w:t>0.002</w:t>
            </w:r>
          </w:p>
        </w:tc>
      </w:tr>
      <w:tr w14:paraId="0A71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restart"/>
            <w:tcBorders>
              <w:top w:val="single" w:color="auto" w:sz="4" w:space="0"/>
            </w:tcBorders>
            <w:vAlign w:val="center"/>
          </w:tcPr>
          <w:p w14:paraId="0D2D765E">
            <w:pPr>
              <w:widowControl/>
              <w:wordWrap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一般工业</w:t>
            </w:r>
          </w:p>
          <w:p w14:paraId="0F68E24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固体废物</w:t>
            </w:r>
          </w:p>
        </w:tc>
        <w:tc>
          <w:tcPr>
            <w:tcW w:w="1984" w:type="dxa"/>
            <w:tcBorders>
              <w:bottom w:val="single" w:color="auto" w:sz="4" w:space="0"/>
            </w:tcBorders>
            <w:tcMar>
              <w:top w:w="0" w:type="dxa"/>
              <w:left w:w="108" w:type="dxa"/>
              <w:bottom w:w="0" w:type="dxa"/>
              <w:right w:w="108" w:type="dxa"/>
            </w:tcMar>
            <w:vAlign w:val="center"/>
          </w:tcPr>
          <w:p w14:paraId="3E173A39">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一般废包装材料</w:t>
            </w:r>
          </w:p>
        </w:tc>
        <w:tc>
          <w:tcPr>
            <w:tcW w:w="1888" w:type="dxa"/>
            <w:tcBorders>
              <w:bottom w:val="single" w:color="auto" w:sz="4" w:space="0"/>
            </w:tcBorders>
            <w:tcMar>
              <w:top w:w="0" w:type="dxa"/>
              <w:left w:w="108" w:type="dxa"/>
              <w:bottom w:w="0" w:type="dxa"/>
              <w:right w:w="108" w:type="dxa"/>
            </w:tcMar>
            <w:vAlign w:val="center"/>
          </w:tcPr>
          <w:p w14:paraId="49A8184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97" w:type="dxa"/>
            <w:tcBorders>
              <w:bottom w:val="single" w:color="auto" w:sz="4" w:space="0"/>
            </w:tcBorders>
            <w:tcMar>
              <w:top w:w="0" w:type="dxa"/>
              <w:left w:w="108" w:type="dxa"/>
              <w:bottom w:w="0" w:type="dxa"/>
              <w:right w:w="108" w:type="dxa"/>
            </w:tcMar>
            <w:vAlign w:val="center"/>
          </w:tcPr>
          <w:p w14:paraId="2E9D1077">
            <w:pPr>
              <w:jc w:val="center"/>
              <w:rPr>
                <w:rFonts w:ascii="Times New Roman" w:hAnsi="Times New Roman" w:eastAsia="宋体" w:cs="Times New Roman"/>
                <w:color w:val="auto"/>
                <w:szCs w:val="21"/>
              </w:rPr>
            </w:pPr>
            <w:r>
              <w:rPr>
                <w:rFonts w:hint="eastAsia" w:ascii="Times New Roman" w:hAnsi="Times New Roman" w:eastAsia="宋体" w:cs="Times New Roman"/>
                <w:color w:val="auto"/>
                <w:kern w:val="0"/>
                <w:szCs w:val="21"/>
                <w:lang w:val="en-US" w:eastAsia="zh-CN"/>
              </w:rPr>
              <w:t>/</w:t>
            </w:r>
          </w:p>
        </w:tc>
        <w:tc>
          <w:tcPr>
            <w:tcW w:w="1735" w:type="dxa"/>
            <w:tcBorders>
              <w:bottom w:val="single" w:color="auto" w:sz="4" w:space="0"/>
            </w:tcBorders>
            <w:tcMar>
              <w:top w:w="0" w:type="dxa"/>
              <w:left w:w="108" w:type="dxa"/>
              <w:bottom w:w="0" w:type="dxa"/>
              <w:right w:w="108" w:type="dxa"/>
            </w:tcMar>
            <w:vAlign w:val="center"/>
          </w:tcPr>
          <w:p w14:paraId="5E617581">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Borders>
              <w:bottom w:val="single" w:color="auto" w:sz="4" w:space="0"/>
            </w:tcBorders>
            <w:tcMar>
              <w:top w:w="0" w:type="dxa"/>
              <w:left w:w="108" w:type="dxa"/>
              <w:bottom w:w="0" w:type="dxa"/>
              <w:right w:w="108" w:type="dxa"/>
            </w:tcMar>
            <w:vAlign w:val="center"/>
          </w:tcPr>
          <w:p w14:paraId="24C51BE0">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6.172</w:t>
            </w:r>
          </w:p>
        </w:tc>
        <w:tc>
          <w:tcPr>
            <w:tcW w:w="1537" w:type="dxa"/>
            <w:tcBorders>
              <w:bottom w:val="single" w:color="auto" w:sz="4" w:space="0"/>
            </w:tcBorders>
            <w:tcMar>
              <w:top w:w="0" w:type="dxa"/>
              <w:left w:w="108" w:type="dxa"/>
              <w:bottom w:w="0" w:type="dxa"/>
              <w:right w:w="108" w:type="dxa"/>
            </w:tcMar>
            <w:vAlign w:val="center"/>
          </w:tcPr>
          <w:p w14:paraId="2051FF4D">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940" w:type="dxa"/>
            <w:tcBorders>
              <w:bottom w:val="single" w:color="auto" w:sz="4" w:space="0"/>
            </w:tcBorders>
            <w:tcMar>
              <w:top w:w="0" w:type="dxa"/>
              <w:left w:w="108" w:type="dxa"/>
              <w:bottom w:w="0" w:type="dxa"/>
              <w:right w:w="108" w:type="dxa"/>
            </w:tcMar>
            <w:vAlign w:val="center"/>
          </w:tcPr>
          <w:p w14:paraId="495A5B1E">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6.172</w:t>
            </w:r>
          </w:p>
        </w:tc>
        <w:tc>
          <w:tcPr>
            <w:tcW w:w="1482" w:type="dxa"/>
            <w:tcBorders>
              <w:bottom w:val="single" w:color="auto" w:sz="4" w:space="0"/>
            </w:tcBorders>
            <w:tcMar>
              <w:top w:w="0" w:type="dxa"/>
              <w:left w:w="108" w:type="dxa"/>
              <w:bottom w:w="0" w:type="dxa"/>
              <w:right w:w="108" w:type="dxa"/>
            </w:tcMar>
            <w:vAlign w:val="center"/>
          </w:tcPr>
          <w:p w14:paraId="4807A990">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6.172</w:t>
            </w:r>
          </w:p>
        </w:tc>
      </w:tr>
      <w:tr w14:paraId="061E9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2441D92F">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16565F5D">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b w:val="0"/>
                <w:bCs/>
                <w:color w:val="auto"/>
                <w:szCs w:val="21"/>
                <w:lang w:val="en-US" w:eastAsia="zh-CN"/>
              </w:rPr>
              <w:t>废塑料</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01BD684C">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74DDC90C">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3AD121BC">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71A984F1">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0.02</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57A97DD8">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1EB83E74">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0.02</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4CCF5B55">
            <w:pPr>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0.02</w:t>
            </w:r>
          </w:p>
        </w:tc>
      </w:tr>
      <w:tr w14:paraId="5590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61099382">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1B0E0747">
            <w:pPr>
              <w:adjustRightInd w:val="0"/>
              <w:snapToGrid w:val="0"/>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焊渣</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239DAC42">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3007CC91">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75D29B05">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1CB6D672">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0.005</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155B1F91">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2D4DC695">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0.005</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1DB37F69">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0.005</w:t>
            </w:r>
          </w:p>
        </w:tc>
      </w:tr>
      <w:tr w14:paraId="7AA49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vAlign w:val="center"/>
          </w:tcPr>
          <w:p w14:paraId="5A84FD02">
            <w:pPr>
              <w:widowControl/>
              <w:jc w:val="center"/>
              <w:rPr>
                <w:rFonts w:ascii="Times New Roman" w:hAnsi="Times New Roman" w:eastAsia="宋体" w:cs="Times New Roman"/>
                <w:color w:val="auto"/>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70C1FDF3">
            <w:pPr>
              <w:adjustRightInd w:val="0"/>
              <w:snapToGrid w:val="0"/>
              <w:jc w:val="center"/>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lang w:val="en-US" w:eastAsia="zh-CN"/>
              </w:rPr>
              <w:t>废丝网纸</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6B3B255C">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6A9EA004">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5B3CC5B6">
            <w:pPr>
              <w:widowControl/>
              <w:wordWrap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61AA5E9B">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0.05</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60354FAB">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12D6906E">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0.05</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0381C08F">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0.05</w:t>
            </w:r>
          </w:p>
        </w:tc>
      </w:tr>
      <w:tr w14:paraId="3CC7D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restart"/>
            <w:tcBorders>
              <w:top w:val="single" w:color="auto" w:sz="4" w:space="0"/>
            </w:tcBorders>
            <w:tcMar>
              <w:top w:w="0" w:type="dxa"/>
              <w:left w:w="108" w:type="dxa"/>
              <w:bottom w:w="0" w:type="dxa"/>
              <w:right w:w="108" w:type="dxa"/>
            </w:tcMar>
            <w:vAlign w:val="center"/>
          </w:tcPr>
          <w:p w14:paraId="31D5BE03">
            <w:pPr>
              <w:widowControl/>
              <w:wordWrap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危险废物</w:t>
            </w:r>
          </w:p>
        </w:tc>
        <w:tc>
          <w:tcPr>
            <w:tcW w:w="1984" w:type="dxa"/>
            <w:tcMar>
              <w:top w:w="0" w:type="dxa"/>
              <w:left w:w="108" w:type="dxa"/>
              <w:bottom w:w="0" w:type="dxa"/>
              <w:right w:w="108" w:type="dxa"/>
            </w:tcMar>
            <w:vAlign w:val="center"/>
          </w:tcPr>
          <w:p w14:paraId="6E67A254">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auto"/>
                <w:szCs w:val="21"/>
                <w:lang w:val="en-US" w:eastAsia="zh-CN"/>
              </w:rPr>
              <w:t>废活性炭</w:t>
            </w:r>
          </w:p>
        </w:tc>
        <w:tc>
          <w:tcPr>
            <w:tcW w:w="1888" w:type="dxa"/>
            <w:tcMar>
              <w:top w:w="0" w:type="dxa"/>
              <w:left w:w="108" w:type="dxa"/>
              <w:bottom w:w="0" w:type="dxa"/>
              <w:right w:w="108" w:type="dxa"/>
            </w:tcMar>
            <w:vAlign w:val="center"/>
          </w:tcPr>
          <w:p w14:paraId="013CF794">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Mar>
              <w:top w:w="0" w:type="dxa"/>
              <w:left w:w="108" w:type="dxa"/>
              <w:bottom w:w="0" w:type="dxa"/>
              <w:right w:w="108" w:type="dxa"/>
            </w:tcMar>
            <w:vAlign w:val="center"/>
          </w:tcPr>
          <w:p w14:paraId="6E73221F">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735" w:type="dxa"/>
            <w:tcMar>
              <w:top w:w="0" w:type="dxa"/>
              <w:left w:w="108" w:type="dxa"/>
              <w:bottom w:w="0" w:type="dxa"/>
              <w:right w:w="108" w:type="dxa"/>
            </w:tcMar>
            <w:vAlign w:val="center"/>
          </w:tcPr>
          <w:p w14:paraId="02FD832B">
            <w:pPr>
              <w:widowControl/>
              <w:wordWrap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657" w:type="dxa"/>
            <w:tcMar>
              <w:top w:w="0" w:type="dxa"/>
              <w:left w:w="108" w:type="dxa"/>
              <w:bottom w:w="0" w:type="dxa"/>
              <w:right w:w="108" w:type="dxa"/>
            </w:tcMar>
            <w:vAlign w:val="center"/>
          </w:tcPr>
          <w:p w14:paraId="145AA0D7">
            <w:pPr>
              <w:adjustRightInd w:val="0"/>
              <w:snapToGrid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5.047</w:t>
            </w:r>
          </w:p>
        </w:tc>
        <w:tc>
          <w:tcPr>
            <w:tcW w:w="1537" w:type="dxa"/>
            <w:tcMar>
              <w:top w:w="0" w:type="dxa"/>
              <w:left w:w="108" w:type="dxa"/>
              <w:bottom w:w="0" w:type="dxa"/>
              <w:right w:w="108" w:type="dxa"/>
            </w:tcMar>
            <w:vAlign w:val="center"/>
          </w:tcPr>
          <w:p w14:paraId="7A4261BD">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w:t>
            </w:r>
          </w:p>
        </w:tc>
        <w:tc>
          <w:tcPr>
            <w:tcW w:w="1940" w:type="dxa"/>
            <w:tcMar>
              <w:top w:w="0" w:type="dxa"/>
              <w:left w:w="108" w:type="dxa"/>
              <w:bottom w:w="0" w:type="dxa"/>
              <w:right w:w="108" w:type="dxa"/>
            </w:tcMar>
            <w:vAlign w:val="center"/>
          </w:tcPr>
          <w:p w14:paraId="5BC6CA97">
            <w:pPr>
              <w:adjustRightInd w:val="0"/>
              <w:snapToGrid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5.047</w:t>
            </w:r>
          </w:p>
        </w:tc>
        <w:tc>
          <w:tcPr>
            <w:tcW w:w="1482" w:type="dxa"/>
            <w:tcMar>
              <w:top w:w="0" w:type="dxa"/>
              <w:left w:w="108" w:type="dxa"/>
              <w:bottom w:w="0" w:type="dxa"/>
              <w:right w:w="108" w:type="dxa"/>
            </w:tcMar>
            <w:vAlign w:val="center"/>
          </w:tcPr>
          <w:p w14:paraId="1B5CEE81">
            <w:pPr>
              <w:adjustRightInd w:val="0"/>
              <w:snapToGrid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5.047</w:t>
            </w:r>
          </w:p>
        </w:tc>
      </w:tr>
      <w:tr w14:paraId="2617F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tcMar>
              <w:top w:w="0" w:type="dxa"/>
              <w:left w:w="108" w:type="dxa"/>
              <w:bottom w:w="0" w:type="dxa"/>
              <w:right w:w="108" w:type="dxa"/>
            </w:tcMar>
            <w:vAlign w:val="center"/>
          </w:tcPr>
          <w:p w14:paraId="22E46229">
            <w:pPr>
              <w:widowControl/>
              <w:wordWrap w:val="0"/>
              <w:jc w:val="center"/>
              <w:rPr>
                <w:rFonts w:ascii="Times New Roman" w:hAnsi="Times New Roman" w:eastAsia="宋体" w:cs="Times New Roman"/>
                <w:color w:val="FF0000"/>
                <w:kern w:val="0"/>
                <w:szCs w:val="21"/>
              </w:rPr>
            </w:pPr>
          </w:p>
        </w:tc>
        <w:tc>
          <w:tcPr>
            <w:tcW w:w="1984" w:type="dxa"/>
            <w:tcMar>
              <w:top w:w="0" w:type="dxa"/>
              <w:left w:w="108" w:type="dxa"/>
              <w:bottom w:w="0" w:type="dxa"/>
              <w:right w:w="108" w:type="dxa"/>
            </w:tcMar>
            <w:vAlign w:val="center"/>
          </w:tcPr>
          <w:p w14:paraId="00AECC43">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废过滤棉</w:t>
            </w:r>
          </w:p>
        </w:tc>
        <w:tc>
          <w:tcPr>
            <w:tcW w:w="1888" w:type="dxa"/>
            <w:tcMar>
              <w:top w:w="0" w:type="dxa"/>
              <w:left w:w="108" w:type="dxa"/>
              <w:bottom w:w="0" w:type="dxa"/>
              <w:right w:w="108" w:type="dxa"/>
            </w:tcMar>
            <w:vAlign w:val="center"/>
          </w:tcPr>
          <w:p w14:paraId="3347BB44">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Mar>
              <w:top w:w="0" w:type="dxa"/>
              <w:left w:w="108" w:type="dxa"/>
              <w:bottom w:w="0" w:type="dxa"/>
              <w:right w:w="108" w:type="dxa"/>
            </w:tcMar>
            <w:vAlign w:val="center"/>
          </w:tcPr>
          <w:p w14:paraId="25683B08">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Mar>
              <w:top w:w="0" w:type="dxa"/>
              <w:left w:w="108" w:type="dxa"/>
              <w:bottom w:w="0" w:type="dxa"/>
              <w:right w:w="108" w:type="dxa"/>
            </w:tcMar>
            <w:vAlign w:val="center"/>
          </w:tcPr>
          <w:p w14:paraId="080B01CD">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Mar>
              <w:top w:w="0" w:type="dxa"/>
              <w:left w:w="108" w:type="dxa"/>
              <w:bottom w:w="0" w:type="dxa"/>
              <w:right w:w="108" w:type="dxa"/>
            </w:tcMar>
            <w:vAlign w:val="center"/>
          </w:tcPr>
          <w:p w14:paraId="69C26074">
            <w:pPr>
              <w:adjustRightInd w:val="0"/>
              <w:snapToGrid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0.02</w:t>
            </w:r>
          </w:p>
        </w:tc>
        <w:tc>
          <w:tcPr>
            <w:tcW w:w="1537" w:type="dxa"/>
            <w:tcMar>
              <w:top w:w="0" w:type="dxa"/>
              <w:left w:w="108" w:type="dxa"/>
              <w:bottom w:w="0" w:type="dxa"/>
              <w:right w:w="108" w:type="dxa"/>
            </w:tcMar>
            <w:vAlign w:val="center"/>
          </w:tcPr>
          <w:p w14:paraId="51E1340B">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Mar>
              <w:top w:w="0" w:type="dxa"/>
              <w:left w:w="108" w:type="dxa"/>
              <w:bottom w:w="0" w:type="dxa"/>
              <w:right w:w="108" w:type="dxa"/>
            </w:tcMar>
            <w:vAlign w:val="center"/>
          </w:tcPr>
          <w:p w14:paraId="6E549BA3">
            <w:pPr>
              <w:adjustRightInd w:val="0"/>
              <w:snapToGrid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0.02</w:t>
            </w:r>
          </w:p>
        </w:tc>
        <w:tc>
          <w:tcPr>
            <w:tcW w:w="1482" w:type="dxa"/>
            <w:tcMar>
              <w:top w:w="0" w:type="dxa"/>
              <w:left w:w="108" w:type="dxa"/>
              <w:bottom w:w="0" w:type="dxa"/>
              <w:right w:w="108" w:type="dxa"/>
            </w:tcMar>
            <w:vAlign w:val="center"/>
          </w:tcPr>
          <w:p w14:paraId="1DC8DF68">
            <w:pPr>
              <w:adjustRightInd w:val="0"/>
              <w:snapToGrid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0.02</w:t>
            </w:r>
          </w:p>
        </w:tc>
      </w:tr>
      <w:tr w14:paraId="598FF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tcMar>
              <w:top w:w="0" w:type="dxa"/>
              <w:left w:w="108" w:type="dxa"/>
              <w:bottom w:w="0" w:type="dxa"/>
              <w:right w:w="108" w:type="dxa"/>
            </w:tcMar>
            <w:vAlign w:val="center"/>
          </w:tcPr>
          <w:p w14:paraId="73FACA48">
            <w:pPr>
              <w:widowControl/>
              <w:wordWrap w:val="0"/>
              <w:jc w:val="center"/>
              <w:rPr>
                <w:rFonts w:ascii="Times New Roman" w:hAnsi="Times New Roman" w:eastAsia="宋体" w:cs="Times New Roman"/>
                <w:color w:val="FF0000"/>
                <w:kern w:val="0"/>
                <w:szCs w:val="21"/>
              </w:rPr>
            </w:pPr>
          </w:p>
        </w:tc>
        <w:tc>
          <w:tcPr>
            <w:tcW w:w="1984" w:type="dxa"/>
            <w:tcBorders>
              <w:top w:val="single" w:color="auto" w:sz="4" w:space="0"/>
              <w:bottom w:val="single" w:color="auto" w:sz="4" w:space="0"/>
            </w:tcBorders>
            <w:tcMar>
              <w:top w:w="0" w:type="dxa"/>
              <w:left w:w="108" w:type="dxa"/>
              <w:bottom w:w="0" w:type="dxa"/>
              <w:right w:w="108" w:type="dxa"/>
            </w:tcMar>
            <w:vAlign w:val="center"/>
          </w:tcPr>
          <w:p w14:paraId="2FFC4352">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废清洗液</w:t>
            </w:r>
          </w:p>
        </w:tc>
        <w:tc>
          <w:tcPr>
            <w:tcW w:w="1888" w:type="dxa"/>
            <w:tcBorders>
              <w:top w:val="single" w:color="auto" w:sz="4" w:space="0"/>
              <w:bottom w:val="single" w:color="auto" w:sz="4" w:space="0"/>
            </w:tcBorders>
            <w:tcMar>
              <w:top w:w="0" w:type="dxa"/>
              <w:left w:w="108" w:type="dxa"/>
              <w:bottom w:w="0" w:type="dxa"/>
              <w:right w:w="108" w:type="dxa"/>
            </w:tcMar>
            <w:vAlign w:val="center"/>
          </w:tcPr>
          <w:p w14:paraId="2316392A">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bottom w:val="single" w:color="auto" w:sz="4" w:space="0"/>
            </w:tcBorders>
            <w:tcMar>
              <w:top w:w="0" w:type="dxa"/>
              <w:left w:w="108" w:type="dxa"/>
              <w:bottom w:w="0" w:type="dxa"/>
              <w:right w:w="108" w:type="dxa"/>
            </w:tcMar>
            <w:vAlign w:val="center"/>
          </w:tcPr>
          <w:p w14:paraId="7C063B05">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bottom w:val="single" w:color="auto" w:sz="4" w:space="0"/>
            </w:tcBorders>
            <w:tcMar>
              <w:top w:w="0" w:type="dxa"/>
              <w:left w:w="108" w:type="dxa"/>
              <w:bottom w:w="0" w:type="dxa"/>
              <w:right w:w="108" w:type="dxa"/>
            </w:tcMar>
            <w:vAlign w:val="center"/>
          </w:tcPr>
          <w:p w14:paraId="196AD100">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bottom w:val="single" w:color="auto" w:sz="4" w:space="0"/>
            </w:tcBorders>
            <w:tcMar>
              <w:top w:w="0" w:type="dxa"/>
              <w:left w:w="108" w:type="dxa"/>
              <w:bottom w:w="0" w:type="dxa"/>
              <w:right w:w="108" w:type="dxa"/>
            </w:tcMar>
            <w:vAlign w:val="center"/>
          </w:tcPr>
          <w:p w14:paraId="54CCF8DE">
            <w:pPr>
              <w:adjustRightInd w:val="0"/>
              <w:snapToGrid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0.45</w:t>
            </w:r>
          </w:p>
        </w:tc>
        <w:tc>
          <w:tcPr>
            <w:tcW w:w="1537" w:type="dxa"/>
            <w:tcBorders>
              <w:top w:val="single" w:color="auto" w:sz="4" w:space="0"/>
              <w:bottom w:val="single" w:color="auto" w:sz="4" w:space="0"/>
            </w:tcBorders>
            <w:tcMar>
              <w:top w:w="0" w:type="dxa"/>
              <w:left w:w="108" w:type="dxa"/>
              <w:bottom w:w="0" w:type="dxa"/>
              <w:right w:w="108" w:type="dxa"/>
            </w:tcMar>
            <w:vAlign w:val="center"/>
          </w:tcPr>
          <w:p w14:paraId="42C5AF4E">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bottom w:val="single" w:color="auto" w:sz="4" w:space="0"/>
            </w:tcBorders>
            <w:tcMar>
              <w:top w:w="0" w:type="dxa"/>
              <w:left w:w="108" w:type="dxa"/>
              <w:bottom w:w="0" w:type="dxa"/>
              <w:right w:w="108" w:type="dxa"/>
            </w:tcMar>
            <w:vAlign w:val="center"/>
          </w:tcPr>
          <w:p w14:paraId="0B2D94A3">
            <w:pPr>
              <w:adjustRightInd w:val="0"/>
              <w:snapToGrid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0.45</w:t>
            </w:r>
          </w:p>
        </w:tc>
        <w:tc>
          <w:tcPr>
            <w:tcW w:w="1482" w:type="dxa"/>
            <w:tcBorders>
              <w:top w:val="single" w:color="auto" w:sz="4" w:space="0"/>
              <w:bottom w:val="single" w:color="auto" w:sz="4" w:space="0"/>
            </w:tcBorders>
            <w:tcMar>
              <w:top w:w="0" w:type="dxa"/>
              <w:left w:w="108" w:type="dxa"/>
              <w:bottom w:w="0" w:type="dxa"/>
              <w:right w:w="108" w:type="dxa"/>
            </w:tcMar>
            <w:vAlign w:val="center"/>
          </w:tcPr>
          <w:p w14:paraId="3A0E43EC">
            <w:pPr>
              <w:adjustRightInd w:val="0"/>
              <w:snapToGrid w:val="0"/>
              <w:jc w:val="center"/>
              <w:rPr>
                <w:rFonts w:hint="eastAsia"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0.45</w:t>
            </w:r>
          </w:p>
        </w:tc>
      </w:tr>
      <w:tr w14:paraId="006B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0" w:type="dxa"/>
            <w:vMerge w:val="continue"/>
            <w:tcBorders>
              <w:bottom w:val="single" w:color="auto" w:sz="4" w:space="0"/>
            </w:tcBorders>
            <w:tcMar>
              <w:top w:w="0" w:type="dxa"/>
              <w:left w:w="108" w:type="dxa"/>
              <w:bottom w:w="0" w:type="dxa"/>
              <w:right w:w="108" w:type="dxa"/>
            </w:tcMar>
            <w:vAlign w:val="center"/>
          </w:tcPr>
          <w:p w14:paraId="064C1E89">
            <w:pPr>
              <w:widowControl/>
              <w:wordWrap w:val="0"/>
              <w:jc w:val="center"/>
              <w:rPr>
                <w:rFonts w:ascii="Times New Roman" w:hAnsi="Times New Roman" w:eastAsia="宋体" w:cs="Times New Roman"/>
                <w:color w:val="FF0000"/>
                <w:kern w:val="0"/>
                <w:szCs w:val="21"/>
              </w:rPr>
            </w:pPr>
          </w:p>
        </w:tc>
        <w:tc>
          <w:tcPr>
            <w:tcW w:w="1984" w:type="dxa"/>
            <w:tcBorders>
              <w:top w:val="single" w:color="auto" w:sz="4" w:space="0"/>
            </w:tcBorders>
            <w:tcMar>
              <w:top w:w="0" w:type="dxa"/>
              <w:left w:w="108" w:type="dxa"/>
              <w:bottom w:w="0" w:type="dxa"/>
              <w:right w:w="108" w:type="dxa"/>
            </w:tcMar>
            <w:vAlign w:val="center"/>
          </w:tcPr>
          <w:p w14:paraId="3FD2ACDC">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auto"/>
                <w:szCs w:val="21"/>
                <w:lang w:val="en-US" w:eastAsia="zh-CN"/>
              </w:rPr>
              <w:t>边角料</w:t>
            </w:r>
          </w:p>
        </w:tc>
        <w:tc>
          <w:tcPr>
            <w:tcW w:w="1888" w:type="dxa"/>
            <w:tcBorders>
              <w:top w:val="single" w:color="auto" w:sz="4" w:space="0"/>
            </w:tcBorders>
            <w:tcMar>
              <w:top w:w="0" w:type="dxa"/>
              <w:left w:w="108" w:type="dxa"/>
              <w:bottom w:w="0" w:type="dxa"/>
              <w:right w:w="108" w:type="dxa"/>
            </w:tcMar>
            <w:vAlign w:val="center"/>
          </w:tcPr>
          <w:p w14:paraId="3374987A">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297" w:type="dxa"/>
            <w:tcBorders>
              <w:top w:val="single" w:color="auto" w:sz="4" w:space="0"/>
            </w:tcBorders>
            <w:tcMar>
              <w:top w:w="0" w:type="dxa"/>
              <w:left w:w="108" w:type="dxa"/>
              <w:bottom w:w="0" w:type="dxa"/>
              <w:right w:w="108" w:type="dxa"/>
            </w:tcMar>
            <w:vAlign w:val="center"/>
          </w:tcPr>
          <w:p w14:paraId="1B35C672">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735" w:type="dxa"/>
            <w:tcBorders>
              <w:top w:val="single" w:color="auto" w:sz="4" w:space="0"/>
            </w:tcBorders>
            <w:tcMar>
              <w:top w:w="0" w:type="dxa"/>
              <w:left w:w="108" w:type="dxa"/>
              <w:bottom w:w="0" w:type="dxa"/>
              <w:right w:w="108" w:type="dxa"/>
            </w:tcMar>
            <w:vAlign w:val="center"/>
          </w:tcPr>
          <w:p w14:paraId="5269D2C2">
            <w:pPr>
              <w:widowControl/>
              <w:wordWrap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657" w:type="dxa"/>
            <w:tcBorders>
              <w:top w:val="single" w:color="auto" w:sz="4" w:space="0"/>
            </w:tcBorders>
            <w:tcMar>
              <w:top w:w="0" w:type="dxa"/>
              <w:left w:w="108" w:type="dxa"/>
              <w:bottom w:w="0" w:type="dxa"/>
              <w:right w:w="108" w:type="dxa"/>
            </w:tcMar>
            <w:vAlign w:val="center"/>
          </w:tcPr>
          <w:p w14:paraId="26554EB9">
            <w:pPr>
              <w:adjustRightInd w:val="0"/>
              <w:snapToGrid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0.05</w:t>
            </w:r>
          </w:p>
        </w:tc>
        <w:tc>
          <w:tcPr>
            <w:tcW w:w="1537" w:type="dxa"/>
            <w:tcBorders>
              <w:top w:val="single" w:color="auto" w:sz="4" w:space="0"/>
            </w:tcBorders>
            <w:tcMar>
              <w:top w:w="0" w:type="dxa"/>
              <w:left w:w="108" w:type="dxa"/>
              <w:bottom w:w="0" w:type="dxa"/>
              <w:right w:w="108" w:type="dxa"/>
            </w:tcMar>
            <w:vAlign w:val="center"/>
          </w:tcPr>
          <w:p w14:paraId="2E2A2CFB">
            <w:pPr>
              <w:jc w:val="center"/>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w:t>
            </w:r>
          </w:p>
        </w:tc>
        <w:tc>
          <w:tcPr>
            <w:tcW w:w="1940" w:type="dxa"/>
            <w:tcBorders>
              <w:top w:val="single" w:color="auto" w:sz="4" w:space="0"/>
            </w:tcBorders>
            <w:tcMar>
              <w:top w:w="0" w:type="dxa"/>
              <w:left w:w="108" w:type="dxa"/>
              <w:bottom w:w="0" w:type="dxa"/>
              <w:right w:w="108" w:type="dxa"/>
            </w:tcMar>
            <w:vAlign w:val="center"/>
          </w:tcPr>
          <w:p w14:paraId="303AAC8F">
            <w:pPr>
              <w:adjustRightInd w:val="0"/>
              <w:snapToGrid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0.05</w:t>
            </w:r>
          </w:p>
        </w:tc>
        <w:tc>
          <w:tcPr>
            <w:tcW w:w="1482" w:type="dxa"/>
            <w:tcBorders>
              <w:top w:val="single" w:color="auto" w:sz="4" w:space="0"/>
            </w:tcBorders>
            <w:tcMar>
              <w:top w:w="0" w:type="dxa"/>
              <w:left w:w="108" w:type="dxa"/>
              <w:bottom w:w="0" w:type="dxa"/>
              <w:right w:w="108" w:type="dxa"/>
            </w:tcMar>
            <w:vAlign w:val="center"/>
          </w:tcPr>
          <w:p w14:paraId="60EC7039">
            <w:pPr>
              <w:adjustRightInd w:val="0"/>
              <w:snapToGrid w:val="0"/>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auto"/>
                <w:szCs w:val="21"/>
                <w:lang w:val="en-US" w:eastAsia="zh-CN"/>
              </w:rPr>
              <w:t>0.05</w:t>
            </w:r>
          </w:p>
        </w:tc>
      </w:tr>
    </w:tbl>
    <w:p w14:paraId="7454B85B">
      <w:pPr>
        <w:pStyle w:val="7"/>
        <w:rPr>
          <w:rFonts w:hint="default" w:ascii="宋体" w:hAnsi="宋体" w:eastAsia="宋体" w:cs="宋体"/>
          <w:color w:val="auto"/>
          <w:spacing w:val="9"/>
          <w:kern w:val="0"/>
          <w:sz w:val="29"/>
          <w:szCs w:val="29"/>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color w:val="auto"/>
          <w:spacing w:val="9"/>
          <w:kern w:val="0"/>
          <w:sz w:val="29"/>
          <w:szCs w:val="29"/>
        </w:rPr>
        <w:t>注：⑥</w:t>
      </w:r>
      <w:r>
        <w:rPr>
          <w:rFonts w:hint="eastAsia" w:ascii="宋体" w:hAnsi="宋体" w:eastAsia="宋体" w:cs="宋体"/>
          <w:color w:val="auto"/>
          <w:spacing w:val="-16"/>
          <w:kern w:val="0"/>
          <w:sz w:val="29"/>
          <w:szCs w:val="29"/>
        </w:rPr>
        <w:t>=</w:t>
      </w:r>
      <w:r>
        <w:rPr>
          <w:rFonts w:hint="eastAsia" w:ascii="宋体" w:hAnsi="宋体" w:eastAsia="宋体" w:cs="宋体"/>
          <w:color w:val="auto"/>
          <w:spacing w:val="9"/>
          <w:kern w:val="0"/>
          <w:sz w:val="29"/>
          <w:szCs w:val="29"/>
        </w:rPr>
        <w:t>①</w:t>
      </w:r>
      <w:r>
        <w:rPr>
          <w:rFonts w:hint="eastAsia" w:ascii="宋体" w:hAnsi="宋体" w:eastAsia="宋体" w:cs="宋体"/>
          <w:color w:val="auto"/>
          <w:spacing w:val="-6"/>
          <w:kern w:val="0"/>
          <w:sz w:val="29"/>
          <w:szCs w:val="29"/>
        </w:rPr>
        <w:t>+</w:t>
      </w:r>
      <w:r>
        <w:rPr>
          <w:rFonts w:hint="eastAsia" w:ascii="宋体" w:hAnsi="宋体" w:eastAsia="宋体" w:cs="宋体"/>
          <w:color w:val="auto"/>
          <w:spacing w:val="9"/>
          <w:kern w:val="0"/>
          <w:sz w:val="29"/>
          <w:szCs w:val="29"/>
        </w:rPr>
        <w:t>③</w:t>
      </w:r>
      <w:r>
        <w:rPr>
          <w:rFonts w:hint="eastAsia" w:ascii="宋体" w:hAnsi="宋体" w:eastAsia="宋体" w:cs="宋体"/>
          <w:color w:val="auto"/>
          <w:spacing w:val="-6"/>
          <w:kern w:val="0"/>
          <w:sz w:val="29"/>
          <w:szCs w:val="29"/>
        </w:rPr>
        <w:t>+</w:t>
      </w:r>
      <w:r>
        <w:rPr>
          <w:rFonts w:hint="eastAsia" w:ascii="宋体" w:hAnsi="宋体" w:eastAsia="宋体" w:cs="宋体"/>
          <w:color w:val="auto"/>
          <w:spacing w:val="9"/>
          <w:kern w:val="0"/>
          <w:sz w:val="29"/>
          <w:szCs w:val="29"/>
        </w:rPr>
        <w:t>④</w:t>
      </w:r>
      <w:r>
        <w:rPr>
          <w:rFonts w:hint="eastAsia" w:ascii="宋体" w:hAnsi="宋体" w:eastAsia="宋体" w:cs="宋体"/>
          <w:color w:val="auto"/>
          <w:spacing w:val="-6"/>
          <w:kern w:val="0"/>
          <w:sz w:val="29"/>
          <w:szCs w:val="29"/>
        </w:rPr>
        <w:t>-</w:t>
      </w:r>
      <w:r>
        <w:rPr>
          <w:rFonts w:hint="eastAsia" w:ascii="宋体" w:hAnsi="宋体" w:eastAsia="宋体" w:cs="宋体"/>
          <w:color w:val="auto"/>
          <w:spacing w:val="9"/>
          <w:kern w:val="0"/>
          <w:sz w:val="29"/>
          <w:szCs w:val="29"/>
        </w:rPr>
        <w:t>⑤</w:t>
      </w:r>
      <w:r>
        <w:rPr>
          <w:rFonts w:hint="eastAsia" w:ascii="宋体" w:hAnsi="宋体" w:eastAsia="宋体" w:cs="宋体"/>
          <w:color w:val="auto"/>
          <w:spacing w:val="-16"/>
          <w:kern w:val="0"/>
          <w:sz w:val="29"/>
          <w:szCs w:val="29"/>
        </w:rPr>
        <w:t>；</w:t>
      </w:r>
      <w:r>
        <w:rPr>
          <w:rFonts w:hint="eastAsia" w:ascii="宋体" w:hAnsi="宋体" w:eastAsia="宋体" w:cs="宋体"/>
          <w:color w:val="auto"/>
          <w:spacing w:val="9"/>
          <w:kern w:val="0"/>
          <w:sz w:val="29"/>
          <w:szCs w:val="29"/>
        </w:rPr>
        <w:t>⑦</w:t>
      </w:r>
      <w:r>
        <w:rPr>
          <w:rFonts w:hint="eastAsia" w:ascii="宋体" w:hAnsi="宋体" w:eastAsia="宋体" w:cs="宋体"/>
          <w:color w:val="auto"/>
          <w:spacing w:val="-6"/>
          <w:kern w:val="0"/>
          <w:sz w:val="29"/>
          <w:szCs w:val="29"/>
        </w:rPr>
        <w:t>=</w:t>
      </w:r>
      <w:r>
        <w:rPr>
          <w:rFonts w:hint="eastAsia" w:ascii="宋体" w:hAnsi="宋体" w:eastAsia="宋体" w:cs="宋体"/>
          <w:color w:val="auto"/>
          <w:spacing w:val="9"/>
          <w:kern w:val="0"/>
          <w:sz w:val="29"/>
          <w:szCs w:val="29"/>
        </w:rPr>
        <w:t>⑥</w:t>
      </w:r>
      <w:r>
        <w:rPr>
          <w:rFonts w:hint="eastAsia" w:ascii="宋体" w:hAnsi="宋体" w:eastAsia="宋体" w:cs="宋体"/>
          <w:color w:val="auto"/>
          <w:spacing w:val="-16"/>
          <w:kern w:val="0"/>
          <w:sz w:val="29"/>
          <w:szCs w:val="29"/>
        </w:rPr>
        <w:t>-</w:t>
      </w:r>
      <w:r>
        <w:rPr>
          <w:rFonts w:hint="default" w:ascii="宋体" w:hAnsi="宋体" w:eastAsia="宋体" w:cs="宋体"/>
          <w:color w:val="auto"/>
          <w:spacing w:val="9"/>
          <w:kern w:val="0"/>
          <w:sz w:val="29"/>
          <w:szCs w:val="29"/>
        </w:rPr>
        <w:t>①</w:t>
      </w:r>
    </w:p>
    <w:tbl>
      <w:tblPr>
        <w:tblStyle w:val="23"/>
        <w:tblW w:w="9125" w:type="dxa"/>
        <w:jc w:val="center"/>
        <w:tblLayout w:type="fixed"/>
        <w:tblCellMar>
          <w:top w:w="0" w:type="dxa"/>
          <w:left w:w="54" w:type="dxa"/>
          <w:bottom w:w="0" w:type="dxa"/>
          <w:right w:w="54" w:type="dxa"/>
        </w:tblCellMar>
      </w:tblPr>
      <w:tblGrid>
        <w:gridCol w:w="54"/>
        <w:gridCol w:w="889"/>
        <w:gridCol w:w="8128"/>
        <w:gridCol w:w="54"/>
      </w:tblGrid>
      <w:tr w14:paraId="4159DFB4">
        <w:tblPrEx>
          <w:tblCellMar>
            <w:top w:w="0" w:type="dxa"/>
            <w:left w:w="54" w:type="dxa"/>
            <w:bottom w:w="0" w:type="dxa"/>
            <w:right w:w="54" w:type="dxa"/>
          </w:tblCellMar>
        </w:tblPrEx>
        <w:trPr>
          <w:gridBefore w:val="1"/>
          <w:wBefore w:w="54" w:type="dxa"/>
          <w:cantSplit/>
          <w:trHeight w:val="2910" w:hRule="atLeast"/>
          <w:jc w:val="center"/>
        </w:trPr>
        <w:tc>
          <w:tcPr>
            <w:tcW w:w="889" w:type="dxa"/>
            <w:tcBorders>
              <w:top w:val="double" w:color="auto" w:sz="4" w:space="0"/>
              <w:left w:val="double" w:color="auto" w:sz="4" w:space="0"/>
              <w:right w:val="single" w:color="auto" w:sz="6" w:space="0"/>
            </w:tcBorders>
            <w:vAlign w:val="center"/>
          </w:tcPr>
          <w:p w14:paraId="4DC12BD0">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主  管</w:t>
            </w:r>
          </w:p>
          <w:p w14:paraId="4A526725">
            <w:pPr>
              <w:autoSpaceDE w:val="0"/>
              <w:autoSpaceDN w:val="0"/>
              <w:adjustRightInd w:val="0"/>
              <w:jc w:val="center"/>
              <w:rPr>
                <w:rFonts w:ascii="Times New Roman" w:hAnsi="Times New Roman"/>
                <w:b/>
                <w:color w:val="auto"/>
                <w:kern w:val="0"/>
                <w:sz w:val="24"/>
              </w:rPr>
            </w:pPr>
          </w:p>
          <w:p w14:paraId="45F77A8C">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单  位</w:t>
            </w:r>
          </w:p>
          <w:p w14:paraId="1B26DD5A">
            <w:pPr>
              <w:autoSpaceDE w:val="0"/>
              <w:autoSpaceDN w:val="0"/>
              <w:adjustRightInd w:val="0"/>
              <w:jc w:val="center"/>
              <w:rPr>
                <w:rFonts w:ascii="Times New Roman" w:hAnsi="Times New Roman"/>
                <w:b/>
                <w:color w:val="auto"/>
                <w:kern w:val="0"/>
                <w:sz w:val="24"/>
              </w:rPr>
            </w:pPr>
          </w:p>
          <w:p w14:paraId="4FCFB2C5">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(局、</w:t>
            </w:r>
          </w:p>
          <w:p w14:paraId="428DDB12">
            <w:pPr>
              <w:autoSpaceDE w:val="0"/>
              <w:autoSpaceDN w:val="0"/>
              <w:adjustRightInd w:val="0"/>
              <w:jc w:val="center"/>
              <w:rPr>
                <w:rFonts w:ascii="Times New Roman" w:hAnsi="Times New Roman"/>
                <w:b/>
                <w:color w:val="auto"/>
                <w:kern w:val="0"/>
                <w:sz w:val="24"/>
              </w:rPr>
            </w:pPr>
          </w:p>
          <w:p w14:paraId="57FB5480">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公 司)</w:t>
            </w:r>
          </w:p>
          <w:p w14:paraId="39599D76">
            <w:pPr>
              <w:autoSpaceDE w:val="0"/>
              <w:autoSpaceDN w:val="0"/>
              <w:adjustRightInd w:val="0"/>
              <w:jc w:val="center"/>
              <w:rPr>
                <w:rFonts w:ascii="Times New Roman" w:hAnsi="Times New Roman"/>
                <w:b/>
                <w:color w:val="auto"/>
                <w:kern w:val="0"/>
                <w:sz w:val="24"/>
              </w:rPr>
            </w:pPr>
          </w:p>
          <w:p w14:paraId="5849E7D0">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意  见</w:t>
            </w:r>
          </w:p>
        </w:tc>
        <w:tc>
          <w:tcPr>
            <w:tcW w:w="8182" w:type="dxa"/>
            <w:gridSpan w:val="2"/>
            <w:tcBorders>
              <w:top w:val="double" w:color="auto" w:sz="4" w:space="0"/>
              <w:left w:val="single" w:color="auto" w:sz="6" w:space="0"/>
              <w:bottom w:val="single" w:color="auto" w:sz="6" w:space="0"/>
              <w:right w:val="double" w:color="auto" w:sz="4" w:space="0"/>
            </w:tcBorders>
            <w:vAlign w:val="bottom"/>
          </w:tcPr>
          <w:p w14:paraId="324A17BE">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盖   章</w:t>
            </w:r>
          </w:p>
          <w:p w14:paraId="0858AD82">
            <w:pPr>
              <w:autoSpaceDE w:val="0"/>
              <w:autoSpaceDN w:val="0"/>
              <w:adjustRightInd w:val="0"/>
              <w:jc w:val="center"/>
              <w:rPr>
                <w:rFonts w:ascii="Times New Roman" w:hAnsi="Times New Roman"/>
                <w:color w:val="auto"/>
                <w:kern w:val="0"/>
                <w:sz w:val="24"/>
              </w:rPr>
            </w:pPr>
          </w:p>
          <w:p w14:paraId="0BAB3A92">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20</w:t>
            </w:r>
            <w:r>
              <w:rPr>
                <w:rFonts w:hint="eastAsia" w:ascii="Times New Roman" w:hAnsi="Times New Roman"/>
                <w:color w:val="auto"/>
                <w:kern w:val="0"/>
                <w:sz w:val="24"/>
              </w:rPr>
              <w:t>2</w:t>
            </w:r>
            <w:r>
              <w:rPr>
                <w:rFonts w:hint="eastAsia" w:ascii="Times New Roman" w:hAnsi="Times New Roman"/>
                <w:color w:val="auto"/>
                <w:kern w:val="0"/>
                <w:sz w:val="24"/>
                <w:lang w:val="en-US" w:eastAsia="zh-CN"/>
              </w:rPr>
              <w:t>4</w:t>
            </w:r>
            <w:r>
              <w:rPr>
                <w:rFonts w:ascii="Times New Roman" w:hAnsi="Times New Roman"/>
                <w:color w:val="auto"/>
                <w:kern w:val="0"/>
                <w:sz w:val="24"/>
              </w:rPr>
              <w:t>年   月   日</w:t>
            </w:r>
          </w:p>
        </w:tc>
      </w:tr>
      <w:tr w14:paraId="5077CBC1">
        <w:tblPrEx>
          <w:tblCellMar>
            <w:top w:w="0" w:type="dxa"/>
            <w:left w:w="54" w:type="dxa"/>
            <w:bottom w:w="0" w:type="dxa"/>
            <w:right w:w="54" w:type="dxa"/>
          </w:tblCellMar>
        </w:tblPrEx>
        <w:trPr>
          <w:gridBefore w:val="1"/>
          <w:wBefore w:w="54" w:type="dxa"/>
          <w:cantSplit/>
          <w:trHeight w:val="2910" w:hRule="atLeast"/>
          <w:jc w:val="center"/>
        </w:trPr>
        <w:tc>
          <w:tcPr>
            <w:tcW w:w="889" w:type="dxa"/>
            <w:tcBorders>
              <w:top w:val="single" w:color="auto" w:sz="6" w:space="0"/>
              <w:left w:val="double" w:color="auto" w:sz="4" w:space="0"/>
              <w:right w:val="single" w:color="auto" w:sz="6" w:space="0"/>
            </w:tcBorders>
            <w:vAlign w:val="center"/>
          </w:tcPr>
          <w:p w14:paraId="4533655E">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城  乡</w:t>
            </w:r>
          </w:p>
          <w:p w14:paraId="16845576">
            <w:pPr>
              <w:autoSpaceDE w:val="0"/>
              <w:autoSpaceDN w:val="0"/>
              <w:adjustRightInd w:val="0"/>
              <w:jc w:val="center"/>
              <w:rPr>
                <w:rFonts w:ascii="Times New Roman" w:hAnsi="Times New Roman"/>
                <w:b/>
                <w:color w:val="auto"/>
                <w:kern w:val="0"/>
                <w:sz w:val="24"/>
              </w:rPr>
            </w:pPr>
          </w:p>
          <w:p w14:paraId="3AAF837B">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规  划</w:t>
            </w:r>
          </w:p>
          <w:p w14:paraId="1EB6B6F9">
            <w:pPr>
              <w:autoSpaceDE w:val="0"/>
              <w:autoSpaceDN w:val="0"/>
              <w:adjustRightInd w:val="0"/>
              <w:jc w:val="center"/>
              <w:rPr>
                <w:rFonts w:ascii="Times New Roman" w:hAnsi="Times New Roman"/>
                <w:b/>
                <w:color w:val="auto"/>
                <w:kern w:val="0"/>
                <w:sz w:val="24"/>
              </w:rPr>
            </w:pPr>
          </w:p>
          <w:p w14:paraId="34BF8961">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部  门</w:t>
            </w:r>
          </w:p>
          <w:p w14:paraId="693EF064">
            <w:pPr>
              <w:autoSpaceDE w:val="0"/>
              <w:autoSpaceDN w:val="0"/>
              <w:adjustRightInd w:val="0"/>
              <w:jc w:val="center"/>
              <w:rPr>
                <w:rFonts w:ascii="Times New Roman" w:hAnsi="Times New Roman"/>
                <w:b/>
                <w:color w:val="auto"/>
                <w:kern w:val="0"/>
                <w:sz w:val="24"/>
              </w:rPr>
            </w:pPr>
          </w:p>
          <w:p w14:paraId="3A4D967E">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意  见</w:t>
            </w:r>
          </w:p>
        </w:tc>
        <w:tc>
          <w:tcPr>
            <w:tcW w:w="8182" w:type="dxa"/>
            <w:gridSpan w:val="2"/>
            <w:tcBorders>
              <w:top w:val="single" w:color="auto" w:sz="6" w:space="0"/>
              <w:left w:val="single" w:color="auto" w:sz="6" w:space="0"/>
              <w:bottom w:val="single" w:color="auto" w:sz="6" w:space="0"/>
              <w:right w:val="double" w:color="auto" w:sz="4" w:space="0"/>
            </w:tcBorders>
            <w:vAlign w:val="bottom"/>
          </w:tcPr>
          <w:p w14:paraId="4F11CC74">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盖   章</w:t>
            </w:r>
          </w:p>
          <w:p w14:paraId="50F8A500">
            <w:pPr>
              <w:autoSpaceDE w:val="0"/>
              <w:autoSpaceDN w:val="0"/>
              <w:adjustRightInd w:val="0"/>
              <w:jc w:val="center"/>
              <w:rPr>
                <w:rFonts w:ascii="Times New Roman" w:hAnsi="Times New Roman"/>
                <w:color w:val="auto"/>
                <w:kern w:val="0"/>
                <w:sz w:val="24"/>
              </w:rPr>
            </w:pPr>
          </w:p>
          <w:p w14:paraId="0358C168">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20</w:t>
            </w:r>
            <w:r>
              <w:rPr>
                <w:rFonts w:hint="eastAsia" w:ascii="Times New Roman" w:hAnsi="Times New Roman"/>
                <w:color w:val="auto"/>
                <w:kern w:val="0"/>
                <w:sz w:val="24"/>
              </w:rPr>
              <w:t>2</w:t>
            </w:r>
            <w:r>
              <w:rPr>
                <w:rFonts w:hint="eastAsia" w:ascii="Times New Roman" w:hAnsi="Times New Roman"/>
                <w:color w:val="auto"/>
                <w:kern w:val="0"/>
                <w:sz w:val="24"/>
                <w:lang w:val="en-US" w:eastAsia="zh-CN"/>
              </w:rPr>
              <w:t>4</w:t>
            </w:r>
            <w:r>
              <w:rPr>
                <w:rFonts w:ascii="Times New Roman" w:hAnsi="Times New Roman"/>
                <w:color w:val="auto"/>
                <w:kern w:val="0"/>
                <w:sz w:val="24"/>
              </w:rPr>
              <w:t>年   月   日</w:t>
            </w:r>
          </w:p>
        </w:tc>
      </w:tr>
      <w:tr w14:paraId="0AED63A7">
        <w:tblPrEx>
          <w:tblCellMar>
            <w:top w:w="0" w:type="dxa"/>
            <w:left w:w="54" w:type="dxa"/>
            <w:bottom w:w="0" w:type="dxa"/>
            <w:right w:w="54" w:type="dxa"/>
          </w:tblCellMar>
        </w:tblPrEx>
        <w:trPr>
          <w:gridBefore w:val="1"/>
          <w:wBefore w:w="54" w:type="dxa"/>
          <w:cantSplit/>
          <w:trHeight w:val="2910" w:hRule="atLeast"/>
          <w:jc w:val="center"/>
        </w:trPr>
        <w:tc>
          <w:tcPr>
            <w:tcW w:w="889" w:type="dxa"/>
            <w:tcBorders>
              <w:top w:val="single" w:color="auto" w:sz="6" w:space="0"/>
              <w:left w:val="double" w:color="auto" w:sz="4" w:space="0"/>
              <w:right w:val="single" w:color="auto" w:sz="6" w:space="0"/>
            </w:tcBorders>
            <w:vAlign w:val="center"/>
          </w:tcPr>
          <w:p w14:paraId="60D983E4">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建  设</w:t>
            </w:r>
          </w:p>
          <w:p w14:paraId="783D6A67">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项  目</w:t>
            </w:r>
          </w:p>
          <w:p w14:paraId="6EEF1871">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所  在</w:t>
            </w:r>
          </w:p>
          <w:p w14:paraId="24468EE7">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地  政</w:t>
            </w:r>
          </w:p>
          <w:p w14:paraId="56FB6773">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府  和</w:t>
            </w:r>
          </w:p>
          <w:p w14:paraId="2A9DDD3F">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有  关</w:t>
            </w:r>
          </w:p>
          <w:p w14:paraId="63F03BF8">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部  门</w:t>
            </w:r>
          </w:p>
          <w:p w14:paraId="03DC5519">
            <w:pPr>
              <w:autoSpaceDE w:val="0"/>
              <w:autoSpaceDN w:val="0"/>
              <w:adjustRightInd w:val="0"/>
              <w:jc w:val="center"/>
              <w:rPr>
                <w:rFonts w:ascii="Times New Roman" w:hAnsi="Times New Roman"/>
                <w:b/>
                <w:color w:val="auto"/>
                <w:kern w:val="0"/>
                <w:sz w:val="24"/>
              </w:rPr>
            </w:pPr>
            <w:r>
              <w:rPr>
                <w:rFonts w:ascii="Times New Roman" w:hAnsi="Times New Roman"/>
                <w:b/>
                <w:color w:val="auto"/>
                <w:kern w:val="0"/>
                <w:sz w:val="24"/>
              </w:rPr>
              <w:t>意  见</w:t>
            </w:r>
          </w:p>
        </w:tc>
        <w:tc>
          <w:tcPr>
            <w:tcW w:w="8182" w:type="dxa"/>
            <w:gridSpan w:val="2"/>
            <w:tcBorders>
              <w:top w:val="single" w:color="auto" w:sz="6" w:space="0"/>
              <w:left w:val="single" w:color="auto" w:sz="6" w:space="0"/>
              <w:bottom w:val="single" w:color="auto" w:sz="6" w:space="0"/>
              <w:right w:val="double" w:color="auto" w:sz="4" w:space="0"/>
            </w:tcBorders>
            <w:vAlign w:val="bottom"/>
          </w:tcPr>
          <w:p w14:paraId="748172AE">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盖   章</w:t>
            </w:r>
          </w:p>
          <w:p w14:paraId="4473000D">
            <w:pPr>
              <w:autoSpaceDE w:val="0"/>
              <w:autoSpaceDN w:val="0"/>
              <w:adjustRightInd w:val="0"/>
              <w:jc w:val="center"/>
              <w:rPr>
                <w:rFonts w:ascii="Times New Roman" w:hAnsi="Times New Roman"/>
                <w:color w:val="auto"/>
                <w:kern w:val="0"/>
                <w:sz w:val="24"/>
              </w:rPr>
            </w:pPr>
          </w:p>
          <w:p w14:paraId="7CAA9C57">
            <w:pPr>
              <w:autoSpaceDE w:val="0"/>
              <w:autoSpaceDN w:val="0"/>
              <w:adjustRightInd w:val="0"/>
              <w:jc w:val="center"/>
              <w:rPr>
                <w:rFonts w:ascii="Times New Roman" w:hAnsi="Times New Roman"/>
                <w:color w:val="auto"/>
                <w:kern w:val="0"/>
                <w:sz w:val="24"/>
              </w:rPr>
            </w:pPr>
            <w:r>
              <w:rPr>
                <w:rFonts w:ascii="Times New Roman" w:hAnsi="Times New Roman"/>
                <w:color w:val="auto"/>
                <w:kern w:val="0"/>
                <w:sz w:val="24"/>
              </w:rPr>
              <w:t xml:space="preserve">                             20</w:t>
            </w:r>
            <w:r>
              <w:rPr>
                <w:rFonts w:hint="eastAsia" w:ascii="Times New Roman" w:hAnsi="Times New Roman"/>
                <w:color w:val="auto"/>
                <w:kern w:val="0"/>
                <w:sz w:val="24"/>
              </w:rPr>
              <w:t>2</w:t>
            </w:r>
            <w:r>
              <w:rPr>
                <w:rFonts w:hint="eastAsia" w:ascii="Times New Roman" w:hAnsi="Times New Roman"/>
                <w:color w:val="auto"/>
                <w:kern w:val="0"/>
                <w:sz w:val="24"/>
                <w:lang w:val="en-US" w:eastAsia="zh-CN"/>
              </w:rPr>
              <w:t>4</w:t>
            </w:r>
            <w:r>
              <w:rPr>
                <w:rFonts w:ascii="Times New Roman" w:hAnsi="Times New Roman"/>
                <w:color w:val="auto"/>
                <w:kern w:val="0"/>
                <w:sz w:val="24"/>
              </w:rPr>
              <w:t>年   月   日</w:t>
            </w:r>
          </w:p>
        </w:tc>
      </w:tr>
      <w:tr w14:paraId="4AA76A87">
        <w:tblPrEx>
          <w:tblCellMar>
            <w:top w:w="0" w:type="dxa"/>
            <w:left w:w="54" w:type="dxa"/>
            <w:bottom w:w="0" w:type="dxa"/>
            <w:right w:w="54" w:type="dxa"/>
          </w:tblCellMar>
        </w:tblPrEx>
        <w:trPr>
          <w:gridBefore w:val="1"/>
          <w:wBefore w:w="54" w:type="dxa"/>
          <w:cantSplit/>
          <w:trHeight w:val="4484" w:hRule="atLeast"/>
          <w:jc w:val="center"/>
        </w:trPr>
        <w:tc>
          <w:tcPr>
            <w:tcW w:w="889" w:type="dxa"/>
            <w:tcBorders>
              <w:top w:val="single" w:color="auto" w:sz="6" w:space="0"/>
              <w:left w:val="double" w:color="auto" w:sz="4" w:space="0"/>
              <w:bottom w:val="double" w:color="auto" w:sz="4" w:space="0"/>
              <w:right w:val="single" w:color="auto" w:sz="6" w:space="0"/>
            </w:tcBorders>
            <w:vAlign w:val="center"/>
          </w:tcPr>
          <w:p w14:paraId="0FA3B361">
            <w:pPr>
              <w:autoSpaceDE w:val="0"/>
              <w:autoSpaceDN w:val="0"/>
              <w:adjustRightInd w:val="0"/>
              <w:jc w:val="center"/>
              <w:rPr>
                <w:rFonts w:ascii="Times New Roman" w:hAnsi="Times New Roman"/>
                <w:b/>
                <w:color w:val="auto"/>
                <w:sz w:val="24"/>
              </w:rPr>
            </w:pPr>
            <w:r>
              <w:rPr>
                <w:rFonts w:ascii="Times New Roman" w:hAnsi="Times New Roman"/>
                <w:b/>
                <w:color w:val="auto"/>
                <w:kern w:val="0"/>
                <w:sz w:val="24"/>
              </w:rPr>
              <w:t xml:space="preserve">其  </w:t>
            </w:r>
            <w:r>
              <w:rPr>
                <w:rFonts w:ascii="Times New Roman" w:hAnsi="Times New Roman"/>
                <w:b/>
                <w:color w:val="auto"/>
                <w:sz w:val="24"/>
              </w:rPr>
              <w:t>它</w:t>
            </w:r>
          </w:p>
          <w:p w14:paraId="0BACDE08">
            <w:pPr>
              <w:autoSpaceDE w:val="0"/>
              <w:autoSpaceDN w:val="0"/>
              <w:adjustRightInd w:val="0"/>
              <w:jc w:val="center"/>
              <w:rPr>
                <w:rFonts w:ascii="Times New Roman" w:hAnsi="Times New Roman"/>
                <w:b/>
                <w:color w:val="auto"/>
                <w:sz w:val="24"/>
              </w:rPr>
            </w:pPr>
          </w:p>
          <w:p w14:paraId="067C5891">
            <w:pPr>
              <w:autoSpaceDE w:val="0"/>
              <w:autoSpaceDN w:val="0"/>
              <w:adjustRightInd w:val="0"/>
              <w:jc w:val="center"/>
              <w:rPr>
                <w:rFonts w:ascii="Times New Roman" w:hAnsi="Times New Roman"/>
                <w:b/>
                <w:color w:val="auto"/>
                <w:sz w:val="24"/>
              </w:rPr>
            </w:pPr>
            <w:r>
              <w:rPr>
                <w:rFonts w:ascii="Times New Roman" w:hAnsi="Times New Roman"/>
                <w:b/>
                <w:color w:val="auto"/>
                <w:sz w:val="24"/>
              </w:rPr>
              <w:t>有  关</w:t>
            </w:r>
          </w:p>
          <w:p w14:paraId="200E7993">
            <w:pPr>
              <w:autoSpaceDE w:val="0"/>
              <w:autoSpaceDN w:val="0"/>
              <w:adjustRightInd w:val="0"/>
              <w:jc w:val="center"/>
              <w:rPr>
                <w:rFonts w:ascii="Times New Roman" w:hAnsi="Times New Roman"/>
                <w:b/>
                <w:color w:val="auto"/>
                <w:sz w:val="24"/>
              </w:rPr>
            </w:pPr>
          </w:p>
          <w:p w14:paraId="6CC96860">
            <w:pPr>
              <w:autoSpaceDE w:val="0"/>
              <w:autoSpaceDN w:val="0"/>
              <w:adjustRightInd w:val="0"/>
              <w:jc w:val="center"/>
              <w:rPr>
                <w:rFonts w:ascii="Times New Roman" w:hAnsi="Times New Roman"/>
                <w:b/>
                <w:color w:val="auto"/>
                <w:sz w:val="24"/>
              </w:rPr>
            </w:pPr>
            <w:r>
              <w:rPr>
                <w:rFonts w:ascii="Times New Roman" w:hAnsi="Times New Roman"/>
                <w:b/>
                <w:color w:val="auto"/>
                <w:sz w:val="24"/>
              </w:rPr>
              <w:t>部  门</w:t>
            </w:r>
          </w:p>
          <w:p w14:paraId="4763C984">
            <w:pPr>
              <w:autoSpaceDE w:val="0"/>
              <w:autoSpaceDN w:val="0"/>
              <w:adjustRightInd w:val="0"/>
              <w:jc w:val="center"/>
              <w:rPr>
                <w:rFonts w:ascii="Times New Roman" w:hAnsi="Times New Roman"/>
                <w:b/>
                <w:color w:val="auto"/>
                <w:sz w:val="24"/>
              </w:rPr>
            </w:pPr>
          </w:p>
          <w:p w14:paraId="1ED1C15E">
            <w:pPr>
              <w:autoSpaceDE w:val="0"/>
              <w:autoSpaceDN w:val="0"/>
              <w:adjustRightInd w:val="0"/>
              <w:jc w:val="center"/>
              <w:rPr>
                <w:rFonts w:ascii="Times New Roman" w:hAnsi="Times New Roman"/>
                <w:b/>
                <w:color w:val="auto"/>
                <w:sz w:val="24"/>
              </w:rPr>
            </w:pPr>
            <w:r>
              <w:rPr>
                <w:rFonts w:ascii="Times New Roman" w:hAnsi="Times New Roman"/>
                <w:b/>
                <w:color w:val="auto"/>
                <w:sz w:val="24"/>
              </w:rPr>
              <w:t>意  见</w:t>
            </w:r>
          </w:p>
        </w:tc>
        <w:tc>
          <w:tcPr>
            <w:tcW w:w="8182" w:type="dxa"/>
            <w:gridSpan w:val="2"/>
            <w:tcBorders>
              <w:top w:val="single" w:color="auto" w:sz="6" w:space="0"/>
              <w:left w:val="single" w:color="auto" w:sz="6" w:space="0"/>
              <w:bottom w:val="double" w:color="auto" w:sz="4" w:space="0"/>
              <w:right w:val="double" w:color="auto" w:sz="4" w:space="0"/>
            </w:tcBorders>
            <w:vAlign w:val="bottom"/>
          </w:tcPr>
          <w:p w14:paraId="52BCC8F0">
            <w:pPr>
              <w:autoSpaceDE w:val="0"/>
              <w:autoSpaceDN w:val="0"/>
              <w:adjustRightInd w:val="0"/>
              <w:jc w:val="center"/>
              <w:rPr>
                <w:rFonts w:ascii="Times New Roman" w:hAnsi="Times New Roman"/>
                <w:color w:val="auto"/>
                <w:sz w:val="24"/>
              </w:rPr>
            </w:pPr>
            <w:r>
              <w:rPr>
                <w:rFonts w:ascii="Times New Roman" w:hAnsi="Times New Roman"/>
                <w:color w:val="auto"/>
                <w:sz w:val="24"/>
              </w:rPr>
              <w:t xml:space="preserve">                              盖   章</w:t>
            </w:r>
          </w:p>
          <w:p w14:paraId="216A4F7B">
            <w:pPr>
              <w:autoSpaceDE w:val="0"/>
              <w:autoSpaceDN w:val="0"/>
              <w:adjustRightInd w:val="0"/>
              <w:jc w:val="center"/>
              <w:rPr>
                <w:rFonts w:ascii="Times New Roman" w:hAnsi="Times New Roman"/>
                <w:color w:val="auto"/>
                <w:sz w:val="24"/>
              </w:rPr>
            </w:pPr>
          </w:p>
          <w:p w14:paraId="38A081F8">
            <w:pPr>
              <w:autoSpaceDE w:val="0"/>
              <w:autoSpaceDN w:val="0"/>
              <w:adjustRightInd w:val="0"/>
              <w:jc w:val="center"/>
              <w:rPr>
                <w:rFonts w:ascii="Times New Roman" w:hAnsi="Times New Roman"/>
                <w:color w:val="auto"/>
                <w:sz w:val="24"/>
              </w:rPr>
            </w:pPr>
            <w:r>
              <w:rPr>
                <w:rFonts w:ascii="Times New Roman" w:hAnsi="Times New Roman"/>
                <w:color w:val="auto"/>
                <w:sz w:val="24"/>
              </w:rPr>
              <w:t xml:space="preserve">                            </w:t>
            </w:r>
            <w:r>
              <w:rPr>
                <w:rFonts w:ascii="Times New Roman" w:hAnsi="Times New Roman"/>
                <w:color w:val="auto"/>
                <w:kern w:val="0"/>
                <w:sz w:val="24"/>
              </w:rPr>
              <w:t xml:space="preserve"> 20</w:t>
            </w:r>
            <w:r>
              <w:rPr>
                <w:rFonts w:hint="eastAsia" w:ascii="Times New Roman" w:hAnsi="Times New Roman"/>
                <w:color w:val="auto"/>
                <w:kern w:val="0"/>
                <w:sz w:val="24"/>
              </w:rPr>
              <w:t>2</w:t>
            </w:r>
            <w:r>
              <w:rPr>
                <w:rFonts w:hint="eastAsia" w:ascii="Times New Roman" w:hAnsi="Times New Roman"/>
                <w:color w:val="auto"/>
                <w:kern w:val="0"/>
                <w:sz w:val="24"/>
                <w:lang w:val="en-US" w:eastAsia="zh-CN"/>
              </w:rPr>
              <w:t>4</w:t>
            </w:r>
            <w:r>
              <w:rPr>
                <w:rFonts w:ascii="Times New Roman" w:hAnsi="Times New Roman"/>
                <w:color w:val="auto"/>
                <w:sz w:val="24"/>
              </w:rPr>
              <w:t>年   月   日</w:t>
            </w:r>
          </w:p>
        </w:tc>
      </w:tr>
      <w:tr w14:paraId="00B6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3023" w:hRule="atLeast"/>
          <w:jc w:val="center"/>
        </w:trPr>
        <w:tc>
          <w:tcPr>
            <w:tcW w:w="9071" w:type="dxa"/>
            <w:gridSpan w:val="3"/>
            <w:vAlign w:val="center"/>
          </w:tcPr>
          <w:p w14:paraId="6075316B">
            <w:pPr>
              <w:jc w:val="center"/>
              <w:rPr>
                <w:rFonts w:ascii="Times New Roman" w:hAnsi="Times New Roman"/>
                <w:b/>
                <w:color w:val="auto"/>
              </w:rPr>
            </w:pPr>
            <w:r>
              <w:rPr>
                <w:rFonts w:ascii="Times New Roman" w:hAnsi="Times New Roman"/>
                <w:b/>
                <w:color w:val="auto"/>
              </w:rPr>
              <w:t>注                   释</w:t>
            </w:r>
          </w:p>
          <w:p w14:paraId="2B513D7E">
            <w:pPr>
              <w:jc w:val="center"/>
              <w:rPr>
                <w:rFonts w:ascii="Times New Roman" w:hAnsi="Times New Roman"/>
                <w:b/>
                <w:color w:val="auto"/>
              </w:rPr>
            </w:pPr>
          </w:p>
          <w:p w14:paraId="56CE2CC6">
            <w:pPr>
              <w:jc w:val="center"/>
              <w:rPr>
                <w:rFonts w:ascii="Times New Roman" w:hAnsi="Times New Roman"/>
                <w:b/>
                <w:color w:val="auto"/>
              </w:rPr>
            </w:pPr>
          </w:p>
          <w:p w14:paraId="4D2ED63D">
            <w:pPr>
              <w:numPr>
                <w:ilvl w:val="0"/>
                <w:numId w:val="4"/>
              </w:numPr>
              <w:rPr>
                <w:rFonts w:ascii="Times New Roman" w:hAnsi="Times New Roman"/>
                <w:b/>
                <w:color w:val="auto"/>
              </w:rPr>
            </w:pPr>
            <w:r>
              <w:rPr>
                <w:rFonts w:ascii="Times New Roman" w:hAnsi="Times New Roman"/>
                <w:b/>
                <w:color w:val="auto"/>
              </w:rPr>
              <w:t>本报告表应附以下附件、附图：</w:t>
            </w:r>
          </w:p>
          <w:p w14:paraId="5CCDE1D6">
            <w:pPr>
              <w:rPr>
                <w:rFonts w:ascii="Times New Roman" w:hAnsi="Times New Roman"/>
                <w:b/>
                <w:color w:val="auto"/>
              </w:rPr>
            </w:pPr>
            <w:r>
              <w:rPr>
                <w:rFonts w:ascii="Times New Roman" w:hAnsi="Times New Roman"/>
                <w:b/>
                <w:color w:val="auto"/>
              </w:rPr>
              <w:t>附图1 项目地理位置图（应反映行政区划、水系、标明排污口位置和地形地貌等）</w:t>
            </w:r>
          </w:p>
          <w:p w14:paraId="5ED541B0">
            <w:pPr>
              <w:rPr>
                <w:rFonts w:ascii="Times New Roman" w:hAnsi="Times New Roman"/>
                <w:b/>
                <w:color w:val="auto"/>
              </w:rPr>
            </w:pPr>
            <w:r>
              <w:rPr>
                <w:rFonts w:ascii="Times New Roman" w:hAnsi="Times New Roman"/>
                <w:b/>
                <w:color w:val="auto"/>
              </w:rPr>
              <w:t>附图2 专案平面布置图</w:t>
            </w:r>
          </w:p>
          <w:p w14:paraId="630F2F0F">
            <w:pPr>
              <w:rPr>
                <w:rFonts w:ascii="Times New Roman" w:hAnsi="Times New Roman"/>
                <w:b/>
                <w:color w:val="auto"/>
              </w:rPr>
            </w:pPr>
          </w:p>
          <w:p w14:paraId="6A5670C0">
            <w:pPr>
              <w:rPr>
                <w:rFonts w:ascii="Times New Roman" w:hAnsi="Times New Roman"/>
                <w:b/>
                <w:color w:val="auto"/>
              </w:rPr>
            </w:pPr>
          </w:p>
          <w:p w14:paraId="3C2088B2">
            <w:pPr>
              <w:rPr>
                <w:rFonts w:ascii="Times New Roman" w:hAnsi="Times New Roman"/>
                <w:b/>
                <w:color w:val="auto"/>
              </w:rPr>
            </w:pPr>
          </w:p>
          <w:p w14:paraId="38115D5C">
            <w:pPr>
              <w:rPr>
                <w:rFonts w:ascii="Times New Roman" w:hAnsi="Times New Roman"/>
                <w:b/>
                <w:color w:val="auto"/>
              </w:rPr>
            </w:pPr>
            <w:r>
              <w:rPr>
                <w:rFonts w:ascii="Times New Roman" w:hAnsi="Times New Roman"/>
                <w:b/>
                <w:color w:val="auto"/>
              </w:rPr>
              <w:t>二、如果本报告表不能说明项目产生的污染及对环境造成的影响，应进行专项评价。根据建设项目的特点和当地环境特征，应选下列1－2项进行专项评价。</w:t>
            </w:r>
          </w:p>
          <w:p w14:paraId="048A8714">
            <w:pPr>
              <w:numPr>
                <w:ilvl w:val="0"/>
                <w:numId w:val="5"/>
              </w:numPr>
              <w:rPr>
                <w:rFonts w:ascii="Times New Roman" w:hAnsi="Times New Roman"/>
                <w:b/>
                <w:color w:val="auto"/>
              </w:rPr>
            </w:pPr>
            <w:r>
              <w:rPr>
                <w:rFonts w:ascii="Times New Roman" w:hAnsi="Times New Roman"/>
                <w:b/>
                <w:color w:val="auto"/>
              </w:rPr>
              <w:t>大气环境影响专项评价</w:t>
            </w:r>
          </w:p>
          <w:p w14:paraId="2C18A6F8">
            <w:pPr>
              <w:numPr>
                <w:ilvl w:val="0"/>
                <w:numId w:val="5"/>
              </w:numPr>
              <w:rPr>
                <w:rFonts w:ascii="Times New Roman" w:hAnsi="Times New Roman"/>
                <w:b/>
                <w:color w:val="auto"/>
              </w:rPr>
            </w:pPr>
            <w:r>
              <w:rPr>
                <w:rFonts w:ascii="Times New Roman" w:hAnsi="Times New Roman"/>
                <w:b/>
                <w:color w:val="auto"/>
              </w:rPr>
              <w:t>水环境影响专项评价（包括地表水和地下水）</w:t>
            </w:r>
          </w:p>
          <w:p w14:paraId="7465236D">
            <w:pPr>
              <w:numPr>
                <w:ilvl w:val="0"/>
                <w:numId w:val="5"/>
              </w:numPr>
              <w:rPr>
                <w:rFonts w:ascii="Times New Roman" w:hAnsi="Times New Roman"/>
                <w:b/>
                <w:color w:val="auto"/>
              </w:rPr>
            </w:pPr>
            <w:r>
              <w:rPr>
                <w:rFonts w:ascii="Times New Roman" w:hAnsi="Times New Roman"/>
                <w:b/>
                <w:color w:val="auto"/>
              </w:rPr>
              <w:t>生态影响专项评价</w:t>
            </w:r>
          </w:p>
          <w:p w14:paraId="53DA4B8F">
            <w:pPr>
              <w:numPr>
                <w:ilvl w:val="0"/>
                <w:numId w:val="5"/>
              </w:numPr>
              <w:rPr>
                <w:rFonts w:ascii="Times New Roman" w:hAnsi="Times New Roman"/>
                <w:b/>
                <w:color w:val="auto"/>
              </w:rPr>
            </w:pPr>
            <w:r>
              <w:rPr>
                <w:rFonts w:ascii="Times New Roman" w:hAnsi="Times New Roman"/>
                <w:b/>
                <w:color w:val="auto"/>
              </w:rPr>
              <w:t>声影响专项评价</w:t>
            </w:r>
          </w:p>
          <w:p w14:paraId="51F471A0">
            <w:pPr>
              <w:numPr>
                <w:ilvl w:val="0"/>
                <w:numId w:val="5"/>
              </w:numPr>
              <w:rPr>
                <w:rFonts w:ascii="Times New Roman" w:hAnsi="Times New Roman"/>
                <w:b/>
                <w:color w:val="auto"/>
              </w:rPr>
            </w:pPr>
            <w:r>
              <w:rPr>
                <w:rFonts w:ascii="Times New Roman" w:hAnsi="Times New Roman"/>
                <w:b/>
                <w:color w:val="auto"/>
              </w:rPr>
              <w:t>土壤影响专项评价</w:t>
            </w:r>
          </w:p>
          <w:p w14:paraId="0C7A8804">
            <w:pPr>
              <w:numPr>
                <w:ilvl w:val="0"/>
                <w:numId w:val="5"/>
              </w:numPr>
              <w:rPr>
                <w:rFonts w:ascii="Times New Roman" w:hAnsi="Times New Roman"/>
                <w:b/>
                <w:color w:val="auto"/>
              </w:rPr>
            </w:pPr>
            <w:r>
              <w:rPr>
                <w:rFonts w:ascii="Times New Roman" w:hAnsi="Times New Roman"/>
                <w:b/>
                <w:color w:val="auto"/>
              </w:rPr>
              <w:t>固体废弃物影响专项评价</w:t>
            </w:r>
          </w:p>
          <w:p w14:paraId="4ED87CA9">
            <w:pPr>
              <w:rPr>
                <w:rFonts w:ascii="Times New Roman" w:hAnsi="Times New Roman"/>
                <w:b/>
                <w:color w:val="auto"/>
              </w:rPr>
            </w:pPr>
            <w:r>
              <w:rPr>
                <w:rFonts w:ascii="Times New Roman" w:hAnsi="Times New Roman"/>
                <w:b/>
                <w:color w:val="auto"/>
              </w:rPr>
              <w:t>以上专项评价未包括的可另列专，专项评价按照《环境影响评价技术导则》中的要求进行。</w:t>
            </w:r>
          </w:p>
        </w:tc>
      </w:tr>
    </w:tbl>
    <w:p w14:paraId="7472BE1B">
      <w:pPr>
        <w:rPr>
          <w:color w:val="FF0000"/>
        </w:rPr>
      </w:pPr>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新宋体-18030">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宋体C....">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9D02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0623">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DC9FA">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5DC9FA">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93C8">
    <w:pPr>
      <w:pStyle w:val="15"/>
      <w:jc w:val="center"/>
    </w:pPr>
    <w:r>
      <w:rPr>
        <w:rFonts w:hint="eastAsia"/>
        <w:sz w:val="18"/>
        <w:lang w:eastAsia="zh-CN"/>
      </w:rPr>
      <w:t>湖州宝丽环境技术有限公司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EB1E">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890C">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C00C9">
    <w:pPr>
      <w:pStyle w:val="16"/>
    </w:pPr>
    <w:r>
      <w:rPr>
        <w:rFonts w:hint="eastAsia" w:ascii="Times New Roman" w:hAnsi="Times New Roman" w:cs="Times New Roman"/>
        <w:lang w:val="en-US" w:eastAsia="zh-CN"/>
      </w:rPr>
      <w:t>浙江桃园智能科技有限公司年产400万片电磁阀智能芯片及2万台高端电磁阀项目</w:t>
    </w:r>
    <w:r>
      <w:rPr>
        <w:rFonts w:hint="default" w:ascii="Times New Roman" w:hAnsi="Times New Roman" w:cs="Times New Roman"/>
      </w:rPr>
      <w:t>环境影响</w:t>
    </w:r>
    <w:r>
      <w:rPr>
        <w:rFonts w:hint="eastAsia" w:ascii="Times New Roman" w:hAnsi="Times New Roman" w:cs="Times New Roman"/>
        <w:lang w:val="en-US" w:eastAsia="zh-CN"/>
      </w:rPr>
      <w:t>登记</w:t>
    </w:r>
    <w:r>
      <w:rPr>
        <w:rFonts w:hint="default" w:ascii="Times New Roman" w:hAnsi="Times New Roman" w:cs="Times New Roman"/>
      </w:rPr>
      <w:t>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D929">
    <w:pPr>
      <w:pStyle w:val="16"/>
    </w:pPr>
    <w:r>
      <w:rPr>
        <w:rFonts w:hint="eastAsia" w:ascii="Times New Roman" w:hAnsi="Times New Roman" w:cs="Times New Roman"/>
        <w:lang w:val="en-US" w:eastAsia="zh-CN"/>
      </w:rPr>
      <w:t>浙江桃园智能科技有限公司年产400万片电磁阀智能芯片及2万台高端电磁阀项目</w:t>
    </w:r>
    <w:r>
      <w:rPr>
        <w:rFonts w:hint="default" w:ascii="Times New Roman" w:hAnsi="Times New Roman" w:cs="Times New Roman"/>
      </w:rPr>
      <w:t>环境影响</w:t>
    </w:r>
    <w:r>
      <w:rPr>
        <w:rFonts w:hint="eastAsia" w:ascii="Times New Roman" w:hAnsi="Times New Roman" w:cs="Times New Roman"/>
        <w:lang w:val="en-US" w:eastAsia="zh-CN"/>
      </w:rPr>
      <w:t>登记</w:t>
    </w:r>
    <w:r>
      <w:rPr>
        <w:rFonts w:hint="default" w:ascii="Times New Roman" w:hAnsi="Times New Roman" w:cs="Times New Roman"/>
      </w:rPr>
      <w:t>表</w:t>
    </w:r>
  </w:p>
  <w:p w14:paraId="507081F1">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8FB1D"/>
    <w:multiLevelType w:val="singleLevel"/>
    <w:tmpl w:val="F338FB1D"/>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14"/>
      <w:lvlText w:val="%1."/>
      <w:lvlJc w:val="left"/>
      <w:pPr>
        <w:tabs>
          <w:tab w:val="left" w:pos="420"/>
        </w:tabs>
        <w:ind w:left="420"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6726C4"/>
    <w:multiLevelType w:val="singleLevel"/>
    <w:tmpl w:val="166726C4"/>
    <w:lvl w:ilvl="0" w:tentative="0">
      <w:start w:val="1"/>
      <w:numFmt w:val="japaneseCounting"/>
      <w:lvlText w:val="%1、"/>
      <w:lvlJc w:val="left"/>
      <w:pPr>
        <w:tabs>
          <w:tab w:val="left" w:pos="420"/>
        </w:tabs>
        <w:ind w:left="420" w:hanging="420"/>
      </w:pPr>
      <w:rPr>
        <w:rFonts w:hint="eastAsia"/>
      </w:rPr>
    </w:lvl>
  </w:abstractNum>
  <w:abstractNum w:abstractNumId="3">
    <w:nsid w:val="18B45D05"/>
    <w:multiLevelType w:val="singleLevel"/>
    <w:tmpl w:val="18B45D05"/>
    <w:lvl w:ilvl="0" w:tentative="0">
      <w:start w:val="1"/>
      <w:numFmt w:val="decimal"/>
      <w:lvlText w:val="%1."/>
      <w:lvlJc w:val="left"/>
      <w:pPr>
        <w:tabs>
          <w:tab w:val="left" w:pos="330"/>
        </w:tabs>
        <w:ind w:left="330" w:hanging="330"/>
      </w:pPr>
      <w:rPr>
        <w:rFonts w:hint="eastAsia"/>
      </w:rPr>
    </w:lvl>
  </w:abstractNum>
  <w:abstractNum w:abstractNumId="4">
    <w:nsid w:val="1A973BDE"/>
    <w:multiLevelType w:val="singleLevel"/>
    <w:tmpl w:val="1A973BDE"/>
    <w:lvl w:ilvl="0" w:tentative="0">
      <w:start w:val="4"/>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NThjMzcxMGU3NmU2MWJhZGFkZTEyYjkwN2FiZjYifQ=="/>
  </w:docVars>
  <w:rsids>
    <w:rsidRoot w:val="0070114A"/>
    <w:rsid w:val="00001A32"/>
    <w:rsid w:val="00001B9A"/>
    <w:rsid w:val="00005402"/>
    <w:rsid w:val="000118A6"/>
    <w:rsid w:val="00016D8E"/>
    <w:rsid w:val="00024352"/>
    <w:rsid w:val="0003165D"/>
    <w:rsid w:val="00041AF7"/>
    <w:rsid w:val="00041E63"/>
    <w:rsid w:val="0004234C"/>
    <w:rsid w:val="00042FC7"/>
    <w:rsid w:val="00044EF2"/>
    <w:rsid w:val="00050312"/>
    <w:rsid w:val="00051592"/>
    <w:rsid w:val="00052A18"/>
    <w:rsid w:val="00062CA9"/>
    <w:rsid w:val="00072C34"/>
    <w:rsid w:val="000755F3"/>
    <w:rsid w:val="00087A5A"/>
    <w:rsid w:val="0009075B"/>
    <w:rsid w:val="000942B7"/>
    <w:rsid w:val="00095138"/>
    <w:rsid w:val="000B57ED"/>
    <w:rsid w:val="000B6281"/>
    <w:rsid w:val="000C3DA7"/>
    <w:rsid w:val="000C5EEB"/>
    <w:rsid w:val="000E0220"/>
    <w:rsid w:val="000E54C6"/>
    <w:rsid w:val="000F5645"/>
    <w:rsid w:val="000F7186"/>
    <w:rsid w:val="00101AE9"/>
    <w:rsid w:val="001058CA"/>
    <w:rsid w:val="001113BD"/>
    <w:rsid w:val="00115E0C"/>
    <w:rsid w:val="00116800"/>
    <w:rsid w:val="0012448A"/>
    <w:rsid w:val="00125237"/>
    <w:rsid w:val="00125861"/>
    <w:rsid w:val="001315D9"/>
    <w:rsid w:val="00135BC8"/>
    <w:rsid w:val="00152435"/>
    <w:rsid w:val="00155658"/>
    <w:rsid w:val="00161C6C"/>
    <w:rsid w:val="00162319"/>
    <w:rsid w:val="00186BF0"/>
    <w:rsid w:val="00197A08"/>
    <w:rsid w:val="001A0649"/>
    <w:rsid w:val="001A3A69"/>
    <w:rsid w:val="001C3620"/>
    <w:rsid w:val="001C66E0"/>
    <w:rsid w:val="001C710E"/>
    <w:rsid w:val="001D0F5A"/>
    <w:rsid w:val="001D4206"/>
    <w:rsid w:val="001D7AE4"/>
    <w:rsid w:val="001E64B1"/>
    <w:rsid w:val="001F3ADA"/>
    <w:rsid w:val="001F4D0A"/>
    <w:rsid w:val="0020619A"/>
    <w:rsid w:val="00213C82"/>
    <w:rsid w:val="00216E1D"/>
    <w:rsid w:val="002235CA"/>
    <w:rsid w:val="00225378"/>
    <w:rsid w:val="00237A6E"/>
    <w:rsid w:val="00253ED9"/>
    <w:rsid w:val="0025771E"/>
    <w:rsid w:val="00261A71"/>
    <w:rsid w:val="002841C0"/>
    <w:rsid w:val="00292BAB"/>
    <w:rsid w:val="00293DEA"/>
    <w:rsid w:val="00294421"/>
    <w:rsid w:val="00296707"/>
    <w:rsid w:val="002A163E"/>
    <w:rsid w:val="002A280E"/>
    <w:rsid w:val="002A3F72"/>
    <w:rsid w:val="002B3C09"/>
    <w:rsid w:val="002C737B"/>
    <w:rsid w:val="002D79F4"/>
    <w:rsid w:val="002E01C1"/>
    <w:rsid w:val="003003B4"/>
    <w:rsid w:val="00305C8F"/>
    <w:rsid w:val="00311A5F"/>
    <w:rsid w:val="00327CB1"/>
    <w:rsid w:val="00333A2A"/>
    <w:rsid w:val="0034788F"/>
    <w:rsid w:val="00351550"/>
    <w:rsid w:val="00356BF1"/>
    <w:rsid w:val="00360E24"/>
    <w:rsid w:val="00375332"/>
    <w:rsid w:val="00380A7D"/>
    <w:rsid w:val="00382DEE"/>
    <w:rsid w:val="00384B9C"/>
    <w:rsid w:val="00386AE0"/>
    <w:rsid w:val="00393457"/>
    <w:rsid w:val="00396FF2"/>
    <w:rsid w:val="003A1912"/>
    <w:rsid w:val="003A4DF7"/>
    <w:rsid w:val="003A6B66"/>
    <w:rsid w:val="003B0418"/>
    <w:rsid w:val="003B14F1"/>
    <w:rsid w:val="003B5278"/>
    <w:rsid w:val="003C10DE"/>
    <w:rsid w:val="003C11CB"/>
    <w:rsid w:val="003C28DE"/>
    <w:rsid w:val="003D0404"/>
    <w:rsid w:val="003D6E03"/>
    <w:rsid w:val="003F5F2A"/>
    <w:rsid w:val="00417EF4"/>
    <w:rsid w:val="00423E53"/>
    <w:rsid w:val="004277C9"/>
    <w:rsid w:val="0043659A"/>
    <w:rsid w:val="004430AC"/>
    <w:rsid w:val="004672B9"/>
    <w:rsid w:val="00473031"/>
    <w:rsid w:val="00475467"/>
    <w:rsid w:val="00485657"/>
    <w:rsid w:val="00486AE7"/>
    <w:rsid w:val="0049497D"/>
    <w:rsid w:val="004A13DE"/>
    <w:rsid w:val="004A1407"/>
    <w:rsid w:val="004A3368"/>
    <w:rsid w:val="004B2BC5"/>
    <w:rsid w:val="004B3C77"/>
    <w:rsid w:val="004B443C"/>
    <w:rsid w:val="004B48CF"/>
    <w:rsid w:val="004C6040"/>
    <w:rsid w:val="004D5CD8"/>
    <w:rsid w:val="004E05E2"/>
    <w:rsid w:val="00500138"/>
    <w:rsid w:val="00500C27"/>
    <w:rsid w:val="00501EE6"/>
    <w:rsid w:val="005062E0"/>
    <w:rsid w:val="00515981"/>
    <w:rsid w:val="005216AE"/>
    <w:rsid w:val="00523EB0"/>
    <w:rsid w:val="00531029"/>
    <w:rsid w:val="005319D6"/>
    <w:rsid w:val="0053518A"/>
    <w:rsid w:val="00536B98"/>
    <w:rsid w:val="00540591"/>
    <w:rsid w:val="00541643"/>
    <w:rsid w:val="00547BFA"/>
    <w:rsid w:val="005520DD"/>
    <w:rsid w:val="00554A60"/>
    <w:rsid w:val="00554C33"/>
    <w:rsid w:val="005574FC"/>
    <w:rsid w:val="005609CC"/>
    <w:rsid w:val="00563274"/>
    <w:rsid w:val="00567D69"/>
    <w:rsid w:val="0058523E"/>
    <w:rsid w:val="00593490"/>
    <w:rsid w:val="005A7208"/>
    <w:rsid w:val="005B03CF"/>
    <w:rsid w:val="005C088A"/>
    <w:rsid w:val="005C4722"/>
    <w:rsid w:val="005C6ADC"/>
    <w:rsid w:val="005C6ECC"/>
    <w:rsid w:val="005C793B"/>
    <w:rsid w:val="005E0AA6"/>
    <w:rsid w:val="005E3C2A"/>
    <w:rsid w:val="00610597"/>
    <w:rsid w:val="00617114"/>
    <w:rsid w:val="00621C19"/>
    <w:rsid w:val="00627E6B"/>
    <w:rsid w:val="00665BAD"/>
    <w:rsid w:val="0066795B"/>
    <w:rsid w:val="006763B7"/>
    <w:rsid w:val="00676967"/>
    <w:rsid w:val="006911F9"/>
    <w:rsid w:val="00692FA7"/>
    <w:rsid w:val="006A6661"/>
    <w:rsid w:val="006B4F71"/>
    <w:rsid w:val="006D0CE9"/>
    <w:rsid w:val="006E079D"/>
    <w:rsid w:val="006E5082"/>
    <w:rsid w:val="006F4892"/>
    <w:rsid w:val="0070114A"/>
    <w:rsid w:val="007013BB"/>
    <w:rsid w:val="007200AE"/>
    <w:rsid w:val="00724552"/>
    <w:rsid w:val="00752F33"/>
    <w:rsid w:val="00753B19"/>
    <w:rsid w:val="00760DF0"/>
    <w:rsid w:val="00767ED3"/>
    <w:rsid w:val="00771B68"/>
    <w:rsid w:val="00773916"/>
    <w:rsid w:val="007756C4"/>
    <w:rsid w:val="00775E82"/>
    <w:rsid w:val="00775F1C"/>
    <w:rsid w:val="00782F3A"/>
    <w:rsid w:val="00782FF5"/>
    <w:rsid w:val="007914BF"/>
    <w:rsid w:val="00795635"/>
    <w:rsid w:val="007A04E6"/>
    <w:rsid w:val="007A3406"/>
    <w:rsid w:val="007A6599"/>
    <w:rsid w:val="007B322B"/>
    <w:rsid w:val="007C2CDB"/>
    <w:rsid w:val="007D0F25"/>
    <w:rsid w:val="007E02F7"/>
    <w:rsid w:val="007E2EF7"/>
    <w:rsid w:val="007E69BB"/>
    <w:rsid w:val="007F03E4"/>
    <w:rsid w:val="00803082"/>
    <w:rsid w:val="008039CA"/>
    <w:rsid w:val="00814795"/>
    <w:rsid w:val="00823A11"/>
    <w:rsid w:val="0083050D"/>
    <w:rsid w:val="008322BB"/>
    <w:rsid w:val="00847DE1"/>
    <w:rsid w:val="008555F9"/>
    <w:rsid w:val="008679D5"/>
    <w:rsid w:val="00881383"/>
    <w:rsid w:val="0088644B"/>
    <w:rsid w:val="0089189B"/>
    <w:rsid w:val="008953F8"/>
    <w:rsid w:val="008D313A"/>
    <w:rsid w:val="008E34FA"/>
    <w:rsid w:val="008E4580"/>
    <w:rsid w:val="008E6404"/>
    <w:rsid w:val="008E7DEC"/>
    <w:rsid w:val="008F127C"/>
    <w:rsid w:val="00900FCB"/>
    <w:rsid w:val="009049D8"/>
    <w:rsid w:val="0091447E"/>
    <w:rsid w:val="0093161D"/>
    <w:rsid w:val="009342B1"/>
    <w:rsid w:val="00936276"/>
    <w:rsid w:val="009421BC"/>
    <w:rsid w:val="009444C8"/>
    <w:rsid w:val="00951FEE"/>
    <w:rsid w:val="009545F5"/>
    <w:rsid w:val="00960883"/>
    <w:rsid w:val="009615CE"/>
    <w:rsid w:val="00963735"/>
    <w:rsid w:val="00973FB8"/>
    <w:rsid w:val="00995CEA"/>
    <w:rsid w:val="00997D30"/>
    <w:rsid w:val="009A0ED2"/>
    <w:rsid w:val="009A13B3"/>
    <w:rsid w:val="009A5857"/>
    <w:rsid w:val="009A638F"/>
    <w:rsid w:val="009B781F"/>
    <w:rsid w:val="009C2224"/>
    <w:rsid w:val="009C337D"/>
    <w:rsid w:val="009D0EA3"/>
    <w:rsid w:val="009D30FE"/>
    <w:rsid w:val="009E2D09"/>
    <w:rsid w:val="009E35CF"/>
    <w:rsid w:val="009F3B7E"/>
    <w:rsid w:val="00A031D0"/>
    <w:rsid w:val="00A25B25"/>
    <w:rsid w:val="00A27621"/>
    <w:rsid w:val="00A32A0F"/>
    <w:rsid w:val="00A34215"/>
    <w:rsid w:val="00A364B9"/>
    <w:rsid w:val="00A42231"/>
    <w:rsid w:val="00A437D3"/>
    <w:rsid w:val="00A52E79"/>
    <w:rsid w:val="00A566D5"/>
    <w:rsid w:val="00A641FB"/>
    <w:rsid w:val="00A70953"/>
    <w:rsid w:val="00A75DC2"/>
    <w:rsid w:val="00A8009B"/>
    <w:rsid w:val="00A80993"/>
    <w:rsid w:val="00A83AD0"/>
    <w:rsid w:val="00A87F74"/>
    <w:rsid w:val="00A95FBE"/>
    <w:rsid w:val="00AA5CB3"/>
    <w:rsid w:val="00AA5E84"/>
    <w:rsid w:val="00AB1812"/>
    <w:rsid w:val="00AB26EF"/>
    <w:rsid w:val="00AB5028"/>
    <w:rsid w:val="00AF0FDB"/>
    <w:rsid w:val="00AF1083"/>
    <w:rsid w:val="00AF65F9"/>
    <w:rsid w:val="00B06E28"/>
    <w:rsid w:val="00B13A1E"/>
    <w:rsid w:val="00B22BA0"/>
    <w:rsid w:val="00B37484"/>
    <w:rsid w:val="00B44E44"/>
    <w:rsid w:val="00B44E5C"/>
    <w:rsid w:val="00B46918"/>
    <w:rsid w:val="00B5443F"/>
    <w:rsid w:val="00B561ED"/>
    <w:rsid w:val="00B57B36"/>
    <w:rsid w:val="00B701B7"/>
    <w:rsid w:val="00B76409"/>
    <w:rsid w:val="00B92181"/>
    <w:rsid w:val="00B93F2F"/>
    <w:rsid w:val="00B94C65"/>
    <w:rsid w:val="00BA2DA8"/>
    <w:rsid w:val="00BB709D"/>
    <w:rsid w:val="00BC57CD"/>
    <w:rsid w:val="00BD378A"/>
    <w:rsid w:val="00BE7797"/>
    <w:rsid w:val="00BF0E19"/>
    <w:rsid w:val="00BF186E"/>
    <w:rsid w:val="00BF706B"/>
    <w:rsid w:val="00C105D8"/>
    <w:rsid w:val="00C2730A"/>
    <w:rsid w:val="00C3230F"/>
    <w:rsid w:val="00C33E5A"/>
    <w:rsid w:val="00C37406"/>
    <w:rsid w:val="00C44682"/>
    <w:rsid w:val="00C528D4"/>
    <w:rsid w:val="00C603FA"/>
    <w:rsid w:val="00CA3D2D"/>
    <w:rsid w:val="00CA613C"/>
    <w:rsid w:val="00CB3C62"/>
    <w:rsid w:val="00CB77BE"/>
    <w:rsid w:val="00CC0F37"/>
    <w:rsid w:val="00CD3922"/>
    <w:rsid w:val="00CD79DA"/>
    <w:rsid w:val="00CE4C33"/>
    <w:rsid w:val="00CE6267"/>
    <w:rsid w:val="00CE72AE"/>
    <w:rsid w:val="00CF5500"/>
    <w:rsid w:val="00D026DF"/>
    <w:rsid w:val="00D126E4"/>
    <w:rsid w:val="00D26D9F"/>
    <w:rsid w:val="00D27639"/>
    <w:rsid w:val="00D3363A"/>
    <w:rsid w:val="00D3394F"/>
    <w:rsid w:val="00D42B17"/>
    <w:rsid w:val="00D743B5"/>
    <w:rsid w:val="00D84242"/>
    <w:rsid w:val="00D86229"/>
    <w:rsid w:val="00D91EDB"/>
    <w:rsid w:val="00D9637F"/>
    <w:rsid w:val="00DA2AC6"/>
    <w:rsid w:val="00DA6DE1"/>
    <w:rsid w:val="00DB20F7"/>
    <w:rsid w:val="00DC205B"/>
    <w:rsid w:val="00DC5E6F"/>
    <w:rsid w:val="00DC6126"/>
    <w:rsid w:val="00DD75D2"/>
    <w:rsid w:val="00DE1C59"/>
    <w:rsid w:val="00DE5743"/>
    <w:rsid w:val="00E11A63"/>
    <w:rsid w:val="00E16FE2"/>
    <w:rsid w:val="00E23B02"/>
    <w:rsid w:val="00E36015"/>
    <w:rsid w:val="00E463E3"/>
    <w:rsid w:val="00E54D24"/>
    <w:rsid w:val="00E60A9C"/>
    <w:rsid w:val="00E6284A"/>
    <w:rsid w:val="00E645F8"/>
    <w:rsid w:val="00E75C87"/>
    <w:rsid w:val="00E874B8"/>
    <w:rsid w:val="00EA058C"/>
    <w:rsid w:val="00EA0745"/>
    <w:rsid w:val="00EA40E8"/>
    <w:rsid w:val="00EB47A6"/>
    <w:rsid w:val="00EB60B2"/>
    <w:rsid w:val="00EC0BC5"/>
    <w:rsid w:val="00EC0CB7"/>
    <w:rsid w:val="00EC7A04"/>
    <w:rsid w:val="00ED1E2A"/>
    <w:rsid w:val="00ED7142"/>
    <w:rsid w:val="00ED73B6"/>
    <w:rsid w:val="00EE3D9B"/>
    <w:rsid w:val="00EF19E6"/>
    <w:rsid w:val="00EF5BA2"/>
    <w:rsid w:val="00F05477"/>
    <w:rsid w:val="00F153D1"/>
    <w:rsid w:val="00F15440"/>
    <w:rsid w:val="00F22F9D"/>
    <w:rsid w:val="00F24B61"/>
    <w:rsid w:val="00F33ADE"/>
    <w:rsid w:val="00F443C8"/>
    <w:rsid w:val="00F44F67"/>
    <w:rsid w:val="00F46D15"/>
    <w:rsid w:val="00F50CDF"/>
    <w:rsid w:val="00F51543"/>
    <w:rsid w:val="00F52A8D"/>
    <w:rsid w:val="00F55858"/>
    <w:rsid w:val="00F63A10"/>
    <w:rsid w:val="00F67CE9"/>
    <w:rsid w:val="00F705B3"/>
    <w:rsid w:val="00F7751D"/>
    <w:rsid w:val="00F82D54"/>
    <w:rsid w:val="00F907CF"/>
    <w:rsid w:val="00F9150D"/>
    <w:rsid w:val="00F9257D"/>
    <w:rsid w:val="00FA00A3"/>
    <w:rsid w:val="00FA1DF2"/>
    <w:rsid w:val="00FC02BF"/>
    <w:rsid w:val="00FD08F3"/>
    <w:rsid w:val="00FD2F8F"/>
    <w:rsid w:val="00FD5372"/>
    <w:rsid w:val="00FE3F6D"/>
    <w:rsid w:val="00FE7B94"/>
    <w:rsid w:val="00FF4382"/>
    <w:rsid w:val="00FF4979"/>
    <w:rsid w:val="00FF56BA"/>
    <w:rsid w:val="0100390C"/>
    <w:rsid w:val="01022EEC"/>
    <w:rsid w:val="01032D2A"/>
    <w:rsid w:val="010333FC"/>
    <w:rsid w:val="01050F22"/>
    <w:rsid w:val="01055D2F"/>
    <w:rsid w:val="01064C9A"/>
    <w:rsid w:val="01066A48"/>
    <w:rsid w:val="0107397E"/>
    <w:rsid w:val="010748D7"/>
    <w:rsid w:val="010855B5"/>
    <w:rsid w:val="0109619B"/>
    <w:rsid w:val="010A478A"/>
    <w:rsid w:val="010B3C0B"/>
    <w:rsid w:val="010C0502"/>
    <w:rsid w:val="010C608F"/>
    <w:rsid w:val="010E63FF"/>
    <w:rsid w:val="010E7B40"/>
    <w:rsid w:val="010F7FF3"/>
    <w:rsid w:val="0110127B"/>
    <w:rsid w:val="01105031"/>
    <w:rsid w:val="01115B19"/>
    <w:rsid w:val="01121891"/>
    <w:rsid w:val="011253ED"/>
    <w:rsid w:val="01145609"/>
    <w:rsid w:val="01154EDD"/>
    <w:rsid w:val="01161381"/>
    <w:rsid w:val="01172099"/>
    <w:rsid w:val="01172A03"/>
    <w:rsid w:val="01173049"/>
    <w:rsid w:val="0119089D"/>
    <w:rsid w:val="01192C1F"/>
    <w:rsid w:val="011949CD"/>
    <w:rsid w:val="01194F6B"/>
    <w:rsid w:val="011A24F4"/>
    <w:rsid w:val="011B4FB9"/>
    <w:rsid w:val="011B6997"/>
    <w:rsid w:val="011C4D53"/>
    <w:rsid w:val="011C546E"/>
    <w:rsid w:val="011D2A29"/>
    <w:rsid w:val="011D61A5"/>
    <w:rsid w:val="011E1FE4"/>
    <w:rsid w:val="011E3D92"/>
    <w:rsid w:val="01207B0A"/>
    <w:rsid w:val="01211B1D"/>
    <w:rsid w:val="01214875"/>
    <w:rsid w:val="01227D26"/>
    <w:rsid w:val="012355E5"/>
    <w:rsid w:val="012375FA"/>
    <w:rsid w:val="01247A85"/>
    <w:rsid w:val="012515C4"/>
    <w:rsid w:val="01253055"/>
    <w:rsid w:val="012610EC"/>
    <w:rsid w:val="0126384F"/>
    <w:rsid w:val="01264686"/>
    <w:rsid w:val="012706AB"/>
    <w:rsid w:val="01273479"/>
    <w:rsid w:val="01274CEF"/>
    <w:rsid w:val="0127533C"/>
    <w:rsid w:val="01282E62"/>
    <w:rsid w:val="012855CE"/>
    <w:rsid w:val="01290E5A"/>
    <w:rsid w:val="012A58C3"/>
    <w:rsid w:val="012A6BDB"/>
    <w:rsid w:val="012B0079"/>
    <w:rsid w:val="012C0060"/>
    <w:rsid w:val="012C2953"/>
    <w:rsid w:val="012D2FA9"/>
    <w:rsid w:val="01306AAB"/>
    <w:rsid w:val="01311D17"/>
    <w:rsid w:val="01325A8F"/>
    <w:rsid w:val="01326F3B"/>
    <w:rsid w:val="0132783D"/>
    <w:rsid w:val="0133688D"/>
    <w:rsid w:val="01351803"/>
    <w:rsid w:val="013637D1"/>
    <w:rsid w:val="01366FBA"/>
    <w:rsid w:val="013701DC"/>
    <w:rsid w:val="013712F7"/>
    <w:rsid w:val="0137184F"/>
    <w:rsid w:val="01375F3B"/>
    <w:rsid w:val="01391502"/>
    <w:rsid w:val="01394B5D"/>
    <w:rsid w:val="013A432D"/>
    <w:rsid w:val="013B0DE8"/>
    <w:rsid w:val="013B3D53"/>
    <w:rsid w:val="013B4944"/>
    <w:rsid w:val="013E2018"/>
    <w:rsid w:val="013E4434"/>
    <w:rsid w:val="014072D0"/>
    <w:rsid w:val="01413E5F"/>
    <w:rsid w:val="014252EF"/>
    <w:rsid w:val="01437C9C"/>
    <w:rsid w:val="01445825"/>
    <w:rsid w:val="01453595"/>
    <w:rsid w:val="01453A14"/>
    <w:rsid w:val="01455DDE"/>
    <w:rsid w:val="01456567"/>
    <w:rsid w:val="01456EE8"/>
    <w:rsid w:val="0146034C"/>
    <w:rsid w:val="014632E9"/>
    <w:rsid w:val="01474374"/>
    <w:rsid w:val="014863C4"/>
    <w:rsid w:val="01486A08"/>
    <w:rsid w:val="01487061"/>
    <w:rsid w:val="014A2DD9"/>
    <w:rsid w:val="014A3A81"/>
    <w:rsid w:val="014A4B87"/>
    <w:rsid w:val="014C639C"/>
    <w:rsid w:val="014D0B1B"/>
    <w:rsid w:val="014D28C9"/>
    <w:rsid w:val="014E0B86"/>
    <w:rsid w:val="014E62DB"/>
    <w:rsid w:val="014E7B14"/>
    <w:rsid w:val="014F219D"/>
    <w:rsid w:val="014F2ACE"/>
    <w:rsid w:val="015118EF"/>
    <w:rsid w:val="015170E8"/>
    <w:rsid w:val="01521135"/>
    <w:rsid w:val="01521C8D"/>
    <w:rsid w:val="015233E3"/>
    <w:rsid w:val="01530024"/>
    <w:rsid w:val="01541EA9"/>
    <w:rsid w:val="01545A05"/>
    <w:rsid w:val="01546A41"/>
    <w:rsid w:val="01553765"/>
    <w:rsid w:val="01555D1B"/>
    <w:rsid w:val="0156177E"/>
    <w:rsid w:val="01565C22"/>
    <w:rsid w:val="015669A8"/>
    <w:rsid w:val="015676BF"/>
    <w:rsid w:val="015679D0"/>
    <w:rsid w:val="01580C56"/>
    <w:rsid w:val="0159301C"/>
    <w:rsid w:val="0159792A"/>
    <w:rsid w:val="015B25EA"/>
    <w:rsid w:val="015B3238"/>
    <w:rsid w:val="015B6D94"/>
    <w:rsid w:val="015C4EB0"/>
    <w:rsid w:val="015E4AD6"/>
    <w:rsid w:val="016025FC"/>
    <w:rsid w:val="01610122"/>
    <w:rsid w:val="016245C6"/>
    <w:rsid w:val="01632467"/>
    <w:rsid w:val="01635912"/>
    <w:rsid w:val="016471F9"/>
    <w:rsid w:val="01651853"/>
    <w:rsid w:val="01655E65"/>
    <w:rsid w:val="01657C13"/>
    <w:rsid w:val="01661B19"/>
    <w:rsid w:val="016678DF"/>
    <w:rsid w:val="0167398B"/>
    <w:rsid w:val="0168325F"/>
    <w:rsid w:val="01694B1E"/>
    <w:rsid w:val="01695955"/>
    <w:rsid w:val="016A5229"/>
    <w:rsid w:val="016A7234"/>
    <w:rsid w:val="016B102B"/>
    <w:rsid w:val="016B46D3"/>
    <w:rsid w:val="016E2F6B"/>
    <w:rsid w:val="016F283F"/>
    <w:rsid w:val="01703CE4"/>
    <w:rsid w:val="01706062"/>
    <w:rsid w:val="01706990"/>
    <w:rsid w:val="01711A9E"/>
    <w:rsid w:val="01714429"/>
    <w:rsid w:val="01716006"/>
    <w:rsid w:val="017240DE"/>
    <w:rsid w:val="0173585E"/>
    <w:rsid w:val="017460A8"/>
    <w:rsid w:val="01746A10"/>
    <w:rsid w:val="01761E20"/>
    <w:rsid w:val="01777826"/>
    <w:rsid w:val="01785B98"/>
    <w:rsid w:val="017A2659"/>
    <w:rsid w:val="017B11E4"/>
    <w:rsid w:val="017B2F92"/>
    <w:rsid w:val="017B7436"/>
    <w:rsid w:val="017D2D26"/>
    <w:rsid w:val="017E630C"/>
    <w:rsid w:val="01801F61"/>
    <w:rsid w:val="01806BE5"/>
    <w:rsid w:val="01814321"/>
    <w:rsid w:val="01820F83"/>
    <w:rsid w:val="01826A17"/>
    <w:rsid w:val="01830099"/>
    <w:rsid w:val="018362EB"/>
    <w:rsid w:val="01837517"/>
    <w:rsid w:val="01842B8C"/>
    <w:rsid w:val="01852063"/>
    <w:rsid w:val="01857C73"/>
    <w:rsid w:val="0187402D"/>
    <w:rsid w:val="018876A4"/>
    <w:rsid w:val="01891B53"/>
    <w:rsid w:val="01895445"/>
    <w:rsid w:val="018A1427"/>
    <w:rsid w:val="018A58CB"/>
    <w:rsid w:val="018A7679"/>
    <w:rsid w:val="018C11BF"/>
    <w:rsid w:val="018D0F17"/>
    <w:rsid w:val="018D750F"/>
    <w:rsid w:val="018D7895"/>
    <w:rsid w:val="018E0D25"/>
    <w:rsid w:val="018E1BB8"/>
    <w:rsid w:val="018E6A7E"/>
    <w:rsid w:val="018E7169"/>
    <w:rsid w:val="018F2EE2"/>
    <w:rsid w:val="01916216"/>
    <w:rsid w:val="01924994"/>
    <w:rsid w:val="01931739"/>
    <w:rsid w:val="019329D2"/>
    <w:rsid w:val="01944054"/>
    <w:rsid w:val="01944B97"/>
    <w:rsid w:val="0196601E"/>
    <w:rsid w:val="0197097E"/>
    <w:rsid w:val="0197147D"/>
    <w:rsid w:val="01971AAA"/>
    <w:rsid w:val="01981D96"/>
    <w:rsid w:val="01983FF4"/>
    <w:rsid w:val="01993D60"/>
    <w:rsid w:val="019978BC"/>
    <w:rsid w:val="019A35DA"/>
    <w:rsid w:val="019B3634"/>
    <w:rsid w:val="019B4902"/>
    <w:rsid w:val="019D073A"/>
    <w:rsid w:val="019D115B"/>
    <w:rsid w:val="019E3125"/>
    <w:rsid w:val="019E4ED3"/>
    <w:rsid w:val="019F1377"/>
    <w:rsid w:val="019F58FF"/>
    <w:rsid w:val="01A00569"/>
    <w:rsid w:val="01A050EF"/>
    <w:rsid w:val="01A06F09"/>
    <w:rsid w:val="01A249C3"/>
    <w:rsid w:val="01A324E9"/>
    <w:rsid w:val="01A423B6"/>
    <w:rsid w:val="01A52705"/>
    <w:rsid w:val="01A56261"/>
    <w:rsid w:val="01A65C9F"/>
    <w:rsid w:val="01A81D9E"/>
    <w:rsid w:val="01A85D51"/>
    <w:rsid w:val="01A93B49"/>
    <w:rsid w:val="01A9669A"/>
    <w:rsid w:val="01AA3877"/>
    <w:rsid w:val="01AA7D1B"/>
    <w:rsid w:val="01AB484E"/>
    <w:rsid w:val="01AC27C5"/>
    <w:rsid w:val="01AC28DD"/>
    <w:rsid w:val="01AC59EF"/>
    <w:rsid w:val="01AE3001"/>
    <w:rsid w:val="01AE3368"/>
    <w:rsid w:val="01AF0E8E"/>
    <w:rsid w:val="01AF179F"/>
    <w:rsid w:val="01AF70E0"/>
    <w:rsid w:val="01B01053"/>
    <w:rsid w:val="01B16C90"/>
    <w:rsid w:val="01B3555B"/>
    <w:rsid w:val="01B35D00"/>
    <w:rsid w:val="01B40563"/>
    <w:rsid w:val="01B42948"/>
    <w:rsid w:val="01B52D79"/>
    <w:rsid w:val="01B6221C"/>
    <w:rsid w:val="01B91D0C"/>
    <w:rsid w:val="01BB5A85"/>
    <w:rsid w:val="01BB5EC1"/>
    <w:rsid w:val="01BB7833"/>
    <w:rsid w:val="01BE2EA7"/>
    <w:rsid w:val="01BF37C7"/>
    <w:rsid w:val="01BF5575"/>
    <w:rsid w:val="01BF5607"/>
    <w:rsid w:val="01C012ED"/>
    <w:rsid w:val="01C04E49"/>
    <w:rsid w:val="01C0753F"/>
    <w:rsid w:val="01C1789B"/>
    <w:rsid w:val="01C25065"/>
    <w:rsid w:val="01C26E13"/>
    <w:rsid w:val="01C338E7"/>
    <w:rsid w:val="01C34639"/>
    <w:rsid w:val="01C42B8B"/>
    <w:rsid w:val="01C44A43"/>
    <w:rsid w:val="01C476EE"/>
    <w:rsid w:val="01C52716"/>
    <w:rsid w:val="01C54B55"/>
    <w:rsid w:val="01C56903"/>
    <w:rsid w:val="01C645F4"/>
    <w:rsid w:val="01C715DA"/>
    <w:rsid w:val="01C71842"/>
    <w:rsid w:val="01C761D7"/>
    <w:rsid w:val="01C76A0F"/>
    <w:rsid w:val="01C81F50"/>
    <w:rsid w:val="01C8431F"/>
    <w:rsid w:val="01C901A1"/>
    <w:rsid w:val="01CA66F3"/>
    <w:rsid w:val="01CC6861"/>
    <w:rsid w:val="01CC7C92"/>
    <w:rsid w:val="01CD0898"/>
    <w:rsid w:val="01CD7566"/>
    <w:rsid w:val="01CE57B8"/>
    <w:rsid w:val="01CE78F9"/>
    <w:rsid w:val="01D04396"/>
    <w:rsid w:val="01D31020"/>
    <w:rsid w:val="01D408F4"/>
    <w:rsid w:val="01D47FE7"/>
    <w:rsid w:val="01D5675C"/>
    <w:rsid w:val="01D57681"/>
    <w:rsid w:val="01D60B10"/>
    <w:rsid w:val="01D628BE"/>
    <w:rsid w:val="01D6466C"/>
    <w:rsid w:val="01D75314"/>
    <w:rsid w:val="01D76FD5"/>
    <w:rsid w:val="01D803E5"/>
    <w:rsid w:val="01D8357C"/>
    <w:rsid w:val="01D857E9"/>
    <w:rsid w:val="01D90B26"/>
    <w:rsid w:val="01D95F0B"/>
    <w:rsid w:val="01DA46F2"/>
    <w:rsid w:val="01DB1C83"/>
    <w:rsid w:val="01DB7ED5"/>
    <w:rsid w:val="01DD1E9F"/>
    <w:rsid w:val="01DE089D"/>
    <w:rsid w:val="01DE1D53"/>
    <w:rsid w:val="01DF713D"/>
    <w:rsid w:val="01DF79C5"/>
    <w:rsid w:val="01DF7C1A"/>
    <w:rsid w:val="01E00C07"/>
    <w:rsid w:val="01E054EB"/>
    <w:rsid w:val="01E1319E"/>
    <w:rsid w:val="01E163AA"/>
    <w:rsid w:val="01E25ABE"/>
    <w:rsid w:val="01E37341"/>
    <w:rsid w:val="01E420B4"/>
    <w:rsid w:val="01E44FDB"/>
    <w:rsid w:val="01E50D53"/>
    <w:rsid w:val="01E52B01"/>
    <w:rsid w:val="01E626CD"/>
    <w:rsid w:val="01E74ACC"/>
    <w:rsid w:val="01E90844"/>
    <w:rsid w:val="01E943A0"/>
    <w:rsid w:val="01EA636A"/>
    <w:rsid w:val="01EC20E2"/>
    <w:rsid w:val="01EC3E90"/>
    <w:rsid w:val="01EC5C3E"/>
    <w:rsid w:val="01ED1741"/>
    <w:rsid w:val="01ED7329"/>
    <w:rsid w:val="01EE6BAF"/>
    <w:rsid w:val="01EF3980"/>
    <w:rsid w:val="01EF572E"/>
    <w:rsid w:val="01F2753D"/>
    <w:rsid w:val="01F3017A"/>
    <w:rsid w:val="01F30663"/>
    <w:rsid w:val="01F36384"/>
    <w:rsid w:val="01F8010F"/>
    <w:rsid w:val="01F86CD9"/>
    <w:rsid w:val="01FA47FF"/>
    <w:rsid w:val="01FB2226"/>
    <w:rsid w:val="01FB40D3"/>
    <w:rsid w:val="01FD42EF"/>
    <w:rsid w:val="020000B3"/>
    <w:rsid w:val="02007BB7"/>
    <w:rsid w:val="0201302D"/>
    <w:rsid w:val="02021905"/>
    <w:rsid w:val="0203505F"/>
    <w:rsid w:val="020548F6"/>
    <w:rsid w:val="02072A78"/>
    <w:rsid w:val="02073223"/>
    <w:rsid w:val="02075ADB"/>
    <w:rsid w:val="02076F1C"/>
    <w:rsid w:val="02077BC2"/>
    <w:rsid w:val="02094A42"/>
    <w:rsid w:val="020A2568"/>
    <w:rsid w:val="020B07BA"/>
    <w:rsid w:val="020B6DEF"/>
    <w:rsid w:val="020C0DAB"/>
    <w:rsid w:val="020C2745"/>
    <w:rsid w:val="020C62E0"/>
    <w:rsid w:val="020D728E"/>
    <w:rsid w:val="020E02AA"/>
    <w:rsid w:val="020E3E06"/>
    <w:rsid w:val="020F4ADB"/>
    <w:rsid w:val="02102371"/>
    <w:rsid w:val="02117D9A"/>
    <w:rsid w:val="02124462"/>
    <w:rsid w:val="02133E97"/>
    <w:rsid w:val="021438DF"/>
    <w:rsid w:val="021447C7"/>
    <w:rsid w:val="02145195"/>
    <w:rsid w:val="02145EAB"/>
    <w:rsid w:val="021533E7"/>
    <w:rsid w:val="021550AD"/>
    <w:rsid w:val="02162A55"/>
    <w:rsid w:val="02162ACE"/>
    <w:rsid w:val="0216427A"/>
    <w:rsid w:val="0216715F"/>
    <w:rsid w:val="02172DE1"/>
    <w:rsid w:val="021749AE"/>
    <w:rsid w:val="02177416"/>
    <w:rsid w:val="02180A0F"/>
    <w:rsid w:val="02182ED7"/>
    <w:rsid w:val="0219028B"/>
    <w:rsid w:val="021977D4"/>
    <w:rsid w:val="021A27AB"/>
    <w:rsid w:val="021A501A"/>
    <w:rsid w:val="021A6BFB"/>
    <w:rsid w:val="021A6C4F"/>
    <w:rsid w:val="021D1813"/>
    <w:rsid w:val="021E41D8"/>
    <w:rsid w:val="021F7DC1"/>
    <w:rsid w:val="022071A1"/>
    <w:rsid w:val="02217FDE"/>
    <w:rsid w:val="02220517"/>
    <w:rsid w:val="02223D56"/>
    <w:rsid w:val="022278B2"/>
    <w:rsid w:val="02233590"/>
    <w:rsid w:val="02245871"/>
    <w:rsid w:val="02247ACE"/>
    <w:rsid w:val="02263013"/>
    <w:rsid w:val="02272D62"/>
    <w:rsid w:val="02275933"/>
    <w:rsid w:val="02290C40"/>
    <w:rsid w:val="022950E4"/>
    <w:rsid w:val="022963AB"/>
    <w:rsid w:val="022A52ED"/>
    <w:rsid w:val="022C3206"/>
    <w:rsid w:val="022E26FA"/>
    <w:rsid w:val="022E51A4"/>
    <w:rsid w:val="022E6257"/>
    <w:rsid w:val="022F71CF"/>
    <w:rsid w:val="023000CF"/>
    <w:rsid w:val="02306473"/>
    <w:rsid w:val="023071A8"/>
    <w:rsid w:val="02317AF5"/>
    <w:rsid w:val="02331ABF"/>
    <w:rsid w:val="0233386D"/>
    <w:rsid w:val="02340125"/>
    <w:rsid w:val="02344695"/>
    <w:rsid w:val="02346795"/>
    <w:rsid w:val="02355837"/>
    <w:rsid w:val="023615AF"/>
    <w:rsid w:val="02377801"/>
    <w:rsid w:val="023950CC"/>
    <w:rsid w:val="023A2E4D"/>
    <w:rsid w:val="023A4B86"/>
    <w:rsid w:val="023A5322"/>
    <w:rsid w:val="023B34E7"/>
    <w:rsid w:val="023C5573"/>
    <w:rsid w:val="023D293E"/>
    <w:rsid w:val="023D46EC"/>
    <w:rsid w:val="023E4DA5"/>
    <w:rsid w:val="023F2212"/>
    <w:rsid w:val="023F3622"/>
    <w:rsid w:val="023F66B6"/>
    <w:rsid w:val="02403B60"/>
    <w:rsid w:val="02405F8A"/>
    <w:rsid w:val="0241242E"/>
    <w:rsid w:val="024141DC"/>
    <w:rsid w:val="02417937"/>
    <w:rsid w:val="02420FCE"/>
    <w:rsid w:val="02421D02"/>
    <w:rsid w:val="0243385E"/>
    <w:rsid w:val="02436F63"/>
    <w:rsid w:val="024617F2"/>
    <w:rsid w:val="02464C12"/>
    <w:rsid w:val="0246536C"/>
    <w:rsid w:val="02467A44"/>
    <w:rsid w:val="02497534"/>
    <w:rsid w:val="024A0CCD"/>
    <w:rsid w:val="024A6BE2"/>
    <w:rsid w:val="024B59DB"/>
    <w:rsid w:val="024C0DD3"/>
    <w:rsid w:val="024C1528"/>
    <w:rsid w:val="024C2B81"/>
    <w:rsid w:val="024C492F"/>
    <w:rsid w:val="024C6CC4"/>
    <w:rsid w:val="024D764E"/>
    <w:rsid w:val="024E06A7"/>
    <w:rsid w:val="024E0ADE"/>
    <w:rsid w:val="024F7DEB"/>
    <w:rsid w:val="02515FCF"/>
    <w:rsid w:val="025231DA"/>
    <w:rsid w:val="025263E9"/>
    <w:rsid w:val="025308EF"/>
    <w:rsid w:val="025334C0"/>
    <w:rsid w:val="02536835"/>
    <w:rsid w:val="02540894"/>
    <w:rsid w:val="02553CC1"/>
    <w:rsid w:val="02557C87"/>
    <w:rsid w:val="02564B51"/>
    <w:rsid w:val="025657AD"/>
    <w:rsid w:val="02566493"/>
    <w:rsid w:val="0257247D"/>
    <w:rsid w:val="02581525"/>
    <w:rsid w:val="025832D3"/>
    <w:rsid w:val="02586ABC"/>
    <w:rsid w:val="02593C9E"/>
    <w:rsid w:val="025A34EF"/>
    <w:rsid w:val="025A704C"/>
    <w:rsid w:val="025B7E44"/>
    <w:rsid w:val="025C1016"/>
    <w:rsid w:val="025D6B3C"/>
    <w:rsid w:val="025E0A46"/>
    <w:rsid w:val="025F0B06"/>
    <w:rsid w:val="025F37F9"/>
    <w:rsid w:val="025F4662"/>
    <w:rsid w:val="02602DE7"/>
    <w:rsid w:val="0261487E"/>
    <w:rsid w:val="02616E57"/>
    <w:rsid w:val="02623074"/>
    <w:rsid w:val="02644444"/>
    <w:rsid w:val="026572FE"/>
    <w:rsid w:val="0266046F"/>
    <w:rsid w:val="02661EE7"/>
    <w:rsid w:val="02663C42"/>
    <w:rsid w:val="026659F0"/>
    <w:rsid w:val="02671768"/>
    <w:rsid w:val="02673100"/>
    <w:rsid w:val="026779BA"/>
    <w:rsid w:val="02687685"/>
    <w:rsid w:val="02693733"/>
    <w:rsid w:val="026954E1"/>
    <w:rsid w:val="02696DA3"/>
    <w:rsid w:val="026A0C81"/>
    <w:rsid w:val="026B1259"/>
    <w:rsid w:val="026B681A"/>
    <w:rsid w:val="026D3223"/>
    <w:rsid w:val="026E6F9B"/>
    <w:rsid w:val="026F18C5"/>
    <w:rsid w:val="02702D13"/>
    <w:rsid w:val="0270686F"/>
    <w:rsid w:val="027125E7"/>
    <w:rsid w:val="02720839"/>
    <w:rsid w:val="02720AE2"/>
    <w:rsid w:val="02746BAB"/>
    <w:rsid w:val="02777414"/>
    <w:rsid w:val="02781024"/>
    <w:rsid w:val="02794597"/>
    <w:rsid w:val="027951DA"/>
    <w:rsid w:val="027A5940"/>
    <w:rsid w:val="027A76EE"/>
    <w:rsid w:val="027C3382"/>
    <w:rsid w:val="027E0358"/>
    <w:rsid w:val="027F2F56"/>
    <w:rsid w:val="027F4BE6"/>
    <w:rsid w:val="027F4D04"/>
    <w:rsid w:val="028156EA"/>
    <w:rsid w:val="02816CCE"/>
    <w:rsid w:val="028247F4"/>
    <w:rsid w:val="028265A2"/>
    <w:rsid w:val="02831388"/>
    <w:rsid w:val="02833702"/>
    <w:rsid w:val="0284056C"/>
    <w:rsid w:val="028479E4"/>
    <w:rsid w:val="028500B7"/>
    <w:rsid w:val="02852330"/>
    <w:rsid w:val="02866093"/>
    <w:rsid w:val="02867E41"/>
    <w:rsid w:val="02881E0B"/>
    <w:rsid w:val="0288383F"/>
    <w:rsid w:val="02895B83"/>
    <w:rsid w:val="02896BCF"/>
    <w:rsid w:val="02897931"/>
    <w:rsid w:val="028A06F8"/>
    <w:rsid w:val="028A0937"/>
    <w:rsid w:val="028A3BBA"/>
    <w:rsid w:val="028B18FB"/>
    <w:rsid w:val="028C0A7F"/>
    <w:rsid w:val="028D12A7"/>
    <w:rsid w:val="028D5DB7"/>
    <w:rsid w:val="028E1B93"/>
    <w:rsid w:val="028E4F47"/>
    <w:rsid w:val="029167E5"/>
    <w:rsid w:val="02924A37"/>
    <w:rsid w:val="02927650"/>
    <w:rsid w:val="0293255D"/>
    <w:rsid w:val="02936A01"/>
    <w:rsid w:val="0295339B"/>
    <w:rsid w:val="02954528"/>
    <w:rsid w:val="029562D6"/>
    <w:rsid w:val="02963DFC"/>
    <w:rsid w:val="02965E43"/>
    <w:rsid w:val="0297666A"/>
    <w:rsid w:val="02985DC6"/>
    <w:rsid w:val="0299231A"/>
    <w:rsid w:val="029936A8"/>
    <w:rsid w:val="029B4859"/>
    <w:rsid w:val="029C03DA"/>
    <w:rsid w:val="029C58B6"/>
    <w:rsid w:val="029D1A04"/>
    <w:rsid w:val="029E0840"/>
    <w:rsid w:val="029E2280"/>
    <w:rsid w:val="029E39FA"/>
    <w:rsid w:val="029F5956"/>
    <w:rsid w:val="02A021D2"/>
    <w:rsid w:val="02A14C7A"/>
    <w:rsid w:val="02A209F3"/>
    <w:rsid w:val="02A227A1"/>
    <w:rsid w:val="02A276C4"/>
    <w:rsid w:val="02A370C2"/>
    <w:rsid w:val="02A429BD"/>
    <w:rsid w:val="02A46519"/>
    <w:rsid w:val="02A5371E"/>
    <w:rsid w:val="02A5732B"/>
    <w:rsid w:val="02A71A52"/>
    <w:rsid w:val="02A93B2F"/>
    <w:rsid w:val="02A93DFA"/>
    <w:rsid w:val="02AA3B7E"/>
    <w:rsid w:val="02AA56BC"/>
    <w:rsid w:val="02AB1545"/>
    <w:rsid w:val="02AB3D4B"/>
    <w:rsid w:val="02AB400C"/>
    <w:rsid w:val="02AB6BD9"/>
    <w:rsid w:val="02AD5394"/>
    <w:rsid w:val="02AD7AC3"/>
    <w:rsid w:val="02AF4AD4"/>
    <w:rsid w:val="02B06584"/>
    <w:rsid w:val="02B11218"/>
    <w:rsid w:val="02B16E46"/>
    <w:rsid w:val="02B2279A"/>
    <w:rsid w:val="02B250DA"/>
    <w:rsid w:val="02B349AE"/>
    <w:rsid w:val="02B443D0"/>
    <w:rsid w:val="02B511B1"/>
    <w:rsid w:val="02B73DBE"/>
    <w:rsid w:val="02B7449E"/>
    <w:rsid w:val="02B80216"/>
    <w:rsid w:val="02B86400"/>
    <w:rsid w:val="02B91DEA"/>
    <w:rsid w:val="02B96468"/>
    <w:rsid w:val="02BA232C"/>
    <w:rsid w:val="02BA3F8E"/>
    <w:rsid w:val="02BB4F8D"/>
    <w:rsid w:val="02BC7B5E"/>
    <w:rsid w:val="02BD5485"/>
    <w:rsid w:val="02BE3A7E"/>
    <w:rsid w:val="02BF0073"/>
    <w:rsid w:val="02BF09F6"/>
    <w:rsid w:val="02BF15A4"/>
    <w:rsid w:val="02BF3353"/>
    <w:rsid w:val="02BF77F6"/>
    <w:rsid w:val="02C01D21"/>
    <w:rsid w:val="02C362F0"/>
    <w:rsid w:val="02C40969"/>
    <w:rsid w:val="02C46BBB"/>
    <w:rsid w:val="02C52286"/>
    <w:rsid w:val="02C531E2"/>
    <w:rsid w:val="02C72045"/>
    <w:rsid w:val="02C72207"/>
    <w:rsid w:val="02C80459"/>
    <w:rsid w:val="02C866AB"/>
    <w:rsid w:val="02CB01CA"/>
    <w:rsid w:val="02CB7F49"/>
    <w:rsid w:val="02CD0AE3"/>
    <w:rsid w:val="02CD1F13"/>
    <w:rsid w:val="02CD3CC1"/>
    <w:rsid w:val="02CE773E"/>
    <w:rsid w:val="02CF5EEA"/>
    <w:rsid w:val="02CF6C95"/>
    <w:rsid w:val="02CF7A3A"/>
    <w:rsid w:val="02D05560"/>
    <w:rsid w:val="02D14516"/>
    <w:rsid w:val="02D212D8"/>
    <w:rsid w:val="02D2752A"/>
    <w:rsid w:val="02D45050"/>
    <w:rsid w:val="02D51B8F"/>
    <w:rsid w:val="02D54924"/>
    <w:rsid w:val="02D634CE"/>
    <w:rsid w:val="02D70C02"/>
    <w:rsid w:val="02D908B8"/>
    <w:rsid w:val="02D93B5E"/>
    <w:rsid w:val="02DA1F3A"/>
    <w:rsid w:val="02DA30E7"/>
    <w:rsid w:val="02DB5E00"/>
    <w:rsid w:val="02DC2156"/>
    <w:rsid w:val="02DC5645"/>
    <w:rsid w:val="02DD05DB"/>
    <w:rsid w:val="02DD42B6"/>
    <w:rsid w:val="02DF23A6"/>
    <w:rsid w:val="02DF57A3"/>
    <w:rsid w:val="02E01C7A"/>
    <w:rsid w:val="02E14F55"/>
    <w:rsid w:val="02E334E5"/>
    <w:rsid w:val="02E41BD9"/>
    <w:rsid w:val="02E46D6A"/>
    <w:rsid w:val="02E51911"/>
    <w:rsid w:val="02E56EBE"/>
    <w:rsid w:val="02E72C2D"/>
    <w:rsid w:val="02E83FAA"/>
    <w:rsid w:val="02E8564A"/>
    <w:rsid w:val="02E86DAF"/>
    <w:rsid w:val="02E903CF"/>
    <w:rsid w:val="02E94EF6"/>
    <w:rsid w:val="02EA149B"/>
    <w:rsid w:val="02EB05EB"/>
    <w:rsid w:val="02EB239A"/>
    <w:rsid w:val="02EE3C38"/>
    <w:rsid w:val="02EE4EA9"/>
    <w:rsid w:val="02EF3E7D"/>
    <w:rsid w:val="02F05C02"/>
    <w:rsid w:val="02F079B0"/>
    <w:rsid w:val="02F17460"/>
    <w:rsid w:val="02F20473"/>
    <w:rsid w:val="02F2136E"/>
    <w:rsid w:val="02F2197A"/>
    <w:rsid w:val="02F27075"/>
    <w:rsid w:val="02F27C2D"/>
    <w:rsid w:val="02F4136E"/>
    <w:rsid w:val="02F474A0"/>
    <w:rsid w:val="02F56D74"/>
    <w:rsid w:val="02F71757"/>
    <w:rsid w:val="02F71E5E"/>
    <w:rsid w:val="02F7260F"/>
    <w:rsid w:val="02F74180"/>
    <w:rsid w:val="02F744C4"/>
    <w:rsid w:val="02F96864"/>
    <w:rsid w:val="02FA082F"/>
    <w:rsid w:val="02FC3A29"/>
    <w:rsid w:val="02FC6355"/>
    <w:rsid w:val="02FE031F"/>
    <w:rsid w:val="02FE20CD"/>
    <w:rsid w:val="0300787A"/>
    <w:rsid w:val="03012D45"/>
    <w:rsid w:val="03016CBE"/>
    <w:rsid w:val="030516AD"/>
    <w:rsid w:val="0305345B"/>
    <w:rsid w:val="03060F81"/>
    <w:rsid w:val="03065425"/>
    <w:rsid w:val="030702D7"/>
    <w:rsid w:val="030742F2"/>
    <w:rsid w:val="03082F4B"/>
    <w:rsid w:val="03085116"/>
    <w:rsid w:val="030903CE"/>
    <w:rsid w:val="03092820"/>
    <w:rsid w:val="030975F5"/>
    <w:rsid w:val="030A02F5"/>
    <w:rsid w:val="030A0A85"/>
    <w:rsid w:val="030A5E0C"/>
    <w:rsid w:val="030D17A1"/>
    <w:rsid w:val="030D1D54"/>
    <w:rsid w:val="030D2310"/>
    <w:rsid w:val="030D40BE"/>
    <w:rsid w:val="030E4624"/>
    <w:rsid w:val="030E4A6A"/>
    <w:rsid w:val="03127926"/>
    <w:rsid w:val="0313544C"/>
    <w:rsid w:val="03140F5D"/>
    <w:rsid w:val="031616BA"/>
    <w:rsid w:val="0317343D"/>
    <w:rsid w:val="03176CF8"/>
    <w:rsid w:val="03192A63"/>
    <w:rsid w:val="031A67DB"/>
    <w:rsid w:val="031B6524"/>
    <w:rsid w:val="031C0F59"/>
    <w:rsid w:val="031C2E9A"/>
    <w:rsid w:val="031C69F7"/>
    <w:rsid w:val="031E276F"/>
    <w:rsid w:val="031E451D"/>
    <w:rsid w:val="031E62CB"/>
    <w:rsid w:val="031F2043"/>
    <w:rsid w:val="031F6C4A"/>
    <w:rsid w:val="032064E7"/>
    <w:rsid w:val="0321400D"/>
    <w:rsid w:val="03215DBB"/>
    <w:rsid w:val="03217B69"/>
    <w:rsid w:val="032255CB"/>
    <w:rsid w:val="03237D85"/>
    <w:rsid w:val="0324226A"/>
    <w:rsid w:val="0324416E"/>
    <w:rsid w:val="032441FD"/>
    <w:rsid w:val="03280EF8"/>
    <w:rsid w:val="032A5F0C"/>
    <w:rsid w:val="032B6C3A"/>
    <w:rsid w:val="032C227D"/>
    <w:rsid w:val="032D4760"/>
    <w:rsid w:val="032D650E"/>
    <w:rsid w:val="032F04D8"/>
    <w:rsid w:val="032F2286"/>
    <w:rsid w:val="03304250"/>
    <w:rsid w:val="03305436"/>
    <w:rsid w:val="03305FFE"/>
    <w:rsid w:val="03306B96"/>
    <w:rsid w:val="03323B24"/>
    <w:rsid w:val="03326279"/>
    <w:rsid w:val="03337C91"/>
    <w:rsid w:val="03343D40"/>
    <w:rsid w:val="033452A0"/>
    <w:rsid w:val="03383B03"/>
    <w:rsid w:val="033864A3"/>
    <w:rsid w:val="033879A6"/>
    <w:rsid w:val="03391357"/>
    <w:rsid w:val="033B50CF"/>
    <w:rsid w:val="033C2484"/>
    <w:rsid w:val="033C49A3"/>
    <w:rsid w:val="033E3663"/>
    <w:rsid w:val="033F6241"/>
    <w:rsid w:val="03404493"/>
    <w:rsid w:val="0341020B"/>
    <w:rsid w:val="034251F7"/>
    <w:rsid w:val="034321D6"/>
    <w:rsid w:val="03433CC0"/>
    <w:rsid w:val="03433F84"/>
    <w:rsid w:val="03451AAA"/>
    <w:rsid w:val="03463515"/>
    <w:rsid w:val="034675D0"/>
    <w:rsid w:val="0347450D"/>
    <w:rsid w:val="0348159A"/>
    <w:rsid w:val="03483348"/>
    <w:rsid w:val="034872E6"/>
    <w:rsid w:val="034920CB"/>
    <w:rsid w:val="034A5312"/>
    <w:rsid w:val="034A5C90"/>
    <w:rsid w:val="034A70C0"/>
    <w:rsid w:val="034B4BE6"/>
    <w:rsid w:val="034C72DC"/>
    <w:rsid w:val="034D0906"/>
    <w:rsid w:val="034D095E"/>
    <w:rsid w:val="034D7BC7"/>
    <w:rsid w:val="034F2928"/>
    <w:rsid w:val="03501CDB"/>
    <w:rsid w:val="035148F2"/>
    <w:rsid w:val="035241C7"/>
    <w:rsid w:val="035245FE"/>
    <w:rsid w:val="03533C82"/>
    <w:rsid w:val="03541B9B"/>
    <w:rsid w:val="03546191"/>
    <w:rsid w:val="03547F3F"/>
    <w:rsid w:val="03563CB7"/>
    <w:rsid w:val="035735B5"/>
    <w:rsid w:val="035759BE"/>
    <w:rsid w:val="035937A7"/>
    <w:rsid w:val="03595555"/>
    <w:rsid w:val="035A587B"/>
    <w:rsid w:val="035B751F"/>
    <w:rsid w:val="035C0D7C"/>
    <w:rsid w:val="035C5FD3"/>
    <w:rsid w:val="035C6BEC"/>
    <w:rsid w:val="035E0DBD"/>
    <w:rsid w:val="035E2B6B"/>
    <w:rsid w:val="035E3634"/>
    <w:rsid w:val="035E4363"/>
    <w:rsid w:val="035E4919"/>
    <w:rsid w:val="035E700F"/>
    <w:rsid w:val="035F40DD"/>
    <w:rsid w:val="035F6985"/>
    <w:rsid w:val="036001FF"/>
    <w:rsid w:val="03600D18"/>
    <w:rsid w:val="03604B36"/>
    <w:rsid w:val="0360556D"/>
    <w:rsid w:val="036068E4"/>
    <w:rsid w:val="0361440A"/>
    <w:rsid w:val="03630F7C"/>
    <w:rsid w:val="03632D3E"/>
    <w:rsid w:val="0363390B"/>
    <w:rsid w:val="036363D4"/>
    <w:rsid w:val="03645CD7"/>
    <w:rsid w:val="03646251"/>
    <w:rsid w:val="0365214C"/>
    <w:rsid w:val="03653EFA"/>
    <w:rsid w:val="03666824"/>
    <w:rsid w:val="036762AA"/>
    <w:rsid w:val="036839EA"/>
    <w:rsid w:val="03685798"/>
    <w:rsid w:val="036A4960"/>
    <w:rsid w:val="036A59B4"/>
    <w:rsid w:val="036B0D86"/>
    <w:rsid w:val="036B7036"/>
    <w:rsid w:val="036C5AA6"/>
    <w:rsid w:val="036D1000"/>
    <w:rsid w:val="036D2DAF"/>
    <w:rsid w:val="036D6936"/>
    <w:rsid w:val="036F3C68"/>
    <w:rsid w:val="036F4D79"/>
    <w:rsid w:val="036F6B27"/>
    <w:rsid w:val="03700C45"/>
    <w:rsid w:val="03701E50"/>
    <w:rsid w:val="0370574B"/>
    <w:rsid w:val="037203C5"/>
    <w:rsid w:val="037216EB"/>
    <w:rsid w:val="03730F74"/>
    <w:rsid w:val="037332EE"/>
    <w:rsid w:val="03736C90"/>
    <w:rsid w:val="03737D22"/>
    <w:rsid w:val="037405E1"/>
    <w:rsid w:val="03743FDE"/>
    <w:rsid w:val="03755494"/>
    <w:rsid w:val="037800D1"/>
    <w:rsid w:val="03791753"/>
    <w:rsid w:val="037A2CD7"/>
    <w:rsid w:val="037C1A4F"/>
    <w:rsid w:val="037C6D14"/>
    <w:rsid w:val="037C7496"/>
    <w:rsid w:val="037D2AB3"/>
    <w:rsid w:val="037E0AF6"/>
    <w:rsid w:val="037F55BF"/>
    <w:rsid w:val="03800D34"/>
    <w:rsid w:val="0380723A"/>
    <w:rsid w:val="03807B60"/>
    <w:rsid w:val="038500F8"/>
    <w:rsid w:val="038534FF"/>
    <w:rsid w:val="0385634A"/>
    <w:rsid w:val="03861E43"/>
    <w:rsid w:val="0386476F"/>
    <w:rsid w:val="03871145"/>
    <w:rsid w:val="03884779"/>
    <w:rsid w:val="03884C34"/>
    <w:rsid w:val="038A39A0"/>
    <w:rsid w:val="038A7E04"/>
    <w:rsid w:val="038C185D"/>
    <w:rsid w:val="038C592B"/>
    <w:rsid w:val="038C66FF"/>
    <w:rsid w:val="038C76D9"/>
    <w:rsid w:val="038D3451"/>
    <w:rsid w:val="038E2CCE"/>
    <w:rsid w:val="038E441F"/>
    <w:rsid w:val="038F2C12"/>
    <w:rsid w:val="039056C4"/>
    <w:rsid w:val="03906A9D"/>
    <w:rsid w:val="03920A67"/>
    <w:rsid w:val="03922815"/>
    <w:rsid w:val="03936CB9"/>
    <w:rsid w:val="039415EA"/>
    <w:rsid w:val="039447DF"/>
    <w:rsid w:val="03960557"/>
    <w:rsid w:val="03962305"/>
    <w:rsid w:val="039667A9"/>
    <w:rsid w:val="03977E2B"/>
    <w:rsid w:val="039859AF"/>
    <w:rsid w:val="03986C27"/>
    <w:rsid w:val="03993379"/>
    <w:rsid w:val="039B1E48"/>
    <w:rsid w:val="039B3DC0"/>
    <w:rsid w:val="039C3694"/>
    <w:rsid w:val="039D18E6"/>
    <w:rsid w:val="039E11BA"/>
    <w:rsid w:val="039E740C"/>
    <w:rsid w:val="03A21632"/>
    <w:rsid w:val="03A26EFC"/>
    <w:rsid w:val="03A569EC"/>
    <w:rsid w:val="03A60BDE"/>
    <w:rsid w:val="03A66FD9"/>
    <w:rsid w:val="03A67D02"/>
    <w:rsid w:val="03A74512"/>
    <w:rsid w:val="03A74EB6"/>
    <w:rsid w:val="03A859A0"/>
    <w:rsid w:val="03AC38D7"/>
    <w:rsid w:val="03AD5FDE"/>
    <w:rsid w:val="03AD6E48"/>
    <w:rsid w:val="03AE3AF3"/>
    <w:rsid w:val="03AE7BD5"/>
    <w:rsid w:val="03B00AC1"/>
    <w:rsid w:val="03B05964"/>
    <w:rsid w:val="03B10EED"/>
    <w:rsid w:val="03B15391"/>
    <w:rsid w:val="03B159C7"/>
    <w:rsid w:val="03B1776F"/>
    <w:rsid w:val="03B30E76"/>
    <w:rsid w:val="03B325B7"/>
    <w:rsid w:val="03B44E81"/>
    <w:rsid w:val="03B46FC4"/>
    <w:rsid w:val="03B51295"/>
    <w:rsid w:val="03B517B6"/>
    <w:rsid w:val="03B677F7"/>
    <w:rsid w:val="03B700C2"/>
    <w:rsid w:val="03B804CE"/>
    <w:rsid w:val="03B86720"/>
    <w:rsid w:val="03B9070D"/>
    <w:rsid w:val="03B92498"/>
    <w:rsid w:val="03B933C5"/>
    <w:rsid w:val="03BA6DBC"/>
    <w:rsid w:val="03BA788F"/>
    <w:rsid w:val="03BB1D6C"/>
    <w:rsid w:val="03BB23AC"/>
    <w:rsid w:val="03BB6210"/>
    <w:rsid w:val="03BC1191"/>
    <w:rsid w:val="03BD390D"/>
    <w:rsid w:val="03BE185C"/>
    <w:rsid w:val="03BE695D"/>
    <w:rsid w:val="03BE7AAE"/>
    <w:rsid w:val="03BF0DB3"/>
    <w:rsid w:val="03C01FEA"/>
    <w:rsid w:val="03C055D4"/>
    <w:rsid w:val="03C25D9A"/>
    <w:rsid w:val="03C3096B"/>
    <w:rsid w:val="03C35BAB"/>
    <w:rsid w:val="03C41895"/>
    <w:rsid w:val="03C84489"/>
    <w:rsid w:val="03C84E6D"/>
    <w:rsid w:val="03C85032"/>
    <w:rsid w:val="03C86237"/>
    <w:rsid w:val="03C926DB"/>
    <w:rsid w:val="03C97C6A"/>
    <w:rsid w:val="03CA1FAF"/>
    <w:rsid w:val="03CA2420"/>
    <w:rsid w:val="03CA4515"/>
    <w:rsid w:val="03CA4CE9"/>
    <w:rsid w:val="03CB4F6C"/>
    <w:rsid w:val="03CC1A1D"/>
    <w:rsid w:val="03CC366C"/>
    <w:rsid w:val="03CC3F79"/>
    <w:rsid w:val="03CC4EEE"/>
    <w:rsid w:val="03CC4FC6"/>
    <w:rsid w:val="03CC5D27"/>
    <w:rsid w:val="03CD4055"/>
    <w:rsid w:val="03CE5045"/>
    <w:rsid w:val="03CE5A07"/>
    <w:rsid w:val="03CF3A69"/>
    <w:rsid w:val="03D029BB"/>
    <w:rsid w:val="03D1158F"/>
    <w:rsid w:val="03D1333D"/>
    <w:rsid w:val="03D177E1"/>
    <w:rsid w:val="03D26E40"/>
    <w:rsid w:val="03D270B5"/>
    <w:rsid w:val="03D33559"/>
    <w:rsid w:val="03D36D1F"/>
    <w:rsid w:val="03D42E2E"/>
    <w:rsid w:val="03D55951"/>
    <w:rsid w:val="03D673E3"/>
    <w:rsid w:val="03D814FB"/>
    <w:rsid w:val="03D8291E"/>
    <w:rsid w:val="03D850E1"/>
    <w:rsid w:val="03D8775E"/>
    <w:rsid w:val="03D87B7B"/>
    <w:rsid w:val="03DB240E"/>
    <w:rsid w:val="03DC2B48"/>
    <w:rsid w:val="03DC7DB4"/>
    <w:rsid w:val="03DF0AE6"/>
    <w:rsid w:val="03DF158C"/>
    <w:rsid w:val="03E0050C"/>
    <w:rsid w:val="03E017D2"/>
    <w:rsid w:val="03E05C76"/>
    <w:rsid w:val="03E2021C"/>
    <w:rsid w:val="03E2554B"/>
    <w:rsid w:val="03E312C3"/>
    <w:rsid w:val="03E34763"/>
    <w:rsid w:val="03E70DB3"/>
    <w:rsid w:val="03E72B61"/>
    <w:rsid w:val="03E77005"/>
    <w:rsid w:val="03E90388"/>
    <w:rsid w:val="03E94B2B"/>
    <w:rsid w:val="03EA08A3"/>
    <w:rsid w:val="03EA17F2"/>
    <w:rsid w:val="03EB1BF5"/>
    <w:rsid w:val="03EB69A3"/>
    <w:rsid w:val="03ED7E4C"/>
    <w:rsid w:val="03EF1811"/>
    <w:rsid w:val="03EF1A15"/>
    <w:rsid w:val="03EF245D"/>
    <w:rsid w:val="03EF5EB9"/>
    <w:rsid w:val="03EF64F7"/>
    <w:rsid w:val="03EF7C67"/>
    <w:rsid w:val="03F055BD"/>
    <w:rsid w:val="03F139E0"/>
    <w:rsid w:val="03F31506"/>
    <w:rsid w:val="03F37758"/>
    <w:rsid w:val="03F4702C"/>
    <w:rsid w:val="03F62CB4"/>
    <w:rsid w:val="03F77F39"/>
    <w:rsid w:val="03F82FC0"/>
    <w:rsid w:val="03F9217A"/>
    <w:rsid w:val="03F92894"/>
    <w:rsid w:val="03FA21B2"/>
    <w:rsid w:val="03FB03BA"/>
    <w:rsid w:val="03FB485E"/>
    <w:rsid w:val="03FB4A9A"/>
    <w:rsid w:val="03FC449E"/>
    <w:rsid w:val="03FD4132"/>
    <w:rsid w:val="03FE03D1"/>
    <w:rsid w:val="03FE4C3A"/>
    <w:rsid w:val="03FF434E"/>
    <w:rsid w:val="04001E75"/>
    <w:rsid w:val="04021749"/>
    <w:rsid w:val="040320C1"/>
    <w:rsid w:val="04041AB5"/>
    <w:rsid w:val="04061BAD"/>
    <w:rsid w:val="04067E50"/>
    <w:rsid w:val="04080A1E"/>
    <w:rsid w:val="0408709E"/>
    <w:rsid w:val="04096DC8"/>
    <w:rsid w:val="040A216E"/>
    <w:rsid w:val="040A2CF3"/>
    <w:rsid w:val="040A6D98"/>
    <w:rsid w:val="040C0819"/>
    <w:rsid w:val="040C25C7"/>
    <w:rsid w:val="040C6A6B"/>
    <w:rsid w:val="040E391B"/>
    <w:rsid w:val="040F19EC"/>
    <w:rsid w:val="040F20B8"/>
    <w:rsid w:val="0410030A"/>
    <w:rsid w:val="04115E30"/>
    <w:rsid w:val="04122990"/>
    <w:rsid w:val="04130F9E"/>
    <w:rsid w:val="04133216"/>
    <w:rsid w:val="04144969"/>
    <w:rsid w:val="04163446"/>
    <w:rsid w:val="041651F4"/>
    <w:rsid w:val="04166049"/>
    <w:rsid w:val="04166B3C"/>
    <w:rsid w:val="04173849"/>
    <w:rsid w:val="041741E8"/>
    <w:rsid w:val="041800B5"/>
    <w:rsid w:val="04180F6C"/>
    <w:rsid w:val="04185410"/>
    <w:rsid w:val="041871BE"/>
    <w:rsid w:val="04191764"/>
    <w:rsid w:val="041B11B3"/>
    <w:rsid w:val="041B280B"/>
    <w:rsid w:val="041B6CAE"/>
    <w:rsid w:val="041D2A27"/>
    <w:rsid w:val="041E22FB"/>
    <w:rsid w:val="041F679F"/>
    <w:rsid w:val="042033D6"/>
    <w:rsid w:val="04207E21"/>
    <w:rsid w:val="04211386"/>
    <w:rsid w:val="04216813"/>
    <w:rsid w:val="0422003D"/>
    <w:rsid w:val="04223B99"/>
    <w:rsid w:val="042414FE"/>
    <w:rsid w:val="04250473"/>
    <w:rsid w:val="04253689"/>
    <w:rsid w:val="04281B49"/>
    <w:rsid w:val="042934B3"/>
    <w:rsid w:val="042949B5"/>
    <w:rsid w:val="04294F27"/>
    <w:rsid w:val="042956C0"/>
    <w:rsid w:val="042959D6"/>
    <w:rsid w:val="042A65CC"/>
    <w:rsid w:val="042B5143"/>
    <w:rsid w:val="042C0EBC"/>
    <w:rsid w:val="042C4A18"/>
    <w:rsid w:val="042D2F18"/>
    <w:rsid w:val="042D3C26"/>
    <w:rsid w:val="042E0790"/>
    <w:rsid w:val="042E253E"/>
    <w:rsid w:val="042E69E2"/>
    <w:rsid w:val="04310280"/>
    <w:rsid w:val="0433224A"/>
    <w:rsid w:val="04333FF8"/>
    <w:rsid w:val="043438CC"/>
    <w:rsid w:val="04351B1E"/>
    <w:rsid w:val="0436211C"/>
    <w:rsid w:val="04365896"/>
    <w:rsid w:val="043737DD"/>
    <w:rsid w:val="04376BAE"/>
    <w:rsid w:val="043770CF"/>
    <w:rsid w:val="04377365"/>
    <w:rsid w:val="0437761F"/>
    <w:rsid w:val="0438160E"/>
    <w:rsid w:val="043821F2"/>
    <w:rsid w:val="0438617D"/>
    <w:rsid w:val="04387860"/>
    <w:rsid w:val="04390BC3"/>
    <w:rsid w:val="04395576"/>
    <w:rsid w:val="043969EE"/>
    <w:rsid w:val="043A1F15"/>
    <w:rsid w:val="043A35D9"/>
    <w:rsid w:val="043A5387"/>
    <w:rsid w:val="043B4AFE"/>
    <w:rsid w:val="043E5B3A"/>
    <w:rsid w:val="043F0BEF"/>
    <w:rsid w:val="043F1710"/>
    <w:rsid w:val="043F3385"/>
    <w:rsid w:val="044004C3"/>
    <w:rsid w:val="04406CDA"/>
    <w:rsid w:val="044142FC"/>
    <w:rsid w:val="0442248D"/>
    <w:rsid w:val="04425610"/>
    <w:rsid w:val="04425FE9"/>
    <w:rsid w:val="04433334"/>
    <w:rsid w:val="044378DE"/>
    <w:rsid w:val="04440853"/>
    <w:rsid w:val="04440EA5"/>
    <w:rsid w:val="04467040"/>
    <w:rsid w:val="04467C44"/>
    <w:rsid w:val="044850D1"/>
    <w:rsid w:val="04487657"/>
    <w:rsid w:val="04497102"/>
    <w:rsid w:val="044B1342"/>
    <w:rsid w:val="044C6E68"/>
    <w:rsid w:val="044D771D"/>
    <w:rsid w:val="04506958"/>
    <w:rsid w:val="04517428"/>
    <w:rsid w:val="04522E10"/>
    <w:rsid w:val="045301F6"/>
    <w:rsid w:val="04545D1C"/>
    <w:rsid w:val="045521C0"/>
    <w:rsid w:val="04552DBC"/>
    <w:rsid w:val="04553F6E"/>
    <w:rsid w:val="04557718"/>
    <w:rsid w:val="04567CE7"/>
    <w:rsid w:val="045A4CFD"/>
    <w:rsid w:val="045B7A12"/>
    <w:rsid w:val="045C354F"/>
    <w:rsid w:val="045D1075"/>
    <w:rsid w:val="045F303F"/>
    <w:rsid w:val="045F4DED"/>
    <w:rsid w:val="0462613E"/>
    <w:rsid w:val="0462668B"/>
    <w:rsid w:val="04640655"/>
    <w:rsid w:val="0465073B"/>
    <w:rsid w:val="04651CD8"/>
    <w:rsid w:val="0466617C"/>
    <w:rsid w:val="04682F74"/>
    <w:rsid w:val="04695C6C"/>
    <w:rsid w:val="04697A1A"/>
    <w:rsid w:val="046A432B"/>
    <w:rsid w:val="046B20F9"/>
    <w:rsid w:val="046B245F"/>
    <w:rsid w:val="046B249C"/>
    <w:rsid w:val="046B3792"/>
    <w:rsid w:val="046C12B8"/>
    <w:rsid w:val="046C750A"/>
    <w:rsid w:val="046E3282"/>
    <w:rsid w:val="04700DA8"/>
    <w:rsid w:val="04702B56"/>
    <w:rsid w:val="04703FCA"/>
    <w:rsid w:val="04706FFA"/>
    <w:rsid w:val="04714B20"/>
    <w:rsid w:val="04714E6B"/>
    <w:rsid w:val="047200E5"/>
    <w:rsid w:val="047275D2"/>
    <w:rsid w:val="04727A2B"/>
    <w:rsid w:val="04736AA8"/>
    <w:rsid w:val="0475016D"/>
    <w:rsid w:val="04761390"/>
    <w:rsid w:val="04761FBA"/>
    <w:rsid w:val="047649DE"/>
    <w:rsid w:val="0477794E"/>
    <w:rsid w:val="04781ECF"/>
    <w:rsid w:val="04784101"/>
    <w:rsid w:val="04787C5D"/>
    <w:rsid w:val="047900B0"/>
    <w:rsid w:val="047A1C27"/>
    <w:rsid w:val="047A5783"/>
    <w:rsid w:val="047A6D8A"/>
    <w:rsid w:val="047A7F1E"/>
    <w:rsid w:val="047B14FB"/>
    <w:rsid w:val="047B4B01"/>
    <w:rsid w:val="047B6D1C"/>
    <w:rsid w:val="047B6F67"/>
    <w:rsid w:val="047C599F"/>
    <w:rsid w:val="047C6537"/>
    <w:rsid w:val="047C774D"/>
    <w:rsid w:val="047D5273"/>
    <w:rsid w:val="047F0FEB"/>
    <w:rsid w:val="04800E71"/>
    <w:rsid w:val="04813232"/>
    <w:rsid w:val="04815CF6"/>
    <w:rsid w:val="04820ADC"/>
    <w:rsid w:val="0482288A"/>
    <w:rsid w:val="04825AB3"/>
    <w:rsid w:val="04832947"/>
    <w:rsid w:val="04844854"/>
    <w:rsid w:val="04846602"/>
    <w:rsid w:val="04854128"/>
    <w:rsid w:val="04860355"/>
    <w:rsid w:val="048605CC"/>
    <w:rsid w:val="04874344"/>
    <w:rsid w:val="048752D6"/>
    <w:rsid w:val="048760F2"/>
    <w:rsid w:val="04877EA0"/>
    <w:rsid w:val="048819C4"/>
    <w:rsid w:val="048900BC"/>
    <w:rsid w:val="04891E6A"/>
    <w:rsid w:val="04893C18"/>
    <w:rsid w:val="048A18B8"/>
    <w:rsid w:val="048B3E34"/>
    <w:rsid w:val="048B7990"/>
    <w:rsid w:val="048C54B6"/>
    <w:rsid w:val="048D0C34"/>
    <w:rsid w:val="048E7480"/>
    <w:rsid w:val="048F3572"/>
    <w:rsid w:val="04904FA7"/>
    <w:rsid w:val="04907607"/>
    <w:rsid w:val="04921BD5"/>
    <w:rsid w:val="04926F71"/>
    <w:rsid w:val="0493054D"/>
    <w:rsid w:val="04932CE9"/>
    <w:rsid w:val="04947A89"/>
    <w:rsid w:val="04952D5C"/>
    <w:rsid w:val="04962AE2"/>
    <w:rsid w:val="04974587"/>
    <w:rsid w:val="04976B0F"/>
    <w:rsid w:val="04983E5B"/>
    <w:rsid w:val="049915CE"/>
    <w:rsid w:val="049A5E25"/>
    <w:rsid w:val="049A6502"/>
    <w:rsid w:val="049C1B9D"/>
    <w:rsid w:val="049C320F"/>
    <w:rsid w:val="049D12CA"/>
    <w:rsid w:val="049D40CD"/>
    <w:rsid w:val="049D71A2"/>
    <w:rsid w:val="049E4932"/>
    <w:rsid w:val="049F168E"/>
    <w:rsid w:val="049F343C"/>
    <w:rsid w:val="04A56AE8"/>
    <w:rsid w:val="04A62A1C"/>
    <w:rsid w:val="04A647CA"/>
    <w:rsid w:val="04A70542"/>
    <w:rsid w:val="04A9250C"/>
    <w:rsid w:val="04A96068"/>
    <w:rsid w:val="04AB197F"/>
    <w:rsid w:val="04AB22BC"/>
    <w:rsid w:val="04AB30F0"/>
    <w:rsid w:val="04AB4D5E"/>
    <w:rsid w:val="04AC792F"/>
    <w:rsid w:val="04AD3DAA"/>
    <w:rsid w:val="04B04E7F"/>
    <w:rsid w:val="04B07740"/>
    <w:rsid w:val="04B15AAC"/>
    <w:rsid w:val="04B249E3"/>
    <w:rsid w:val="04B30C95"/>
    <w:rsid w:val="04B549A8"/>
    <w:rsid w:val="04B54A0D"/>
    <w:rsid w:val="04B62533"/>
    <w:rsid w:val="04B769BF"/>
    <w:rsid w:val="04B769D7"/>
    <w:rsid w:val="04B8274F"/>
    <w:rsid w:val="04B844FD"/>
    <w:rsid w:val="04B862AB"/>
    <w:rsid w:val="04BA2023"/>
    <w:rsid w:val="04BB2CD9"/>
    <w:rsid w:val="04BC3FEE"/>
    <w:rsid w:val="04BC5D9C"/>
    <w:rsid w:val="04BE2D4C"/>
    <w:rsid w:val="04BE5FB8"/>
    <w:rsid w:val="04BF3ADE"/>
    <w:rsid w:val="04C05AF4"/>
    <w:rsid w:val="04C11604"/>
    <w:rsid w:val="04C133B2"/>
    <w:rsid w:val="04C2160D"/>
    <w:rsid w:val="04C35BB6"/>
    <w:rsid w:val="04C42EA2"/>
    <w:rsid w:val="04C47C11"/>
    <w:rsid w:val="04C609C8"/>
    <w:rsid w:val="04C66C1A"/>
    <w:rsid w:val="04C80BE4"/>
    <w:rsid w:val="04C82992"/>
    <w:rsid w:val="04C83BD3"/>
    <w:rsid w:val="04C9495C"/>
    <w:rsid w:val="04C9670A"/>
    <w:rsid w:val="04CC1D57"/>
    <w:rsid w:val="04CD3744"/>
    <w:rsid w:val="04CD5176"/>
    <w:rsid w:val="04CD7FA9"/>
    <w:rsid w:val="04CE2CC9"/>
    <w:rsid w:val="04D0112A"/>
    <w:rsid w:val="04D01847"/>
    <w:rsid w:val="04D07A99"/>
    <w:rsid w:val="04D330E5"/>
    <w:rsid w:val="04D46257"/>
    <w:rsid w:val="04D5342E"/>
    <w:rsid w:val="04D550AF"/>
    <w:rsid w:val="04D5688A"/>
    <w:rsid w:val="04D60451"/>
    <w:rsid w:val="04D65690"/>
    <w:rsid w:val="04D728EB"/>
    <w:rsid w:val="04D734A9"/>
    <w:rsid w:val="04D74983"/>
    <w:rsid w:val="04D7602B"/>
    <w:rsid w:val="04D83D7B"/>
    <w:rsid w:val="04D83DED"/>
    <w:rsid w:val="04D949A2"/>
    <w:rsid w:val="04D9520B"/>
    <w:rsid w:val="04DA26C6"/>
    <w:rsid w:val="04DA79AB"/>
    <w:rsid w:val="04DC4690"/>
    <w:rsid w:val="04DC643E"/>
    <w:rsid w:val="04DD31FA"/>
    <w:rsid w:val="04DD3D63"/>
    <w:rsid w:val="04DE107D"/>
    <w:rsid w:val="04DE21B6"/>
    <w:rsid w:val="04DF1A8A"/>
    <w:rsid w:val="04E0202D"/>
    <w:rsid w:val="04E15802"/>
    <w:rsid w:val="04E23328"/>
    <w:rsid w:val="04E3348B"/>
    <w:rsid w:val="04E377CC"/>
    <w:rsid w:val="04E43544"/>
    <w:rsid w:val="04E470A0"/>
    <w:rsid w:val="04E478A0"/>
    <w:rsid w:val="04E62E18"/>
    <w:rsid w:val="04E743A5"/>
    <w:rsid w:val="04E86B91"/>
    <w:rsid w:val="04E92909"/>
    <w:rsid w:val="04E946B7"/>
    <w:rsid w:val="04EA4FB7"/>
    <w:rsid w:val="04EA5290"/>
    <w:rsid w:val="04EA6DAD"/>
    <w:rsid w:val="04ED23F9"/>
    <w:rsid w:val="04EF43C3"/>
    <w:rsid w:val="04F03C97"/>
    <w:rsid w:val="04F05A45"/>
    <w:rsid w:val="04F15C5E"/>
    <w:rsid w:val="04F16063"/>
    <w:rsid w:val="04F220C4"/>
    <w:rsid w:val="04F25C61"/>
    <w:rsid w:val="04F274F3"/>
    <w:rsid w:val="04F35535"/>
    <w:rsid w:val="04F44C4D"/>
    <w:rsid w:val="04F531ED"/>
    <w:rsid w:val="04F5472C"/>
    <w:rsid w:val="04F574FF"/>
    <w:rsid w:val="04F65346"/>
    <w:rsid w:val="04F70D65"/>
    <w:rsid w:val="04F71432"/>
    <w:rsid w:val="04F71ED5"/>
    <w:rsid w:val="04F73278"/>
    <w:rsid w:val="04F75026"/>
    <w:rsid w:val="04F763EB"/>
    <w:rsid w:val="04F77579"/>
    <w:rsid w:val="04F83454"/>
    <w:rsid w:val="04F86A74"/>
    <w:rsid w:val="04F96FF0"/>
    <w:rsid w:val="04FA2D68"/>
    <w:rsid w:val="04FA68C4"/>
    <w:rsid w:val="04FC263C"/>
    <w:rsid w:val="04FC48E2"/>
    <w:rsid w:val="04FD0162"/>
    <w:rsid w:val="04FD2BB4"/>
    <w:rsid w:val="04FD4606"/>
    <w:rsid w:val="04FD5F90"/>
    <w:rsid w:val="04FE4606"/>
    <w:rsid w:val="04FE63B4"/>
    <w:rsid w:val="04FF0DA5"/>
    <w:rsid w:val="04FF3EDA"/>
    <w:rsid w:val="0500475A"/>
    <w:rsid w:val="05014417"/>
    <w:rsid w:val="050220C5"/>
    <w:rsid w:val="05031C1C"/>
    <w:rsid w:val="05041908"/>
    <w:rsid w:val="05041A5C"/>
    <w:rsid w:val="05063539"/>
    <w:rsid w:val="050712EC"/>
    <w:rsid w:val="050866C7"/>
    <w:rsid w:val="050A52AF"/>
    <w:rsid w:val="050B287F"/>
    <w:rsid w:val="050D2A9B"/>
    <w:rsid w:val="050D40FB"/>
    <w:rsid w:val="050F05C1"/>
    <w:rsid w:val="050F6D93"/>
    <w:rsid w:val="05104339"/>
    <w:rsid w:val="051068F3"/>
    <w:rsid w:val="0511189C"/>
    <w:rsid w:val="05120775"/>
    <w:rsid w:val="05121E5F"/>
    <w:rsid w:val="05123C0E"/>
    <w:rsid w:val="05143E2A"/>
    <w:rsid w:val="051441B7"/>
    <w:rsid w:val="05145BD8"/>
    <w:rsid w:val="05155C80"/>
    <w:rsid w:val="05161DD5"/>
    <w:rsid w:val="05162EE3"/>
    <w:rsid w:val="05171224"/>
    <w:rsid w:val="05177476"/>
    <w:rsid w:val="05183DDF"/>
    <w:rsid w:val="051931EE"/>
    <w:rsid w:val="051A0FB1"/>
    <w:rsid w:val="051A6F66"/>
    <w:rsid w:val="051C460F"/>
    <w:rsid w:val="051C683A"/>
    <w:rsid w:val="051E0804"/>
    <w:rsid w:val="051E5080"/>
    <w:rsid w:val="051E55C3"/>
    <w:rsid w:val="051F0CB2"/>
    <w:rsid w:val="051F457C"/>
    <w:rsid w:val="051F632A"/>
    <w:rsid w:val="05206108"/>
    <w:rsid w:val="05212BF6"/>
    <w:rsid w:val="05213A01"/>
    <w:rsid w:val="052223E3"/>
    <w:rsid w:val="0523406D"/>
    <w:rsid w:val="05235E1B"/>
    <w:rsid w:val="05257835"/>
    <w:rsid w:val="05260AFE"/>
    <w:rsid w:val="052624EB"/>
    <w:rsid w:val="05263B5D"/>
    <w:rsid w:val="0526590B"/>
    <w:rsid w:val="05281683"/>
    <w:rsid w:val="05283431"/>
    <w:rsid w:val="052878D5"/>
    <w:rsid w:val="052971A9"/>
    <w:rsid w:val="052A4FCD"/>
    <w:rsid w:val="052A53FB"/>
    <w:rsid w:val="052B2F21"/>
    <w:rsid w:val="052B7D45"/>
    <w:rsid w:val="052D3D60"/>
    <w:rsid w:val="052E42DD"/>
    <w:rsid w:val="052E46BC"/>
    <w:rsid w:val="052F0DD5"/>
    <w:rsid w:val="052F2A11"/>
    <w:rsid w:val="052F4501"/>
    <w:rsid w:val="053022E6"/>
    <w:rsid w:val="05304992"/>
    <w:rsid w:val="053134F6"/>
    <w:rsid w:val="0532605E"/>
    <w:rsid w:val="053309E7"/>
    <w:rsid w:val="05341DD6"/>
    <w:rsid w:val="053610E1"/>
    <w:rsid w:val="05365ED8"/>
    <w:rsid w:val="053733E3"/>
    <w:rsid w:val="05382715"/>
    <w:rsid w:val="05393890"/>
    <w:rsid w:val="053973EC"/>
    <w:rsid w:val="053A3164"/>
    <w:rsid w:val="053B6C38"/>
    <w:rsid w:val="053D0E7E"/>
    <w:rsid w:val="053D2A43"/>
    <w:rsid w:val="053E0EA6"/>
    <w:rsid w:val="053E16F4"/>
    <w:rsid w:val="053E2C54"/>
    <w:rsid w:val="053E4A03"/>
    <w:rsid w:val="053F077B"/>
    <w:rsid w:val="053F69CD"/>
    <w:rsid w:val="05404C1F"/>
    <w:rsid w:val="054144F3"/>
    <w:rsid w:val="054162A1"/>
    <w:rsid w:val="0543054A"/>
    <w:rsid w:val="05432019"/>
    <w:rsid w:val="054364BD"/>
    <w:rsid w:val="0544022B"/>
    <w:rsid w:val="05445D91"/>
    <w:rsid w:val="05452235"/>
    <w:rsid w:val="05452908"/>
    <w:rsid w:val="05467D5B"/>
    <w:rsid w:val="05483AD3"/>
    <w:rsid w:val="05485881"/>
    <w:rsid w:val="054A784B"/>
    <w:rsid w:val="054B3411"/>
    <w:rsid w:val="054B35C3"/>
    <w:rsid w:val="054B5371"/>
    <w:rsid w:val="054B711F"/>
    <w:rsid w:val="054C2543"/>
    <w:rsid w:val="054D213F"/>
    <w:rsid w:val="054E2249"/>
    <w:rsid w:val="054F4C91"/>
    <w:rsid w:val="054F6B84"/>
    <w:rsid w:val="054F6C10"/>
    <w:rsid w:val="05500BDA"/>
    <w:rsid w:val="05507F0F"/>
    <w:rsid w:val="0552341F"/>
    <w:rsid w:val="05526700"/>
    <w:rsid w:val="05535400"/>
    <w:rsid w:val="055406CA"/>
    <w:rsid w:val="05542478"/>
    <w:rsid w:val="05544226"/>
    <w:rsid w:val="05557F9E"/>
    <w:rsid w:val="055661F0"/>
    <w:rsid w:val="05571F68"/>
    <w:rsid w:val="055A2FF4"/>
    <w:rsid w:val="055A5ACD"/>
    <w:rsid w:val="055B3806"/>
    <w:rsid w:val="055C132D"/>
    <w:rsid w:val="055E32F7"/>
    <w:rsid w:val="055E50A5"/>
    <w:rsid w:val="05611D97"/>
    <w:rsid w:val="05616943"/>
    <w:rsid w:val="056371F8"/>
    <w:rsid w:val="0565388D"/>
    <w:rsid w:val="056621AB"/>
    <w:rsid w:val="05663359"/>
    <w:rsid w:val="05665D07"/>
    <w:rsid w:val="05687CD1"/>
    <w:rsid w:val="05690760"/>
    <w:rsid w:val="05691E39"/>
    <w:rsid w:val="056A1004"/>
    <w:rsid w:val="056A1C9B"/>
    <w:rsid w:val="056A5EC4"/>
    <w:rsid w:val="056A63E5"/>
    <w:rsid w:val="056C0FF6"/>
    <w:rsid w:val="056C2283"/>
    <w:rsid w:val="056C5FA6"/>
    <w:rsid w:val="056E3497"/>
    <w:rsid w:val="056F1060"/>
    <w:rsid w:val="056F17EE"/>
    <w:rsid w:val="056F2E0E"/>
    <w:rsid w:val="0570034D"/>
    <w:rsid w:val="057152C8"/>
    <w:rsid w:val="05715D6E"/>
    <w:rsid w:val="057161FA"/>
    <w:rsid w:val="05721148"/>
    <w:rsid w:val="057228FE"/>
    <w:rsid w:val="057272E7"/>
    <w:rsid w:val="05740424"/>
    <w:rsid w:val="05741DC5"/>
    <w:rsid w:val="057448C8"/>
    <w:rsid w:val="0575419C"/>
    <w:rsid w:val="05760640"/>
    <w:rsid w:val="05777F14"/>
    <w:rsid w:val="05784549"/>
    <w:rsid w:val="057865BA"/>
    <w:rsid w:val="057C377D"/>
    <w:rsid w:val="057C552B"/>
    <w:rsid w:val="057D27FE"/>
    <w:rsid w:val="057E5747"/>
    <w:rsid w:val="057F6DC9"/>
    <w:rsid w:val="0580326D"/>
    <w:rsid w:val="05823051"/>
    <w:rsid w:val="058368B9"/>
    <w:rsid w:val="05881919"/>
    <w:rsid w:val="05883ED0"/>
    <w:rsid w:val="05887A6C"/>
    <w:rsid w:val="058A2AB5"/>
    <w:rsid w:val="058A40EC"/>
    <w:rsid w:val="058A6663"/>
    <w:rsid w:val="058C7E64"/>
    <w:rsid w:val="058D14E6"/>
    <w:rsid w:val="05906AAF"/>
    <w:rsid w:val="0591547A"/>
    <w:rsid w:val="05922FA0"/>
    <w:rsid w:val="059268C4"/>
    <w:rsid w:val="059369B1"/>
    <w:rsid w:val="05940AC6"/>
    <w:rsid w:val="05941995"/>
    <w:rsid w:val="05942874"/>
    <w:rsid w:val="059465BE"/>
    <w:rsid w:val="05946ADF"/>
    <w:rsid w:val="05955D32"/>
    <w:rsid w:val="059844D7"/>
    <w:rsid w:val="05990D1A"/>
    <w:rsid w:val="059A3C03"/>
    <w:rsid w:val="059B177D"/>
    <w:rsid w:val="059B7660"/>
    <w:rsid w:val="059C5BB5"/>
    <w:rsid w:val="059D1BD0"/>
    <w:rsid w:val="059D3E1F"/>
    <w:rsid w:val="059D7E1B"/>
    <w:rsid w:val="059E1945"/>
    <w:rsid w:val="059E36F3"/>
    <w:rsid w:val="05A0746B"/>
    <w:rsid w:val="05A277B6"/>
    <w:rsid w:val="05A30D0A"/>
    <w:rsid w:val="05A312E2"/>
    <w:rsid w:val="05A351AD"/>
    <w:rsid w:val="05A50F26"/>
    <w:rsid w:val="05A675C7"/>
    <w:rsid w:val="05A70A57"/>
    <w:rsid w:val="05A76A4C"/>
    <w:rsid w:val="05A83628"/>
    <w:rsid w:val="05A86320"/>
    <w:rsid w:val="05A955D3"/>
    <w:rsid w:val="05A96504"/>
    <w:rsid w:val="05AA2098"/>
    <w:rsid w:val="05AA653C"/>
    <w:rsid w:val="05AB6C07"/>
    <w:rsid w:val="05AC3439"/>
    <w:rsid w:val="05AC4062"/>
    <w:rsid w:val="05AD1B88"/>
    <w:rsid w:val="05AD29AA"/>
    <w:rsid w:val="05AD617A"/>
    <w:rsid w:val="05AE092A"/>
    <w:rsid w:val="05AE1D59"/>
    <w:rsid w:val="05B031E6"/>
    <w:rsid w:val="05B330BB"/>
    <w:rsid w:val="05B366B7"/>
    <w:rsid w:val="05B40AB0"/>
    <w:rsid w:val="05B42F17"/>
    <w:rsid w:val="05B44CC5"/>
    <w:rsid w:val="05B54095"/>
    <w:rsid w:val="05B65FF0"/>
    <w:rsid w:val="05B747B5"/>
    <w:rsid w:val="05B74D6F"/>
    <w:rsid w:val="05B8311D"/>
    <w:rsid w:val="05B9677F"/>
    <w:rsid w:val="05B96D0E"/>
    <w:rsid w:val="05BA1AE4"/>
    <w:rsid w:val="05BA5C7F"/>
    <w:rsid w:val="05BB1A9E"/>
    <w:rsid w:val="05BC001D"/>
    <w:rsid w:val="05BC4ED6"/>
    <w:rsid w:val="05BC6FB2"/>
    <w:rsid w:val="05BD626F"/>
    <w:rsid w:val="05C04F52"/>
    <w:rsid w:val="05C173E2"/>
    <w:rsid w:val="05C23605"/>
    <w:rsid w:val="05C31D9E"/>
    <w:rsid w:val="05C604AD"/>
    <w:rsid w:val="05C6234C"/>
    <w:rsid w:val="05C649F8"/>
    <w:rsid w:val="05C72297"/>
    <w:rsid w:val="05C72C4A"/>
    <w:rsid w:val="05C73260"/>
    <w:rsid w:val="05C76F15"/>
    <w:rsid w:val="05C80770"/>
    <w:rsid w:val="05C869C2"/>
    <w:rsid w:val="05C95532"/>
    <w:rsid w:val="05CA273A"/>
    <w:rsid w:val="05CB55DA"/>
    <w:rsid w:val="05CC2A23"/>
    <w:rsid w:val="05CC64B2"/>
    <w:rsid w:val="05CF1AFF"/>
    <w:rsid w:val="05CF7D50"/>
    <w:rsid w:val="05D13051"/>
    <w:rsid w:val="05D2339D"/>
    <w:rsid w:val="05D36454"/>
    <w:rsid w:val="05D41993"/>
    <w:rsid w:val="05D45367"/>
    <w:rsid w:val="05D47A74"/>
    <w:rsid w:val="05D51530"/>
    <w:rsid w:val="05D610DF"/>
    <w:rsid w:val="05D67331"/>
    <w:rsid w:val="05D70293"/>
    <w:rsid w:val="05D830A9"/>
    <w:rsid w:val="05D83B97"/>
    <w:rsid w:val="05D9472B"/>
    <w:rsid w:val="05DA343D"/>
    <w:rsid w:val="05DA5C2A"/>
    <w:rsid w:val="05DB21FA"/>
    <w:rsid w:val="05DB589B"/>
    <w:rsid w:val="05DB66F5"/>
    <w:rsid w:val="05DD06BF"/>
    <w:rsid w:val="05DF638C"/>
    <w:rsid w:val="05E01F5E"/>
    <w:rsid w:val="05E11832"/>
    <w:rsid w:val="05E15C31"/>
    <w:rsid w:val="05E25CD6"/>
    <w:rsid w:val="05E26EC1"/>
    <w:rsid w:val="05E355AA"/>
    <w:rsid w:val="05E45D6B"/>
    <w:rsid w:val="05E57574"/>
    <w:rsid w:val="05E75B5F"/>
    <w:rsid w:val="05E76E48"/>
    <w:rsid w:val="05E80E12"/>
    <w:rsid w:val="05E835C5"/>
    <w:rsid w:val="05EA2DDC"/>
    <w:rsid w:val="05EA75BA"/>
    <w:rsid w:val="05EC26B0"/>
    <w:rsid w:val="05ED1BB9"/>
    <w:rsid w:val="05EE5EAB"/>
    <w:rsid w:val="05EE6F91"/>
    <w:rsid w:val="05EF03F3"/>
    <w:rsid w:val="05EF3F4F"/>
    <w:rsid w:val="05F15F19"/>
    <w:rsid w:val="05F23A3F"/>
    <w:rsid w:val="05F31C91"/>
    <w:rsid w:val="05F41565"/>
    <w:rsid w:val="05F467EB"/>
    <w:rsid w:val="05F652DD"/>
    <w:rsid w:val="05F72E03"/>
    <w:rsid w:val="05F8152D"/>
    <w:rsid w:val="05F824FB"/>
    <w:rsid w:val="05F872A7"/>
    <w:rsid w:val="05FA65A2"/>
    <w:rsid w:val="05FA7843"/>
    <w:rsid w:val="05FB0B46"/>
    <w:rsid w:val="05FB28F4"/>
    <w:rsid w:val="05FD48BE"/>
    <w:rsid w:val="05FD666C"/>
    <w:rsid w:val="05FE4192"/>
    <w:rsid w:val="05FF112F"/>
    <w:rsid w:val="05FF1DAF"/>
    <w:rsid w:val="05FF4228"/>
    <w:rsid w:val="060043AE"/>
    <w:rsid w:val="06005601"/>
    <w:rsid w:val="06007F0A"/>
    <w:rsid w:val="06013E79"/>
    <w:rsid w:val="06020126"/>
    <w:rsid w:val="06023C82"/>
    <w:rsid w:val="06035C4C"/>
    <w:rsid w:val="0604069A"/>
    <w:rsid w:val="060409EF"/>
    <w:rsid w:val="06046B53"/>
    <w:rsid w:val="060519C4"/>
    <w:rsid w:val="06055520"/>
    <w:rsid w:val="060743F1"/>
    <w:rsid w:val="0609094D"/>
    <w:rsid w:val="060A00C1"/>
    <w:rsid w:val="060B2CF0"/>
    <w:rsid w:val="060C4B01"/>
    <w:rsid w:val="060E0879"/>
    <w:rsid w:val="060F3C66"/>
    <w:rsid w:val="060F4AF6"/>
    <w:rsid w:val="060F639F"/>
    <w:rsid w:val="06107CC7"/>
    <w:rsid w:val="06110302"/>
    <w:rsid w:val="06113EC5"/>
    <w:rsid w:val="0612781D"/>
    <w:rsid w:val="06127C3D"/>
    <w:rsid w:val="06144F07"/>
    <w:rsid w:val="06147E59"/>
    <w:rsid w:val="06154E2D"/>
    <w:rsid w:val="061614DB"/>
    <w:rsid w:val="06163B39"/>
    <w:rsid w:val="0616772D"/>
    <w:rsid w:val="06167B1C"/>
    <w:rsid w:val="06173FF3"/>
    <w:rsid w:val="061858B5"/>
    <w:rsid w:val="06186C14"/>
    <w:rsid w:val="06190825"/>
    <w:rsid w:val="06190FCC"/>
    <w:rsid w:val="061A5470"/>
    <w:rsid w:val="061B4D44"/>
    <w:rsid w:val="061B6B64"/>
    <w:rsid w:val="062005AC"/>
    <w:rsid w:val="06224324"/>
    <w:rsid w:val="062276E7"/>
    <w:rsid w:val="0624009C"/>
    <w:rsid w:val="06253E14"/>
    <w:rsid w:val="062647CB"/>
    <w:rsid w:val="0626541B"/>
    <w:rsid w:val="062956B3"/>
    <w:rsid w:val="06295921"/>
    <w:rsid w:val="062973DE"/>
    <w:rsid w:val="062B2C4A"/>
    <w:rsid w:val="062C5D5F"/>
    <w:rsid w:val="062C6F51"/>
    <w:rsid w:val="062F05D6"/>
    <w:rsid w:val="062F07EF"/>
    <w:rsid w:val="062F3250"/>
    <w:rsid w:val="06311C50"/>
    <w:rsid w:val="06314567"/>
    <w:rsid w:val="063302DF"/>
    <w:rsid w:val="06336531"/>
    <w:rsid w:val="063459F5"/>
    <w:rsid w:val="063577B0"/>
    <w:rsid w:val="0635793C"/>
    <w:rsid w:val="0636658B"/>
    <w:rsid w:val="06383B48"/>
    <w:rsid w:val="0639341C"/>
    <w:rsid w:val="0639759C"/>
    <w:rsid w:val="063A78C0"/>
    <w:rsid w:val="063C038A"/>
    <w:rsid w:val="063D244B"/>
    <w:rsid w:val="063D2F0C"/>
    <w:rsid w:val="063D305A"/>
    <w:rsid w:val="063D4CBA"/>
    <w:rsid w:val="063E3D39"/>
    <w:rsid w:val="063E5D7E"/>
    <w:rsid w:val="063E69C4"/>
    <w:rsid w:val="063F6760"/>
    <w:rsid w:val="06400C4E"/>
    <w:rsid w:val="064029FC"/>
    <w:rsid w:val="064047AA"/>
    <w:rsid w:val="06405665"/>
    <w:rsid w:val="06420AD1"/>
    <w:rsid w:val="064328C1"/>
    <w:rsid w:val="06440B61"/>
    <w:rsid w:val="064410D3"/>
    <w:rsid w:val="064415F4"/>
    <w:rsid w:val="064424ED"/>
    <w:rsid w:val="06444970"/>
    <w:rsid w:val="06450013"/>
    <w:rsid w:val="0647171C"/>
    <w:rsid w:val="06471BE3"/>
    <w:rsid w:val="06473BDD"/>
    <w:rsid w:val="06473D8B"/>
    <w:rsid w:val="06483DF7"/>
    <w:rsid w:val="064918B1"/>
    <w:rsid w:val="064A387B"/>
    <w:rsid w:val="064A4AE7"/>
    <w:rsid w:val="064C314F"/>
    <w:rsid w:val="064C75F3"/>
    <w:rsid w:val="064D5DCB"/>
    <w:rsid w:val="064E1F37"/>
    <w:rsid w:val="064E336B"/>
    <w:rsid w:val="06510766"/>
    <w:rsid w:val="06514C09"/>
    <w:rsid w:val="065169B7"/>
    <w:rsid w:val="06522B8B"/>
    <w:rsid w:val="0653264B"/>
    <w:rsid w:val="06532730"/>
    <w:rsid w:val="065344DE"/>
    <w:rsid w:val="065372F4"/>
    <w:rsid w:val="065425A3"/>
    <w:rsid w:val="06544F5F"/>
    <w:rsid w:val="065546FA"/>
    <w:rsid w:val="06554BAC"/>
    <w:rsid w:val="0655616C"/>
    <w:rsid w:val="06565268"/>
    <w:rsid w:val="065747B2"/>
    <w:rsid w:val="06585F98"/>
    <w:rsid w:val="0659586C"/>
    <w:rsid w:val="065A3ABE"/>
    <w:rsid w:val="065B3392"/>
    <w:rsid w:val="065B7836"/>
    <w:rsid w:val="065D35AE"/>
    <w:rsid w:val="065E665E"/>
    <w:rsid w:val="065F10D4"/>
    <w:rsid w:val="065F2228"/>
    <w:rsid w:val="06604E4C"/>
    <w:rsid w:val="06612372"/>
    <w:rsid w:val="066160DF"/>
    <w:rsid w:val="06625E2E"/>
    <w:rsid w:val="066309FF"/>
    <w:rsid w:val="066429F1"/>
    <w:rsid w:val="066466EB"/>
    <w:rsid w:val="06653279"/>
    <w:rsid w:val="06654A60"/>
    <w:rsid w:val="06655191"/>
    <w:rsid w:val="066606B5"/>
    <w:rsid w:val="066654DF"/>
    <w:rsid w:val="06667380"/>
    <w:rsid w:val="06670810"/>
    <w:rsid w:val="06677EFF"/>
    <w:rsid w:val="066816EB"/>
    <w:rsid w:val="06691F53"/>
    <w:rsid w:val="066935ED"/>
    <w:rsid w:val="06693D01"/>
    <w:rsid w:val="066A7A79"/>
    <w:rsid w:val="066B5CCB"/>
    <w:rsid w:val="066C1A43"/>
    <w:rsid w:val="066C37F1"/>
    <w:rsid w:val="066D06DF"/>
    <w:rsid w:val="066D2D90"/>
    <w:rsid w:val="066E1462"/>
    <w:rsid w:val="066E643A"/>
    <w:rsid w:val="066E7703"/>
    <w:rsid w:val="066F3AED"/>
    <w:rsid w:val="066F6E3E"/>
    <w:rsid w:val="06700194"/>
    <w:rsid w:val="067032E2"/>
    <w:rsid w:val="0670589A"/>
    <w:rsid w:val="06710E08"/>
    <w:rsid w:val="06712BB6"/>
    <w:rsid w:val="06732DD2"/>
    <w:rsid w:val="06736DB3"/>
    <w:rsid w:val="06743898"/>
    <w:rsid w:val="0675004F"/>
    <w:rsid w:val="06755E5D"/>
    <w:rsid w:val="067601CC"/>
    <w:rsid w:val="06775734"/>
    <w:rsid w:val="067A40B5"/>
    <w:rsid w:val="067A4160"/>
    <w:rsid w:val="067A5F0E"/>
    <w:rsid w:val="067B176A"/>
    <w:rsid w:val="067B6C86"/>
    <w:rsid w:val="067C15A6"/>
    <w:rsid w:val="067D14BE"/>
    <w:rsid w:val="067D155B"/>
    <w:rsid w:val="067D4732"/>
    <w:rsid w:val="067D77AC"/>
    <w:rsid w:val="067E2971"/>
    <w:rsid w:val="067E4BBE"/>
    <w:rsid w:val="067F52D3"/>
    <w:rsid w:val="0680104B"/>
    <w:rsid w:val="0680729D"/>
    <w:rsid w:val="0681221D"/>
    <w:rsid w:val="06823015"/>
    <w:rsid w:val="06826B71"/>
    <w:rsid w:val="0684263C"/>
    <w:rsid w:val="068428E9"/>
    <w:rsid w:val="06850C3E"/>
    <w:rsid w:val="06856F5D"/>
    <w:rsid w:val="06877C8F"/>
    <w:rsid w:val="068C3E93"/>
    <w:rsid w:val="068C5304"/>
    <w:rsid w:val="068C5C42"/>
    <w:rsid w:val="068C5EFB"/>
    <w:rsid w:val="068D0EC2"/>
    <w:rsid w:val="069004AC"/>
    <w:rsid w:val="0690419D"/>
    <w:rsid w:val="069074E0"/>
    <w:rsid w:val="06915006"/>
    <w:rsid w:val="06936FD0"/>
    <w:rsid w:val="06937451"/>
    <w:rsid w:val="069468A4"/>
    <w:rsid w:val="069567D7"/>
    <w:rsid w:val="0696261C"/>
    <w:rsid w:val="069629CC"/>
    <w:rsid w:val="06971FBD"/>
    <w:rsid w:val="06976AC0"/>
    <w:rsid w:val="06981D42"/>
    <w:rsid w:val="06982838"/>
    <w:rsid w:val="069845E6"/>
    <w:rsid w:val="069875AD"/>
    <w:rsid w:val="0698763E"/>
    <w:rsid w:val="0699256E"/>
    <w:rsid w:val="069A3818"/>
    <w:rsid w:val="069B5E85"/>
    <w:rsid w:val="069D646D"/>
    <w:rsid w:val="069F7723"/>
    <w:rsid w:val="06A05249"/>
    <w:rsid w:val="06A0572A"/>
    <w:rsid w:val="06A13C29"/>
    <w:rsid w:val="06A26ADE"/>
    <w:rsid w:val="06A40336"/>
    <w:rsid w:val="06A42F8B"/>
    <w:rsid w:val="06A50BF6"/>
    <w:rsid w:val="06A55A39"/>
    <w:rsid w:val="06A63EC6"/>
    <w:rsid w:val="06A64F55"/>
    <w:rsid w:val="06A72A7B"/>
    <w:rsid w:val="06A86F0E"/>
    <w:rsid w:val="06A8709B"/>
    <w:rsid w:val="06A91F53"/>
    <w:rsid w:val="06A950B3"/>
    <w:rsid w:val="06A96DCE"/>
    <w:rsid w:val="06AB256C"/>
    <w:rsid w:val="06AC0092"/>
    <w:rsid w:val="06AC5AB4"/>
    <w:rsid w:val="06AE2FA5"/>
    <w:rsid w:val="06AE7966"/>
    <w:rsid w:val="06B01930"/>
    <w:rsid w:val="06B051DE"/>
    <w:rsid w:val="06B07B41"/>
    <w:rsid w:val="06B156A8"/>
    <w:rsid w:val="06B17456"/>
    <w:rsid w:val="06B204D3"/>
    <w:rsid w:val="06B235D7"/>
    <w:rsid w:val="06B31420"/>
    <w:rsid w:val="06B35987"/>
    <w:rsid w:val="06B524FE"/>
    <w:rsid w:val="06B55198"/>
    <w:rsid w:val="06B56F46"/>
    <w:rsid w:val="06B64A6C"/>
    <w:rsid w:val="06B74313"/>
    <w:rsid w:val="06B75A56"/>
    <w:rsid w:val="06B760E4"/>
    <w:rsid w:val="06B807E5"/>
    <w:rsid w:val="06B8474A"/>
    <w:rsid w:val="06B84C89"/>
    <w:rsid w:val="06B86A37"/>
    <w:rsid w:val="06B93826"/>
    <w:rsid w:val="06B93F93"/>
    <w:rsid w:val="06BA27AF"/>
    <w:rsid w:val="06BA455D"/>
    <w:rsid w:val="06BB2083"/>
    <w:rsid w:val="06BC017A"/>
    <w:rsid w:val="06BC1205"/>
    <w:rsid w:val="06BC55A9"/>
    <w:rsid w:val="06BC6527"/>
    <w:rsid w:val="06BD404D"/>
    <w:rsid w:val="06BF3FA4"/>
    <w:rsid w:val="06BF7412"/>
    <w:rsid w:val="06BF7DC5"/>
    <w:rsid w:val="06C1141B"/>
    <w:rsid w:val="06C1684A"/>
    <w:rsid w:val="06C17F78"/>
    <w:rsid w:val="06C2234A"/>
    <w:rsid w:val="06C246A6"/>
    <w:rsid w:val="06C26422"/>
    <w:rsid w:val="06C33D3B"/>
    <w:rsid w:val="06C4362D"/>
    <w:rsid w:val="06C47189"/>
    <w:rsid w:val="06C675E3"/>
    <w:rsid w:val="06C74ECC"/>
    <w:rsid w:val="06C76C7A"/>
    <w:rsid w:val="06C77BDF"/>
    <w:rsid w:val="06C929F2"/>
    <w:rsid w:val="06C947A0"/>
    <w:rsid w:val="06CB676A"/>
    <w:rsid w:val="06CC603E"/>
    <w:rsid w:val="06CC6FF0"/>
    <w:rsid w:val="06CE0008"/>
    <w:rsid w:val="06CE34F2"/>
    <w:rsid w:val="06CE3D7C"/>
    <w:rsid w:val="06CE7A80"/>
    <w:rsid w:val="06D03D80"/>
    <w:rsid w:val="06D22892"/>
    <w:rsid w:val="06D23E30"/>
    <w:rsid w:val="06D3561E"/>
    <w:rsid w:val="06D43123"/>
    <w:rsid w:val="06D43BF5"/>
    <w:rsid w:val="06D47BED"/>
    <w:rsid w:val="06D526B8"/>
    <w:rsid w:val="06D53145"/>
    <w:rsid w:val="06D54D7D"/>
    <w:rsid w:val="06D575E9"/>
    <w:rsid w:val="06D57890"/>
    <w:rsid w:val="06D66EBD"/>
    <w:rsid w:val="06D73361"/>
    <w:rsid w:val="06D7510F"/>
    <w:rsid w:val="06D80E87"/>
    <w:rsid w:val="06D823A8"/>
    <w:rsid w:val="06D84275"/>
    <w:rsid w:val="06DA075B"/>
    <w:rsid w:val="06DA69AD"/>
    <w:rsid w:val="06DB077B"/>
    <w:rsid w:val="06DB08CB"/>
    <w:rsid w:val="06DD5882"/>
    <w:rsid w:val="06DD649D"/>
    <w:rsid w:val="06DE2BA7"/>
    <w:rsid w:val="06DF1DD2"/>
    <w:rsid w:val="06DF3FC3"/>
    <w:rsid w:val="06E20753"/>
    <w:rsid w:val="06E25862"/>
    <w:rsid w:val="06E33EC7"/>
    <w:rsid w:val="06E4782C"/>
    <w:rsid w:val="06E67100"/>
    <w:rsid w:val="06E77B50"/>
    <w:rsid w:val="06E8731C"/>
    <w:rsid w:val="06E96BF0"/>
    <w:rsid w:val="06EB2968"/>
    <w:rsid w:val="06EB4687"/>
    <w:rsid w:val="06ED2E0B"/>
    <w:rsid w:val="06EE2458"/>
    <w:rsid w:val="06EE2A4D"/>
    <w:rsid w:val="06EF0F66"/>
    <w:rsid w:val="06EF7D85"/>
    <w:rsid w:val="06F00A70"/>
    <w:rsid w:val="06F07F7E"/>
    <w:rsid w:val="06F11143"/>
    <w:rsid w:val="06F12DC1"/>
    <w:rsid w:val="06F15928"/>
    <w:rsid w:val="06F20248"/>
    <w:rsid w:val="06F25FCE"/>
    <w:rsid w:val="06F316D8"/>
    <w:rsid w:val="06F35210"/>
    <w:rsid w:val="06F35CC1"/>
    <w:rsid w:val="06F37A6F"/>
    <w:rsid w:val="06F52796"/>
    <w:rsid w:val="06F65A14"/>
    <w:rsid w:val="06F66BC9"/>
    <w:rsid w:val="06F7130D"/>
    <w:rsid w:val="06F909F3"/>
    <w:rsid w:val="06FA2CEE"/>
    <w:rsid w:val="06FA5CC9"/>
    <w:rsid w:val="06FA704F"/>
    <w:rsid w:val="06FC2DC7"/>
    <w:rsid w:val="06FD08ED"/>
    <w:rsid w:val="06FD269B"/>
    <w:rsid w:val="06FE6B3F"/>
    <w:rsid w:val="06FF4665"/>
    <w:rsid w:val="070005F5"/>
    <w:rsid w:val="07024AB1"/>
    <w:rsid w:val="0702516C"/>
    <w:rsid w:val="070268E6"/>
    <w:rsid w:val="07027CB2"/>
    <w:rsid w:val="07041C7C"/>
    <w:rsid w:val="07043A2A"/>
    <w:rsid w:val="07045713"/>
    <w:rsid w:val="07061550"/>
    <w:rsid w:val="07062FF7"/>
    <w:rsid w:val="070752C8"/>
    <w:rsid w:val="07092F46"/>
    <w:rsid w:val="070969A9"/>
    <w:rsid w:val="07097292"/>
    <w:rsid w:val="070B125C"/>
    <w:rsid w:val="070B4DB8"/>
    <w:rsid w:val="070B5F00"/>
    <w:rsid w:val="070D06B6"/>
    <w:rsid w:val="070D0B30"/>
    <w:rsid w:val="070E365E"/>
    <w:rsid w:val="070E62E0"/>
    <w:rsid w:val="071023CF"/>
    <w:rsid w:val="07107CD6"/>
    <w:rsid w:val="071137D1"/>
    <w:rsid w:val="07117EF5"/>
    <w:rsid w:val="07125F5D"/>
    <w:rsid w:val="07131EBF"/>
    <w:rsid w:val="07133C6D"/>
    <w:rsid w:val="071365DB"/>
    <w:rsid w:val="0714119C"/>
    <w:rsid w:val="07153E89"/>
    <w:rsid w:val="07155C37"/>
    <w:rsid w:val="071579E5"/>
    <w:rsid w:val="071661B3"/>
    <w:rsid w:val="071719AF"/>
    <w:rsid w:val="07171DAE"/>
    <w:rsid w:val="07172CDD"/>
    <w:rsid w:val="071809C6"/>
    <w:rsid w:val="07181283"/>
    <w:rsid w:val="071874D5"/>
    <w:rsid w:val="07187AE2"/>
    <w:rsid w:val="07194B34"/>
    <w:rsid w:val="071A149F"/>
    <w:rsid w:val="071A5FC4"/>
    <w:rsid w:val="071C3295"/>
    <w:rsid w:val="071D4945"/>
    <w:rsid w:val="071D4AEC"/>
    <w:rsid w:val="071E2D3E"/>
    <w:rsid w:val="071F0864"/>
    <w:rsid w:val="07201E36"/>
    <w:rsid w:val="072275F1"/>
    <w:rsid w:val="072461A6"/>
    <w:rsid w:val="072466D4"/>
    <w:rsid w:val="072528E8"/>
    <w:rsid w:val="07261BF2"/>
    <w:rsid w:val="07263042"/>
    <w:rsid w:val="072639A0"/>
    <w:rsid w:val="07266330"/>
    <w:rsid w:val="07267E44"/>
    <w:rsid w:val="07277341"/>
    <w:rsid w:val="07293490"/>
    <w:rsid w:val="072B17AD"/>
    <w:rsid w:val="072C0D9E"/>
    <w:rsid w:val="072C44ED"/>
    <w:rsid w:val="072D4D2F"/>
    <w:rsid w:val="072D6233"/>
    <w:rsid w:val="0730192B"/>
    <w:rsid w:val="07307CAC"/>
    <w:rsid w:val="07322345"/>
    <w:rsid w:val="073267E9"/>
    <w:rsid w:val="073347C4"/>
    <w:rsid w:val="0734173C"/>
    <w:rsid w:val="07342561"/>
    <w:rsid w:val="07352550"/>
    <w:rsid w:val="073626C5"/>
    <w:rsid w:val="07376953"/>
    <w:rsid w:val="073A095D"/>
    <w:rsid w:val="073C7ECE"/>
    <w:rsid w:val="073D08AB"/>
    <w:rsid w:val="073E30CB"/>
    <w:rsid w:val="073E778C"/>
    <w:rsid w:val="073F4A62"/>
    <w:rsid w:val="074107DA"/>
    <w:rsid w:val="0741648A"/>
    <w:rsid w:val="07417025"/>
    <w:rsid w:val="07436660"/>
    <w:rsid w:val="07441D5E"/>
    <w:rsid w:val="07442078"/>
    <w:rsid w:val="07445783"/>
    <w:rsid w:val="074658B0"/>
    <w:rsid w:val="074676D6"/>
    <w:rsid w:val="07484B91"/>
    <w:rsid w:val="07493A79"/>
    <w:rsid w:val="07494150"/>
    <w:rsid w:val="074A3962"/>
    <w:rsid w:val="074C6BCB"/>
    <w:rsid w:val="074D4D2B"/>
    <w:rsid w:val="074D717F"/>
    <w:rsid w:val="074E2EF7"/>
    <w:rsid w:val="074E4EB4"/>
    <w:rsid w:val="074F739B"/>
    <w:rsid w:val="074F7AC9"/>
    <w:rsid w:val="07504EC1"/>
    <w:rsid w:val="07507D15"/>
    <w:rsid w:val="075220F4"/>
    <w:rsid w:val="075229E7"/>
    <w:rsid w:val="075302DA"/>
    <w:rsid w:val="075306D3"/>
    <w:rsid w:val="07533B82"/>
    <w:rsid w:val="07536155"/>
    <w:rsid w:val="0754675F"/>
    <w:rsid w:val="07550729"/>
    <w:rsid w:val="0755165A"/>
    <w:rsid w:val="075524D7"/>
    <w:rsid w:val="07554285"/>
    <w:rsid w:val="0757624F"/>
    <w:rsid w:val="07585F66"/>
    <w:rsid w:val="07591FC7"/>
    <w:rsid w:val="07591FC8"/>
    <w:rsid w:val="075B5D40"/>
    <w:rsid w:val="075C1AB8"/>
    <w:rsid w:val="075C3866"/>
    <w:rsid w:val="075F4A0F"/>
    <w:rsid w:val="075F5104"/>
    <w:rsid w:val="075F6EB2"/>
    <w:rsid w:val="07611799"/>
    <w:rsid w:val="07612C2A"/>
    <w:rsid w:val="0764271A"/>
    <w:rsid w:val="076444C8"/>
    <w:rsid w:val="07654D84"/>
    <w:rsid w:val="076619FA"/>
    <w:rsid w:val="07672E8A"/>
    <w:rsid w:val="07677245"/>
    <w:rsid w:val="0768220B"/>
    <w:rsid w:val="0768431A"/>
    <w:rsid w:val="07686246"/>
    <w:rsid w:val="07691ADF"/>
    <w:rsid w:val="076B5E84"/>
    <w:rsid w:val="076C799F"/>
    <w:rsid w:val="076D238A"/>
    <w:rsid w:val="076E27D5"/>
    <w:rsid w:val="076F3599"/>
    <w:rsid w:val="07706DBE"/>
    <w:rsid w:val="07723089"/>
    <w:rsid w:val="07724E37"/>
    <w:rsid w:val="07726BE5"/>
    <w:rsid w:val="07727F9D"/>
    <w:rsid w:val="07733FFE"/>
    <w:rsid w:val="077354DB"/>
    <w:rsid w:val="07735567"/>
    <w:rsid w:val="07740BAF"/>
    <w:rsid w:val="07742A7F"/>
    <w:rsid w:val="077435D6"/>
    <w:rsid w:val="07750484"/>
    <w:rsid w:val="077508D8"/>
    <w:rsid w:val="07753EDE"/>
    <w:rsid w:val="07754928"/>
    <w:rsid w:val="07763C63"/>
    <w:rsid w:val="07785FE0"/>
    <w:rsid w:val="077961C6"/>
    <w:rsid w:val="07796682"/>
    <w:rsid w:val="077978E7"/>
    <w:rsid w:val="077A1F3E"/>
    <w:rsid w:val="077A53ED"/>
    <w:rsid w:val="077A5458"/>
    <w:rsid w:val="077C1812"/>
    <w:rsid w:val="077C35ED"/>
    <w:rsid w:val="077C5CB6"/>
    <w:rsid w:val="077C7A64"/>
    <w:rsid w:val="077D1961"/>
    <w:rsid w:val="077D67F1"/>
    <w:rsid w:val="077E7147"/>
    <w:rsid w:val="077F1302"/>
    <w:rsid w:val="07807554"/>
    <w:rsid w:val="07821932"/>
    <w:rsid w:val="07821B47"/>
    <w:rsid w:val="07827A92"/>
    <w:rsid w:val="07833E84"/>
    <w:rsid w:val="07835161"/>
    <w:rsid w:val="07846919"/>
    <w:rsid w:val="07852DBD"/>
    <w:rsid w:val="078606E7"/>
    <w:rsid w:val="07862691"/>
    <w:rsid w:val="07867FA6"/>
    <w:rsid w:val="07876E2F"/>
    <w:rsid w:val="078809D2"/>
    <w:rsid w:val="07897965"/>
    <w:rsid w:val="078A1767"/>
    <w:rsid w:val="078B44B5"/>
    <w:rsid w:val="078D1C71"/>
    <w:rsid w:val="078D3874"/>
    <w:rsid w:val="078D5B51"/>
    <w:rsid w:val="078D7EC3"/>
    <w:rsid w:val="078E1545"/>
    <w:rsid w:val="078F7797"/>
    <w:rsid w:val="079052BE"/>
    <w:rsid w:val="07906106"/>
    <w:rsid w:val="0793709D"/>
    <w:rsid w:val="079528D4"/>
    <w:rsid w:val="07960EAC"/>
    <w:rsid w:val="07982486"/>
    <w:rsid w:val="079923C4"/>
    <w:rsid w:val="07996868"/>
    <w:rsid w:val="079B438E"/>
    <w:rsid w:val="079E0623"/>
    <w:rsid w:val="079E66B3"/>
    <w:rsid w:val="079F3753"/>
    <w:rsid w:val="079F69F9"/>
    <w:rsid w:val="079F7BD5"/>
    <w:rsid w:val="07A00E91"/>
    <w:rsid w:val="07A0163F"/>
    <w:rsid w:val="07A019A5"/>
    <w:rsid w:val="07A01BFB"/>
    <w:rsid w:val="07A12501"/>
    <w:rsid w:val="07A213F1"/>
    <w:rsid w:val="07A30606"/>
    <w:rsid w:val="07A31495"/>
    <w:rsid w:val="07A47863"/>
    <w:rsid w:val="07A540DF"/>
    <w:rsid w:val="07A56FBB"/>
    <w:rsid w:val="07A661DE"/>
    <w:rsid w:val="07A84224"/>
    <w:rsid w:val="07A90D2A"/>
    <w:rsid w:val="07A92F4B"/>
    <w:rsid w:val="07AA2823"/>
    <w:rsid w:val="07AA45D1"/>
    <w:rsid w:val="07AB0864"/>
    <w:rsid w:val="07AB20F7"/>
    <w:rsid w:val="07AB3CA0"/>
    <w:rsid w:val="07AC7C25"/>
    <w:rsid w:val="07AD40C1"/>
    <w:rsid w:val="07AD5E6F"/>
    <w:rsid w:val="07AF1BE8"/>
    <w:rsid w:val="07B1581D"/>
    <w:rsid w:val="07B31491"/>
    <w:rsid w:val="07B44D35"/>
    <w:rsid w:val="07B45450"/>
    <w:rsid w:val="07B55F1D"/>
    <w:rsid w:val="07B56195"/>
    <w:rsid w:val="07B61B72"/>
    <w:rsid w:val="07B729E3"/>
    <w:rsid w:val="07B76CEE"/>
    <w:rsid w:val="07B77E12"/>
    <w:rsid w:val="07B83E73"/>
    <w:rsid w:val="07B92732"/>
    <w:rsid w:val="07B93F72"/>
    <w:rsid w:val="07BC4304"/>
    <w:rsid w:val="07BC60B3"/>
    <w:rsid w:val="07BD6BB5"/>
    <w:rsid w:val="07BE007D"/>
    <w:rsid w:val="07BE1E2B"/>
    <w:rsid w:val="07BE62CF"/>
    <w:rsid w:val="07BE71A8"/>
    <w:rsid w:val="07BF1EB2"/>
    <w:rsid w:val="07BF7A34"/>
    <w:rsid w:val="07C02047"/>
    <w:rsid w:val="07C05808"/>
    <w:rsid w:val="07C1191B"/>
    <w:rsid w:val="07C136C9"/>
    <w:rsid w:val="07C26FAE"/>
    <w:rsid w:val="07C35693"/>
    <w:rsid w:val="07C37441"/>
    <w:rsid w:val="07C5140B"/>
    <w:rsid w:val="07C531B9"/>
    <w:rsid w:val="07C55551"/>
    <w:rsid w:val="07C77206"/>
    <w:rsid w:val="07C82CA9"/>
    <w:rsid w:val="07C84A57"/>
    <w:rsid w:val="07C9315A"/>
    <w:rsid w:val="07C94E18"/>
    <w:rsid w:val="07CA07CF"/>
    <w:rsid w:val="07CA4C73"/>
    <w:rsid w:val="07CB13E7"/>
    <w:rsid w:val="07CB18B3"/>
    <w:rsid w:val="07CB4548"/>
    <w:rsid w:val="07CC09EB"/>
    <w:rsid w:val="07CD02C0"/>
    <w:rsid w:val="07CD6512"/>
    <w:rsid w:val="07CE5DBF"/>
    <w:rsid w:val="07CF3DEF"/>
    <w:rsid w:val="07CF5C5D"/>
    <w:rsid w:val="07CF5DE6"/>
    <w:rsid w:val="07D17DB0"/>
    <w:rsid w:val="07D21D7A"/>
    <w:rsid w:val="07D24163"/>
    <w:rsid w:val="07D373BE"/>
    <w:rsid w:val="07D46328"/>
    <w:rsid w:val="07D473BF"/>
    <w:rsid w:val="07D52987"/>
    <w:rsid w:val="07D57174"/>
    <w:rsid w:val="07D57351"/>
    <w:rsid w:val="07D622F9"/>
    <w:rsid w:val="07D63618"/>
    <w:rsid w:val="07D653C6"/>
    <w:rsid w:val="07D65F6C"/>
    <w:rsid w:val="07D7113E"/>
    <w:rsid w:val="07D802C0"/>
    <w:rsid w:val="07D8276B"/>
    <w:rsid w:val="07D86C84"/>
    <w:rsid w:val="07D94090"/>
    <w:rsid w:val="07D96C64"/>
    <w:rsid w:val="07DB478B"/>
    <w:rsid w:val="07DC0503"/>
    <w:rsid w:val="07DC6755"/>
    <w:rsid w:val="07DD49A7"/>
    <w:rsid w:val="07DE071F"/>
    <w:rsid w:val="07DF0035"/>
    <w:rsid w:val="07DF40A0"/>
    <w:rsid w:val="07E04497"/>
    <w:rsid w:val="07E04A7A"/>
    <w:rsid w:val="07E06245"/>
    <w:rsid w:val="07E115AE"/>
    <w:rsid w:val="07E212EE"/>
    <w:rsid w:val="07E2450F"/>
    <w:rsid w:val="07E30570"/>
    <w:rsid w:val="07E31891"/>
    <w:rsid w:val="07E35D35"/>
    <w:rsid w:val="07E41A00"/>
    <w:rsid w:val="07E41A7D"/>
    <w:rsid w:val="07E775D3"/>
    <w:rsid w:val="07E80FD6"/>
    <w:rsid w:val="07E81811"/>
    <w:rsid w:val="07E86EA8"/>
    <w:rsid w:val="07E96FA1"/>
    <w:rsid w:val="07EA04ED"/>
    <w:rsid w:val="07EA0E72"/>
    <w:rsid w:val="07EA4131"/>
    <w:rsid w:val="07EA47F3"/>
    <w:rsid w:val="07EA7C94"/>
    <w:rsid w:val="07EB115D"/>
    <w:rsid w:val="07EB560A"/>
    <w:rsid w:val="07EB6DA1"/>
    <w:rsid w:val="07EC0192"/>
    <w:rsid w:val="07EC1CA1"/>
    <w:rsid w:val="07EC6998"/>
    <w:rsid w:val="07ED0962"/>
    <w:rsid w:val="07EF0236"/>
    <w:rsid w:val="07F10452"/>
    <w:rsid w:val="07F13FAE"/>
    <w:rsid w:val="07F25A76"/>
    <w:rsid w:val="07F30A11"/>
    <w:rsid w:val="07F43E86"/>
    <w:rsid w:val="07F46EF5"/>
    <w:rsid w:val="07F626D4"/>
    <w:rsid w:val="07F669BF"/>
    <w:rsid w:val="07F751B7"/>
    <w:rsid w:val="07F752A5"/>
    <w:rsid w:val="07F7533D"/>
    <w:rsid w:val="07F803EB"/>
    <w:rsid w:val="07F817E1"/>
    <w:rsid w:val="07F8734E"/>
    <w:rsid w:val="07F910B5"/>
    <w:rsid w:val="07FB4E2D"/>
    <w:rsid w:val="07FB6BDB"/>
    <w:rsid w:val="07FC0BA5"/>
    <w:rsid w:val="07FC2953"/>
    <w:rsid w:val="07FC7C14"/>
    <w:rsid w:val="07FC7C87"/>
    <w:rsid w:val="07FE491D"/>
    <w:rsid w:val="07FE5861"/>
    <w:rsid w:val="07FF0CF2"/>
    <w:rsid w:val="07FF10F7"/>
    <w:rsid w:val="08000695"/>
    <w:rsid w:val="080041F1"/>
    <w:rsid w:val="08014253"/>
    <w:rsid w:val="08017C02"/>
    <w:rsid w:val="08032503"/>
    <w:rsid w:val="08044CD8"/>
    <w:rsid w:val="080478A9"/>
    <w:rsid w:val="0806308C"/>
    <w:rsid w:val="08065580"/>
    <w:rsid w:val="08077B4D"/>
    <w:rsid w:val="080812F8"/>
    <w:rsid w:val="0808695F"/>
    <w:rsid w:val="0808754A"/>
    <w:rsid w:val="080A1514"/>
    <w:rsid w:val="080B2B96"/>
    <w:rsid w:val="080C703A"/>
    <w:rsid w:val="080D0C0C"/>
    <w:rsid w:val="080D2DB2"/>
    <w:rsid w:val="080D4B60"/>
    <w:rsid w:val="080D690E"/>
    <w:rsid w:val="080F08D8"/>
    <w:rsid w:val="080F16A8"/>
    <w:rsid w:val="080F43BD"/>
    <w:rsid w:val="081144B5"/>
    <w:rsid w:val="081158D7"/>
    <w:rsid w:val="081172DC"/>
    <w:rsid w:val="08121EAD"/>
    <w:rsid w:val="08122176"/>
    <w:rsid w:val="08125054"/>
    <w:rsid w:val="081343B4"/>
    <w:rsid w:val="08144141"/>
    <w:rsid w:val="08145EEF"/>
    <w:rsid w:val="08147C9D"/>
    <w:rsid w:val="08152F34"/>
    <w:rsid w:val="08153F8A"/>
    <w:rsid w:val="08161C67"/>
    <w:rsid w:val="08163A15"/>
    <w:rsid w:val="08167EB9"/>
    <w:rsid w:val="08171283"/>
    <w:rsid w:val="0817778D"/>
    <w:rsid w:val="081845DE"/>
    <w:rsid w:val="081A21FF"/>
    <w:rsid w:val="081A3210"/>
    <w:rsid w:val="081B102B"/>
    <w:rsid w:val="081B54CF"/>
    <w:rsid w:val="081E0585"/>
    <w:rsid w:val="081E4FBF"/>
    <w:rsid w:val="081E6D6D"/>
    <w:rsid w:val="081F41D2"/>
    <w:rsid w:val="08202AE5"/>
    <w:rsid w:val="08206641"/>
    <w:rsid w:val="08216B89"/>
    <w:rsid w:val="0822060B"/>
    <w:rsid w:val="08227A35"/>
    <w:rsid w:val="08233C21"/>
    <w:rsid w:val="08236132"/>
    <w:rsid w:val="08285910"/>
    <w:rsid w:val="08290134"/>
    <w:rsid w:val="082A5712"/>
    <w:rsid w:val="082C1A17"/>
    <w:rsid w:val="082C263C"/>
    <w:rsid w:val="082C3238"/>
    <w:rsid w:val="082C4FE6"/>
    <w:rsid w:val="082D0D5E"/>
    <w:rsid w:val="082E2B16"/>
    <w:rsid w:val="082F2D28"/>
    <w:rsid w:val="082F4AD6"/>
    <w:rsid w:val="0831084F"/>
    <w:rsid w:val="08316AA1"/>
    <w:rsid w:val="08320F44"/>
    <w:rsid w:val="08332819"/>
    <w:rsid w:val="0833303D"/>
    <w:rsid w:val="08346591"/>
    <w:rsid w:val="083503EB"/>
    <w:rsid w:val="08350B64"/>
    <w:rsid w:val="08356908"/>
    <w:rsid w:val="083640B7"/>
    <w:rsid w:val="0837069C"/>
    <w:rsid w:val="08374855"/>
    <w:rsid w:val="08381BDD"/>
    <w:rsid w:val="083921F2"/>
    <w:rsid w:val="08397703"/>
    <w:rsid w:val="083B16CD"/>
    <w:rsid w:val="083B2549"/>
    <w:rsid w:val="083B791F"/>
    <w:rsid w:val="083C71F3"/>
    <w:rsid w:val="083D3697"/>
    <w:rsid w:val="083E11BD"/>
    <w:rsid w:val="083E2F6B"/>
    <w:rsid w:val="083E3ACA"/>
    <w:rsid w:val="08400A92"/>
    <w:rsid w:val="08403DF8"/>
    <w:rsid w:val="08412E95"/>
    <w:rsid w:val="08430582"/>
    <w:rsid w:val="08432093"/>
    <w:rsid w:val="08444A26"/>
    <w:rsid w:val="08455168"/>
    <w:rsid w:val="08456864"/>
    <w:rsid w:val="08460D9C"/>
    <w:rsid w:val="0846765B"/>
    <w:rsid w:val="08467C12"/>
    <w:rsid w:val="08471E20"/>
    <w:rsid w:val="084848E0"/>
    <w:rsid w:val="08485F7C"/>
    <w:rsid w:val="08491191"/>
    <w:rsid w:val="084A0BAD"/>
    <w:rsid w:val="084A5DB4"/>
    <w:rsid w:val="084B3295"/>
    <w:rsid w:val="084B79DF"/>
    <w:rsid w:val="084C5688"/>
    <w:rsid w:val="084D06CC"/>
    <w:rsid w:val="084D1CF0"/>
    <w:rsid w:val="084D31AF"/>
    <w:rsid w:val="084D60BB"/>
    <w:rsid w:val="084F24D1"/>
    <w:rsid w:val="084F6F27"/>
    <w:rsid w:val="08504A1F"/>
    <w:rsid w:val="085065D7"/>
    <w:rsid w:val="08510EF1"/>
    <w:rsid w:val="08512C9F"/>
    <w:rsid w:val="0851476E"/>
    <w:rsid w:val="08514A4D"/>
    <w:rsid w:val="08517143"/>
    <w:rsid w:val="08526AF3"/>
    <w:rsid w:val="08527268"/>
    <w:rsid w:val="085307CF"/>
    <w:rsid w:val="08534C69"/>
    <w:rsid w:val="08534FC3"/>
    <w:rsid w:val="08552ABB"/>
    <w:rsid w:val="085532DA"/>
    <w:rsid w:val="0855653B"/>
    <w:rsid w:val="085576E9"/>
    <w:rsid w:val="085602B5"/>
    <w:rsid w:val="0856098D"/>
    <w:rsid w:val="08564759"/>
    <w:rsid w:val="08566507"/>
    <w:rsid w:val="0858227F"/>
    <w:rsid w:val="08591B53"/>
    <w:rsid w:val="08597DA5"/>
    <w:rsid w:val="085B03F1"/>
    <w:rsid w:val="085C3EA3"/>
    <w:rsid w:val="085D0BEA"/>
    <w:rsid w:val="085E53BC"/>
    <w:rsid w:val="085E716A"/>
    <w:rsid w:val="085F7FF0"/>
    <w:rsid w:val="08617538"/>
    <w:rsid w:val="086230FE"/>
    <w:rsid w:val="08630AAF"/>
    <w:rsid w:val="08633E86"/>
    <w:rsid w:val="086504F8"/>
    <w:rsid w:val="08652BE4"/>
    <w:rsid w:val="08652D8D"/>
    <w:rsid w:val="0865499C"/>
    <w:rsid w:val="086640F0"/>
    <w:rsid w:val="086700D5"/>
    <w:rsid w:val="086724C2"/>
    <w:rsid w:val="0868203C"/>
    <w:rsid w:val="086860AD"/>
    <w:rsid w:val="08687FE8"/>
    <w:rsid w:val="0869623A"/>
    <w:rsid w:val="086B1627"/>
    <w:rsid w:val="086C1376"/>
    <w:rsid w:val="086C1887"/>
    <w:rsid w:val="086C45C5"/>
    <w:rsid w:val="086C6C04"/>
    <w:rsid w:val="086C7AD9"/>
    <w:rsid w:val="086C7C56"/>
    <w:rsid w:val="086E3851"/>
    <w:rsid w:val="086E53D7"/>
    <w:rsid w:val="086F1377"/>
    <w:rsid w:val="086F1438"/>
    <w:rsid w:val="087028C8"/>
    <w:rsid w:val="087150EF"/>
    <w:rsid w:val="08720D6C"/>
    <w:rsid w:val="08723266"/>
    <w:rsid w:val="08732C15"/>
    <w:rsid w:val="087379E2"/>
    <w:rsid w:val="0874698D"/>
    <w:rsid w:val="08747B08"/>
    <w:rsid w:val="08766BA9"/>
    <w:rsid w:val="0877762B"/>
    <w:rsid w:val="087846CF"/>
    <w:rsid w:val="0878647D"/>
    <w:rsid w:val="087924EA"/>
    <w:rsid w:val="087937D2"/>
    <w:rsid w:val="087A0447"/>
    <w:rsid w:val="087A52B2"/>
    <w:rsid w:val="087A7F39"/>
    <w:rsid w:val="087C7687"/>
    <w:rsid w:val="087D1CE6"/>
    <w:rsid w:val="087D3A3C"/>
    <w:rsid w:val="087D3A94"/>
    <w:rsid w:val="087E15BA"/>
    <w:rsid w:val="087E4ECC"/>
    <w:rsid w:val="08821F49"/>
    <w:rsid w:val="08830A69"/>
    <w:rsid w:val="08836BD0"/>
    <w:rsid w:val="0884149B"/>
    <w:rsid w:val="088766C0"/>
    <w:rsid w:val="08880B4F"/>
    <w:rsid w:val="0888274B"/>
    <w:rsid w:val="0889068B"/>
    <w:rsid w:val="088C1F29"/>
    <w:rsid w:val="088C636E"/>
    <w:rsid w:val="088D4A57"/>
    <w:rsid w:val="088E3280"/>
    <w:rsid w:val="088E3EF3"/>
    <w:rsid w:val="088E7A4F"/>
    <w:rsid w:val="088F3F4A"/>
    <w:rsid w:val="088F4710"/>
    <w:rsid w:val="08907C6B"/>
    <w:rsid w:val="089112ED"/>
    <w:rsid w:val="089247D2"/>
    <w:rsid w:val="089347E7"/>
    <w:rsid w:val="08935065"/>
    <w:rsid w:val="08944BD6"/>
    <w:rsid w:val="08955281"/>
    <w:rsid w:val="089645E3"/>
    <w:rsid w:val="08964B56"/>
    <w:rsid w:val="0896666F"/>
    <w:rsid w:val="08966904"/>
    <w:rsid w:val="089718A3"/>
    <w:rsid w:val="0897376C"/>
    <w:rsid w:val="0898267C"/>
    <w:rsid w:val="08986B20"/>
    <w:rsid w:val="08997C48"/>
    <w:rsid w:val="089A2898"/>
    <w:rsid w:val="089A4646"/>
    <w:rsid w:val="089B412F"/>
    <w:rsid w:val="089C5C2C"/>
    <w:rsid w:val="089D4136"/>
    <w:rsid w:val="089D7C92"/>
    <w:rsid w:val="089F1C5C"/>
    <w:rsid w:val="089F49DA"/>
    <w:rsid w:val="08A13C26"/>
    <w:rsid w:val="08A13EF0"/>
    <w:rsid w:val="08A171AA"/>
    <w:rsid w:val="08A41020"/>
    <w:rsid w:val="08A51890"/>
    <w:rsid w:val="08A55595"/>
    <w:rsid w:val="08A70B11"/>
    <w:rsid w:val="08A81C9B"/>
    <w:rsid w:val="08AA23AF"/>
    <w:rsid w:val="08AB4CEA"/>
    <w:rsid w:val="08AB6853"/>
    <w:rsid w:val="08AC25CB"/>
    <w:rsid w:val="08AC3A00"/>
    <w:rsid w:val="08AC6127"/>
    <w:rsid w:val="08AC6AD2"/>
    <w:rsid w:val="08AD2919"/>
    <w:rsid w:val="08AD7EA6"/>
    <w:rsid w:val="08AE1E9F"/>
    <w:rsid w:val="08AE6343"/>
    <w:rsid w:val="08AF5C17"/>
    <w:rsid w:val="08AF61E6"/>
    <w:rsid w:val="08AF6C12"/>
    <w:rsid w:val="08B07D5B"/>
    <w:rsid w:val="08B177D1"/>
    <w:rsid w:val="08B17BE1"/>
    <w:rsid w:val="08B35707"/>
    <w:rsid w:val="08B4633C"/>
    <w:rsid w:val="08B51480"/>
    <w:rsid w:val="08B6350D"/>
    <w:rsid w:val="08B82D1E"/>
    <w:rsid w:val="08BA4CE8"/>
    <w:rsid w:val="08BA5C2E"/>
    <w:rsid w:val="08BB45BC"/>
    <w:rsid w:val="08BC0A60"/>
    <w:rsid w:val="08BC3DA8"/>
    <w:rsid w:val="08BF40AC"/>
    <w:rsid w:val="08C01BD2"/>
    <w:rsid w:val="08C02FD5"/>
    <w:rsid w:val="08C0372B"/>
    <w:rsid w:val="08C10F3F"/>
    <w:rsid w:val="08C2594B"/>
    <w:rsid w:val="08C276F9"/>
    <w:rsid w:val="08C330EF"/>
    <w:rsid w:val="08C359A4"/>
    <w:rsid w:val="08C43471"/>
    <w:rsid w:val="08C47915"/>
    <w:rsid w:val="08C50D2B"/>
    <w:rsid w:val="08C53253"/>
    <w:rsid w:val="08C570BA"/>
    <w:rsid w:val="08C571E9"/>
    <w:rsid w:val="08C6543B"/>
    <w:rsid w:val="08C75F19"/>
    <w:rsid w:val="08C7640A"/>
    <w:rsid w:val="08C77405"/>
    <w:rsid w:val="08C85FE2"/>
    <w:rsid w:val="08C94F2B"/>
    <w:rsid w:val="08C96CD9"/>
    <w:rsid w:val="08CA0902"/>
    <w:rsid w:val="08CA47FF"/>
    <w:rsid w:val="08CA6C45"/>
    <w:rsid w:val="08CB210B"/>
    <w:rsid w:val="08CB4963"/>
    <w:rsid w:val="08CC67C9"/>
    <w:rsid w:val="08CD536A"/>
    <w:rsid w:val="08CE0793"/>
    <w:rsid w:val="08CE410B"/>
    <w:rsid w:val="08CE609D"/>
    <w:rsid w:val="08CF1E16"/>
    <w:rsid w:val="08D05CA8"/>
    <w:rsid w:val="08D12D1A"/>
    <w:rsid w:val="08D12F8B"/>
    <w:rsid w:val="08D13141"/>
    <w:rsid w:val="08D14FA8"/>
    <w:rsid w:val="08D37B58"/>
    <w:rsid w:val="08D42B41"/>
    <w:rsid w:val="08D4742C"/>
    <w:rsid w:val="08D570E8"/>
    <w:rsid w:val="08D833C0"/>
    <w:rsid w:val="08D8516E"/>
    <w:rsid w:val="08D85AD7"/>
    <w:rsid w:val="08D86F1C"/>
    <w:rsid w:val="08D926C2"/>
    <w:rsid w:val="08DB6CDD"/>
    <w:rsid w:val="08DD09D6"/>
    <w:rsid w:val="08DD3116"/>
    <w:rsid w:val="08DD4D56"/>
    <w:rsid w:val="08DF591E"/>
    <w:rsid w:val="08E0043D"/>
    <w:rsid w:val="08E12275"/>
    <w:rsid w:val="08E21B49"/>
    <w:rsid w:val="08E42C93"/>
    <w:rsid w:val="08E51639"/>
    <w:rsid w:val="08E53B03"/>
    <w:rsid w:val="08E72291"/>
    <w:rsid w:val="08E7715F"/>
    <w:rsid w:val="08E81855"/>
    <w:rsid w:val="08E91129"/>
    <w:rsid w:val="08E9737B"/>
    <w:rsid w:val="08EB30F3"/>
    <w:rsid w:val="08EC001B"/>
    <w:rsid w:val="08EC4108"/>
    <w:rsid w:val="08EC4297"/>
    <w:rsid w:val="08EE4992"/>
    <w:rsid w:val="08EE6906"/>
    <w:rsid w:val="08F0070A"/>
    <w:rsid w:val="08F00A83"/>
    <w:rsid w:val="08F06B26"/>
    <w:rsid w:val="08F17FDE"/>
    <w:rsid w:val="08F301FA"/>
    <w:rsid w:val="08F31C1C"/>
    <w:rsid w:val="08F32F05"/>
    <w:rsid w:val="08F33DC5"/>
    <w:rsid w:val="08F3608C"/>
    <w:rsid w:val="08F54FFF"/>
    <w:rsid w:val="08F57ACE"/>
    <w:rsid w:val="08F8136C"/>
    <w:rsid w:val="08F87F25"/>
    <w:rsid w:val="08FA1588"/>
    <w:rsid w:val="08FB2C0B"/>
    <w:rsid w:val="08FB6E0A"/>
    <w:rsid w:val="08FC0E5C"/>
    <w:rsid w:val="08FD4003"/>
    <w:rsid w:val="08FE5932"/>
    <w:rsid w:val="08FE60B1"/>
    <w:rsid w:val="08FF6B9F"/>
    <w:rsid w:val="08FF7541"/>
    <w:rsid w:val="08FF7FD2"/>
    <w:rsid w:val="090146C5"/>
    <w:rsid w:val="09017938"/>
    <w:rsid w:val="09027603"/>
    <w:rsid w:val="09045F63"/>
    <w:rsid w:val="09065A80"/>
    <w:rsid w:val="09067F2D"/>
    <w:rsid w:val="09075A53"/>
    <w:rsid w:val="09083475"/>
    <w:rsid w:val="09093579"/>
    <w:rsid w:val="090B1DF6"/>
    <w:rsid w:val="090B5543"/>
    <w:rsid w:val="090B72F2"/>
    <w:rsid w:val="090C6F76"/>
    <w:rsid w:val="090C7E32"/>
    <w:rsid w:val="090D306A"/>
    <w:rsid w:val="090E096F"/>
    <w:rsid w:val="090E0B90"/>
    <w:rsid w:val="090E293E"/>
    <w:rsid w:val="090F124D"/>
    <w:rsid w:val="09101C07"/>
    <w:rsid w:val="09107F64"/>
    <w:rsid w:val="09120680"/>
    <w:rsid w:val="0913264A"/>
    <w:rsid w:val="091343F8"/>
    <w:rsid w:val="09152AC0"/>
    <w:rsid w:val="09153CCC"/>
    <w:rsid w:val="09167A44"/>
    <w:rsid w:val="09173EE8"/>
    <w:rsid w:val="091837BC"/>
    <w:rsid w:val="091A5787"/>
    <w:rsid w:val="091A63C8"/>
    <w:rsid w:val="091A677A"/>
    <w:rsid w:val="091A6A16"/>
    <w:rsid w:val="091A7535"/>
    <w:rsid w:val="091C6E03"/>
    <w:rsid w:val="091D0DD3"/>
    <w:rsid w:val="091D7025"/>
    <w:rsid w:val="091E5277"/>
    <w:rsid w:val="091E60C8"/>
    <w:rsid w:val="091F0FEF"/>
    <w:rsid w:val="091F2D9D"/>
    <w:rsid w:val="092054F4"/>
    <w:rsid w:val="092075E0"/>
    <w:rsid w:val="09212671"/>
    <w:rsid w:val="09235756"/>
    <w:rsid w:val="09235FD0"/>
    <w:rsid w:val="09247DCC"/>
    <w:rsid w:val="09263E2D"/>
    <w:rsid w:val="092641B5"/>
    <w:rsid w:val="09265ED9"/>
    <w:rsid w:val="092669FE"/>
    <w:rsid w:val="09277E8E"/>
    <w:rsid w:val="09287EA3"/>
    <w:rsid w:val="092900A0"/>
    <w:rsid w:val="092A3A4F"/>
    <w:rsid w:val="092B01DB"/>
    <w:rsid w:val="092B1742"/>
    <w:rsid w:val="092B680F"/>
    <w:rsid w:val="092C1016"/>
    <w:rsid w:val="092D370C"/>
    <w:rsid w:val="092E1232"/>
    <w:rsid w:val="092E4D8E"/>
    <w:rsid w:val="092F6DC4"/>
    <w:rsid w:val="093305F6"/>
    <w:rsid w:val="09336431"/>
    <w:rsid w:val="09343170"/>
    <w:rsid w:val="093431FC"/>
    <w:rsid w:val="0935611C"/>
    <w:rsid w:val="093700E7"/>
    <w:rsid w:val="09372B3D"/>
    <w:rsid w:val="09380026"/>
    <w:rsid w:val="09383E5F"/>
    <w:rsid w:val="093920B1"/>
    <w:rsid w:val="09394C52"/>
    <w:rsid w:val="093A7267"/>
    <w:rsid w:val="093A7BD7"/>
    <w:rsid w:val="093C3C1B"/>
    <w:rsid w:val="093C47D0"/>
    <w:rsid w:val="093C56FD"/>
    <w:rsid w:val="093C7015"/>
    <w:rsid w:val="093D1475"/>
    <w:rsid w:val="093D229F"/>
    <w:rsid w:val="093D3223"/>
    <w:rsid w:val="093E76C7"/>
    <w:rsid w:val="093F343F"/>
    <w:rsid w:val="093F51ED"/>
    <w:rsid w:val="093F6115"/>
    <w:rsid w:val="093F6F9B"/>
    <w:rsid w:val="09400B40"/>
    <w:rsid w:val="09407F5A"/>
    <w:rsid w:val="09411943"/>
    <w:rsid w:val="094139BD"/>
    <w:rsid w:val="09436425"/>
    <w:rsid w:val="09442251"/>
    <w:rsid w:val="094445B2"/>
    <w:rsid w:val="09446B26"/>
    <w:rsid w:val="09447EF3"/>
    <w:rsid w:val="09453A89"/>
    <w:rsid w:val="094817DD"/>
    <w:rsid w:val="094822F4"/>
    <w:rsid w:val="09485074"/>
    <w:rsid w:val="0949606C"/>
    <w:rsid w:val="094A3214"/>
    <w:rsid w:val="094A3228"/>
    <w:rsid w:val="094B3B92"/>
    <w:rsid w:val="094B71FC"/>
    <w:rsid w:val="094D16B8"/>
    <w:rsid w:val="094E3039"/>
    <w:rsid w:val="094E3682"/>
    <w:rsid w:val="094F01AF"/>
    <w:rsid w:val="095011A8"/>
    <w:rsid w:val="09502F56"/>
    <w:rsid w:val="09504FF4"/>
    <w:rsid w:val="095073FA"/>
    <w:rsid w:val="09515962"/>
    <w:rsid w:val="09523172"/>
    <w:rsid w:val="09526CCE"/>
    <w:rsid w:val="0953715A"/>
    <w:rsid w:val="095451FC"/>
    <w:rsid w:val="095600DF"/>
    <w:rsid w:val="095652DA"/>
    <w:rsid w:val="095664BF"/>
    <w:rsid w:val="0958005D"/>
    <w:rsid w:val="09581E0B"/>
    <w:rsid w:val="09586CBC"/>
    <w:rsid w:val="095962AF"/>
    <w:rsid w:val="0959709F"/>
    <w:rsid w:val="095A1B0F"/>
    <w:rsid w:val="095A2D1D"/>
    <w:rsid w:val="095A3DD5"/>
    <w:rsid w:val="095A4DC5"/>
    <w:rsid w:val="095A5B83"/>
    <w:rsid w:val="095B73E3"/>
    <w:rsid w:val="095B7898"/>
    <w:rsid w:val="095D5673"/>
    <w:rsid w:val="095E1B17"/>
    <w:rsid w:val="095F3199"/>
    <w:rsid w:val="095F67E1"/>
    <w:rsid w:val="095F763D"/>
    <w:rsid w:val="096133B5"/>
    <w:rsid w:val="09622D3A"/>
    <w:rsid w:val="09630389"/>
    <w:rsid w:val="09644C54"/>
    <w:rsid w:val="09652EA6"/>
    <w:rsid w:val="096802A0"/>
    <w:rsid w:val="09690878"/>
    <w:rsid w:val="096915D0"/>
    <w:rsid w:val="09694018"/>
    <w:rsid w:val="096A2F05"/>
    <w:rsid w:val="096A6DD4"/>
    <w:rsid w:val="096B1B3E"/>
    <w:rsid w:val="096B7185"/>
    <w:rsid w:val="096B7D90"/>
    <w:rsid w:val="096D3B08"/>
    <w:rsid w:val="096D7A52"/>
    <w:rsid w:val="096F5AD2"/>
    <w:rsid w:val="09702969"/>
    <w:rsid w:val="09716CD0"/>
    <w:rsid w:val="09722ECD"/>
    <w:rsid w:val="09723D05"/>
    <w:rsid w:val="09727371"/>
    <w:rsid w:val="0973464C"/>
    <w:rsid w:val="097430E9"/>
    <w:rsid w:val="097525CD"/>
    <w:rsid w:val="09756E61"/>
    <w:rsid w:val="09772BD9"/>
    <w:rsid w:val="097740F0"/>
    <w:rsid w:val="0977515E"/>
    <w:rsid w:val="09780AE4"/>
    <w:rsid w:val="0978425B"/>
    <w:rsid w:val="09795C5D"/>
    <w:rsid w:val="09795E36"/>
    <w:rsid w:val="097A111F"/>
    <w:rsid w:val="097A6225"/>
    <w:rsid w:val="097C1F9D"/>
    <w:rsid w:val="097E09D7"/>
    <w:rsid w:val="097E2118"/>
    <w:rsid w:val="097E7AC3"/>
    <w:rsid w:val="097F1A8E"/>
    <w:rsid w:val="097F3BEC"/>
    <w:rsid w:val="097F75FA"/>
    <w:rsid w:val="09801565"/>
    <w:rsid w:val="09810F23"/>
    <w:rsid w:val="09811362"/>
    <w:rsid w:val="09816AA4"/>
    <w:rsid w:val="098307E8"/>
    <w:rsid w:val="098350DA"/>
    <w:rsid w:val="0985666A"/>
    <w:rsid w:val="0985741A"/>
    <w:rsid w:val="098606A9"/>
    <w:rsid w:val="098826F0"/>
    <w:rsid w:val="098837B8"/>
    <w:rsid w:val="09884C41"/>
    <w:rsid w:val="0988635C"/>
    <w:rsid w:val="098A06BB"/>
    <w:rsid w:val="098A50B6"/>
    <w:rsid w:val="098B21E0"/>
    <w:rsid w:val="098B3F8E"/>
    <w:rsid w:val="098B7AD6"/>
    <w:rsid w:val="098C5B36"/>
    <w:rsid w:val="09901D34"/>
    <w:rsid w:val="09905A49"/>
    <w:rsid w:val="099077F7"/>
    <w:rsid w:val="0991558A"/>
    <w:rsid w:val="0992284B"/>
    <w:rsid w:val="09931095"/>
    <w:rsid w:val="09934F36"/>
    <w:rsid w:val="09935912"/>
    <w:rsid w:val="0995305F"/>
    <w:rsid w:val="09972933"/>
    <w:rsid w:val="09976DD7"/>
    <w:rsid w:val="0998414F"/>
    <w:rsid w:val="099866AB"/>
    <w:rsid w:val="099923F4"/>
    <w:rsid w:val="09992B4F"/>
    <w:rsid w:val="099948FD"/>
    <w:rsid w:val="099955DF"/>
    <w:rsid w:val="099A0675"/>
    <w:rsid w:val="099A5BF7"/>
    <w:rsid w:val="099A652E"/>
    <w:rsid w:val="099E3CC2"/>
    <w:rsid w:val="09A01D59"/>
    <w:rsid w:val="09A11A04"/>
    <w:rsid w:val="09A137B2"/>
    <w:rsid w:val="09A13D71"/>
    <w:rsid w:val="09A20370"/>
    <w:rsid w:val="09A3304A"/>
    <w:rsid w:val="09A357EA"/>
    <w:rsid w:val="09A3752A"/>
    <w:rsid w:val="09A46AFB"/>
    <w:rsid w:val="09A47185"/>
    <w:rsid w:val="09A71DD4"/>
    <w:rsid w:val="09A77098"/>
    <w:rsid w:val="09A91622"/>
    <w:rsid w:val="09A92667"/>
    <w:rsid w:val="09AA4D5C"/>
    <w:rsid w:val="09AD03A9"/>
    <w:rsid w:val="09AD381B"/>
    <w:rsid w:val="09AD4E6C"/>
    <w:rsid w:val="09AE6375"/>
    <w:rsid w:val="09AF4121"/>
    <w:rsid w:val="09AF5ECF"/>
    <w:rsid w:val="09B07E99"/>
    <w:rsid w:val="09B1134A"/>
    <w:rsid w:val="09B24440"/>
    <w:rsid w:val="09B258F6"/>
    <w:rsid w:val="09B2776D"/>
    <w:rsid w:val="09B41737"/>
    <w:rsid w:val="09B43B5E"/>
    <w:rsid w:val="09B554AF"/>
    <w:rsid w:val="09B71227"/>
    <w:rsid w:val="09B741D7"/>
    <w:rsid w:val="09B87BA9"/>
    <w:rsid w:val="09B907C2"/>
    <w:rsid w:val="09B93488"/>
    <w:rsid w:val="09BA2AC6"/>
    <w:rsid w:val="09BB5BCC"/>
    <w:rsid w:val="09BC05EC"/>
    <w:rsid w:val="09BC683E"/>
    <w:rsid w:val="09BD1E08"/>
    <w:rsid w:val="09BE25B6"/>
    <w:rsid w:val="09BE4364"/>
    <w:rsid w:val="09BF1421"/>
    <w:rsid w:val="09C0632E"/>
    <w:rsid w:val="09C11ECD"/>
    <w:rsid w:val="09C163D5"/>
    <w:rsid w:val="09C24589"/>
    <w:rsid w:val="09C33728"/>
    <w:rsid w:val="09C3710A"/>
    <w:rsid w:val="09C42197"/>
    <w:rsid w:val="09C422E1"/>
    <w:rsid w:val="09C45A01"/>
    <w:rsid w:val="09C643F9"/>
    <w:rsid w:val="09C6602A"/>
    <w:rsid w:val="09C75F1C"/>
    <w:rsid w:val="09C83435"/>
    <w:rsid w:val="09C90142"/>
    <w:rsid w:val="09C94AB7"/>
    <w:rsid w:val="09CA0F5B"/>
    <w:rsid w:val="09CB5F78"/>
    <w:rsid w:val="09CB6337"/>
    <w:rsid w:val="09CC046D"/>
    <w:rsid w:val="09CC2422"/>
    <w:rsid w:val="09CC3DEF"/>
    <w:rsid w:val="09CD45A7"/>
    <w:rsid w:val="09D01D63"/>
    <w:rsid w:val="09D04097"/>
    <w:rsid w:val="09D12E4F"/>
    <w:rsid w:val="09D1411B"/>
    <w:rsid w:val="09D168B1"/>
    <w:rsid w:val="09D21BBD"/>
    <w:rsid w:val="09D26061"/>
    <w:rsid w:val="09D26DF8"/>
    <w:rsid w:val="09D27E0F"/>
    <w:rsid w:val="09D320A3"/>
    <w:rsid w:val="09D33507"/>
    <w:rsid w:val="09D4008F"/>
    <w:rsid w:val="09D45935"/>
    <w:rsid w:val="09D502AF"/>
    <w:rsid w:val="09D516AE"/>
    <w:rsid w:val="09D52C60"/>
    <w:rsid w:val="09D62205"/>
    <w:rsid w:val="09D64793"/>
    <w:rsid w:val="09D75426"/>
    <w:rsid w:val="09D77A57"/>
    <w:rsid w:val="09DA6CC4"/>
    <w:rsid w:val="09DA73B0"/>
    <w:rsid w:val="09DB4F16"/>
    <w:rsid w:val="09DC0C8E"/>
    <w:rsid w:val="09DC0E3C"/>
    <w:rsid w:val="09DC2A3C"/>
    <w:rsid w:val="09DC47EA"/>
    <w:rsid w:val="09DD3006"/>
    <w:rsid w:val="09DE4E24"/>
    <w:rsid w:val="09DF42DA"/>
    <w:rsid w:val="09E07D73"/>
    <w:rsid w:val="09E10052"/>
    <w:rsid w:val="09E1634A"/>
    <w:rsid w:val="09E23546"/>
    <w:rsid w:val="09E34732"/>
    <w:rsid w:val="09E37D6D"/>
    <w:rsid w:val="09E440FB"/>
    <w:rsid w:val="09E638BB"/>
    <w:rsid w:val="09E70F20"/>
    <w:rsid w:val="09E73C62"/>
    <w:rsid w:val="09E75FE1"/>
    <w:rsid w:val="09E804EF"/>
    <w:rsid w:val="09E8566F"/>
    <w:rsid w:val="09E87633"/>
    <w:rsid w:val="09EA0C98"/>
    <w:rsid w:val="09EA39F6"/>
    <w:rsid w:val="09EC53EB"/>
    <w:rsid w:val="09EC7123"/>
    <w:rsid w:val="09ED2E9B"/>
    <w:rsid w:val="09ED69F7"/>
    <w:rsid w:val="09EF6C13"/>
    <w:rsid w:val="09F00295"/>
    <w:rsid w:val="09F064E7"/>
    <w:rsid w:val="09F07E2E"/>
    <w:rsid w:val="09F10BEF"/>
    <w:rsid w:val="09F10CF8"/>
    <w:rsid w:val="09F204B1"/>
    <w:rsid w:val="09F22188"/>
    <w:rsid w:val="09F2400E"/>
    <w:rsid w:val="09F24D59"/>
    <w:rsid w:val="09F273A4"/>
    <w:rsid w:val="09F37982"/>
    <w:rsid w:val="09F46E7E"/>
    <w:rsid w:val="09F479B8"/>
    <w:rsid w:val="09F47D86"/>
    <w:rsid w:val="09F506BC"/>
    <w:rsid w:val="09F50F73"/>
    <w:rsid w:val="09F558AC"/>
    <w:rsid w:val="09F671BA"/>
    <w:rsid w:val="09F77876"/>
    <w:rsid w:val="09F80085"/>
    <w:rsid w:val="09F85FFA"/>
    <w:rsid w:val="09FA4EC1"/>
    <w:rsid w:val="09FB1114"/>
    <w:rsid w:val="09FB7366"/>
    <w:rsid w:val="09FD0397"/>
    <w:rsid w:val="09FD729B"/>
    <w:rsid w:val="09FD7DA4"/>
    <w:rsid w:val="09FE6E56"/>
    <w:rsid w:val="09FF2C83"/>
    <w:rsid w:val="0A0017C2"/>
    <w:rsid w:val="0A003B59"/>
    <w:rsid w:val="0A00672A"/>
    <w:rsid w:val="0A00735D"/>
    <w:rsid w:val="0A012E58"/>
    <w:rsid w:val="0A026946"/>
    <w:rsid w:val="0A03356F"/>
    <w:rsid w:val="0A03366B"/>
    <w:rsid w:val="0A03455B"/>
    <w:rsid w:val="0A04528F"/>
    <w:rsid w:val="0A051BCB"/>
    <w:rsid w:val="0A052592"/>
    <w:rsid w:val="0A053D41"/>
    <w:rsid w:val="0A07465F"/>
    <w:rsid w:val="0A075BF1"/>
    <w:rsid w:val="0A075D0B"/>
    <w:rsid w:val="0A080C44"/>
    <w:rsid w:val="0A082BB8"/>
    <w:rsid w:val="0A083831"/>
    <w:rsid w:val="0A085D81"/>
    <w:rsid w:val="0A0A1357"/>
    <w:rsid w:val="0A0A189F"/>
    <w:rsid w:val="0A0A2B51"/>
    <w:rsid w:val="0A0B50CF"/>
    <w:rsid w:val="0A0B7FBA"/>
    <w:rsid w:val="0A0D0E47"/>
    <w:rsid w:val="0A0D3E89"/>
    <w:rsid w:val="0A0D52EB"/>
    <w:rsid w:val="0A0E2DF1"/>
    <w:rsid w:val="0A0F4281"/>
    <w:rsid w:val="0A0F4BBF"/>
    <w:rsid w:val="0A0F696E"/>
    <w:rsid w:val="0A1026E6"/>
    <w:rsid w:val="0A107855"/>
    <w:rsid w:val="0A116B8A"/>
    <w:rsid w:val="0A12173F"/>
    <w:rsid w:val="0A121772"/>
    <w:rsid w:val="0A123319"/>
    <w:rsid w:val="0A130636"/>
    <w:rsid w:val="0A1421D6"/>
    <w:rsid w:val="0A145F49"/>
    <w:rsid w:val="0A157CFC"/>
    <w:rsid w:val="0A160077"/>
    <w:rsid w:val="0A164161"/>
    <w:rsid w:val="0A164C9A"/>
    <w:rsid w:val="0A165F4E"/>
    <w:rsid w:val="0A171CC6"/>
    <w:rsid w:val="0A193C90"/>
    <w:rsid w:val="0A1B2824"/>
    <w:rsid w:val="0A1D552E"/>
    <w:rsid w:val="0A1E4E03"/>
    <w:rsid w:val="0A200B7B"/>
    <w:rsid w:val="0A2148F3"/>
    <w:rsid w:val="0A222B45"/>
    <w:rsid w:val="0A235D25"/>
    <w:rsid w:val="0A24373D"/>
    <w:rsid w:val="0A2521F2"/>
    <w:rsid w:val="0A252635"/>
    <w:rsid w:val="0A25532A"/>
    <w:rsid w:val="0A263528"/>
    <w:rsid w:val="0A287A2F"/>
    <w:rsid w:val="0A2A37A7"/>
    <w:rsid w:val="0A2C1FE5"/>
    <w:rsid w:val="0A2C751F"/>
    <w:rsid w:val="0A2D14EA"/>
    <w:rsid w:val="0A2D3298"/>
    <w:rsid w:val="0A2F5262"/>
    <w:rsid w:val="0A2F5774"/>
    <w:rsid w:val="0A3035BA"/>
    <w:rsid w:val="0A322C55"/>
    <w:rsid w:val="0A32791E"/>
    <w:rsid w:val="0A334D52"/>
    <w:rsid w:val="0A342878"/>
    <w:rsid w:val="0A375EC4"/>
    <w:rsid w:val="0A376C12"/>
    <w:rsid w:val="0A38475C"/>
    <w:rsid w:val="0A393703"/>
    <w:rsid w:val="0A3960E0"/>
    <w:rsid w:val="0A397E8E"/>
    <w:rsid w:val="0A3A0FC1"/>
    <w:rsid w:val="0A3B7763"/>
    <w:rsid w:val="0A3C1915"/>
    <w:rsid w:val="0A3D172D"/>
    <w:rsid w:val="0A3D797F"/>
    <w:rsid w:val="0A3E36F7"/>
    <w:rsid w:val="0A3F32B3"/>
    <w:rsid w:val="0A4004F5"/>
    <w:rsid w:val="0A40121D"/>
    <w:rsid w:val="0A4207D0"/>
    <w:rsid w:val="0A432ABB"/>
    <w:rsid w:val="0A4350F4"/>
    <w:rsid w:val="0A441A30"/>
    <w:rsid w:val="0A4505E1"/>
    <w:rsid w:val="0A454A85"/>
    <w:rsid w:val="0A456833"/>
    <w:rsid w:val="0A457CB0"/>
    <w:rsid w:val="0A463F28"/>
    <w:rsid w:val="0A466F21"/>
    <w:rsid w:val="0A4707FD"/>
    <w:rsid w:val="0A474359"/>
    <w:rsid w:val="0A4800D1"/>
    <w:rsid w:val="0A4A209B"/>
    <w:rsid w:val="0A4A2E47"/>
    <w:rsid w:val="0A4A5BF8"/>
    <w:rsid w:val="0A4A7645"/>
    <w:rsid w:val="0A4B01C2"/>
    <w:rsid w:val="0A4B1903"/>
    <w:rsid w:val="0A4C2EA3"/>
    <w:rsid w:val="0A4C7BC2"/>
    <w:rsid w:val="0A4D4223"/>
    <w:rsid w:val="0A4D56E8"/>
    <w:rsid w:val="0A4D5FB1"/>
    <w:rsid w:val="0A4F320E"/>
    <w:rsid w:val="0A4F76B2"/>
    <w:rsid w:val="0A516F86"/>
    <w:rsid w:val="0A522CFE"/>
    <w:rsid w:val="0A530F50"/>
    <w:rsid w:val="0A5371A2"/>
    <w:rsid w:val="0A53722C"/>
    <w:rsid w:val="0A546E1E"/>
    <w:rsid w:val="0A555245"/>
    <w:rsid w:val="0A562C0B"/>
    <w:rsid w:val="0A56459C"/>
    <w:rsid w:val="0A56558B"/>
    <w:rsid w:val="0A570314"/>
    <w:rsid w:val="0A5830C6"/>
    <w:rsid w:val="0A591154"/>
    <w:rsid w:val="0A5A6827"/>
    <w:rsid w:val="0A5B1BB3"/>
    <w:rsid w:val="0A5B70CB"/>
    <w:rsid w:val="0A5B7CB7"/>
    <w:rsid w:val="0A5C246C"/>
    <w:rsid w:val="0A5D1DCF"/>
    <w:rsid w:val="0A5D2B12"/>
    <w:rsid w:val="0A5D2E2D"/>
    <w:rsid w:val="0A5E16A3"/>
    <w:rsid w:val="0A5E4890"/>
    <w:rsid w:val="0A60366D"/>
    <w:rsid w:val="0A60541B"/>
    <w:rsid w:val="0A6071C9"/>
    <w:rsid w:val="0A6273E5"/>
    <w:rsid w:val="0A631A2D"/>
    <w:rsid w:val="0A634F0B"/>
    <w:rsid w:val="0A636CB9"/>
    <w:rsid w:val="0A640151"/>
    <w:rsid w:val="0A64315D"/>
    <w:rsid w:val="0A650C83"/>
    <w:rsid w:val="0A6669DE"/>
    <w:rsid w:val="0A670558"/>
    <w:rsid w:val="0A6749FB"/>
    <w:rsid w:val="0A680E2B"/>
    <w:rsid w:val="0A6842D0"/>
    <w:rsid w:val="0A6A0048"/>
    <w:rsid w:val="0A6A629A"/>
    <w:rsid w:val="0A6C0264"/>
    <w:rsid w:val="0A6C2012"/>
    <w:rsid w:val="0A6C237D"/>
    <w:rsid w:val="0A6D18E6"/>
    <w:rsid w:val="0A6D7B38"/>
    <w:rsid w:val="0A6E08F0"/>
    <w:rsid w:val="0A70218E"/>
    <w:rsid w:val="0A7174EA"/>
    <w:rsid w:val="0A726EFC"/>
    <w:rsid w:val="0A7333A0"/>
    <w:rsid w:val="0A73514E"/>
    <w:rsid w:val="0A742C74"/>
    <w:rsid w:val="0A7669ED"/>
    <w:rsid w:val="0A770C7B"/>
    <w:rsid w:val="0A782765"/>
    <w:rsid w:val="0A786C09"/>
    <w:rsid w:val="0A79472F"/>
    <w:rsid w:val="0A79652B"/>
    <w:rsid w:val="0A7B2255"/>
    <w:rsid w:val="0A7B30D3"/>
    <w:rsid w:val="0A7B4003"/>
    <w:rsid w:val="0A7E017B"/>
    <w:rsid w:val="0A7E5DA1"/>
    <w:rsid w:val="0A801619"/>
    <w:rsid w:val="0A80786B"/>
    <w:rsid w:val="0A8235E3"/>
    <w:rsid w:val="0A8239A6"/>
    <w:rsid w:val="0A825391"/>
    <w:rsid w:val="0A841A94"/>
    <w:rsid w:val="0A845973"/>
    <w:rsid w:val="0A84735B"/>
    <w:rsid w:val="0A854E82"/>
    <w:rsid w:val="0A866F37"/>
    <w:rsid w:val="0A8729A8"/>
    <w:rsid w:val="0A875844"/>
    <w:rsid w:val="0A886CD4"/>
    <w:rsid w:val="0A8A5906"/>
    <w:rsid w:val="0A8B5E2B"/>
    <w:rsid w:val="0A8C5E53"/>
    <w:rsid w:val="0A8D2FA0"/>
    <w:rsid w:val="0A8E01DA"/>
    <w:rsid w:val="0A8E54DA"/>
    <w:rsid w:val="0A8F14B1"/>
    <w:rsid w:val="0A8F3B95"/>
    <w:rsid w:val="0A90249B"/>
    <w:rsid w:val="0A90639B"/>
    <w:rsid w:val="0A913826"/>
    <w:rsid w:val="0A92134D"/>
    <w:rsid w:val="0A936E99"/>
    <w:rsid w:val="0A96708F"/>
    <w:rsid w:val="0A974F8C"/>
    <w:rsid w:val="0A99092D"/>
    <w:rsid w:val="0A9D041D"/>
    <w:rsid w:val="0A9D11AB"/>
    <w:rsid w:val="0A9D21CB"/>
    <w:rsid w:val="0A9D7A6A"/>
    <w:rsid w:val="0A9F5A61"/>
    <w:rsid w:val="0AA25A34"/>
    <w:rsid w:val="0AA34D2A"/>
    <w:rsid w:val="0AA47D81"/>
    <w:rsid w:val="0AA53386"/>
    <w:rsid w:val="0AA55524"/>
    <w:rsid w:val="0AA62962"/>
    <w:rsid w:val="0AA7304A"/>
    <w:rsid w:val="0AA96DC2"/>
    <w:rsid w:val="0AAA37AF"/>
    <w:rsid w:val="0AAB37DC"/>
    <w:rsid w:val="0AAC4357"/>
    <w:rsid w:val="0AAE0CA9"/>
    <w:rsid w:val="0AAE2130"/>
    <w:rsid w:val="0AAE43D8"/>
    <w:rsid w:val="0AAF1EFF"/>
    <w:rsid w:val="0AB05FE5"/>
    <w:rsid w:val="0AB063A2"/>
    <w:rsid w:val="0AB102CC"/>
    <w:rsid w:val="0AB14A93"/>
    <w:rsid w:val="0AB14D9C"/>
    <w:rsid w:val="0AB15C77"/>
    <w:rsid w:val="0AB17D93"/>
    <w:rsid w:val="0AB319EF"/>
    <w:rsid w:val="0AB37BE1"/>
    <w:rsid w:val="0AB4355E"/>
    <w:rsid w:val="0AB43CEF"/>
    <w:rsid w:val="0AB44861"/>
    <w:rsid w:val="0AB47432"/>
    <w:rsid w:val="0AB47515"/>
    <w:rsid w:val="0AB72AB4"/>
    <w:rsid w:val="0AB75C4D"/>
    <w:rsid w:val="0AB80DB3"/>
    <w:rsid w:val="0AB822B8"/>
    <w:rsid w:val="0AB85257"/>
    <w:rsid w:val="0AB87C7F"/>
    <w:rsid w:val="0AB94B2B"/>
    <w:rsid w:val="0ABA0F86"/>
    <w:rsid w:val="0ABA2172"/>
    <w:rsid w:val="0ABA25A1"/>
    <w:rsid w:val="0ABA2D7D"/>
    <w:rsid w:val="0ABB08A3"/>
    <w:rsid w:val="0ABB4D47"/>
    <w:rsid w:val="0ABB7B44"/>
    <w:rsid w:val="0ABD461B"/>
    <w:rsid w:val="0ABD7054"/>
    <w:rsid w:val="0ABE2142"/>
    <w:rsid w:val="0ABE5002"/>
    <w:rsid w:val="0ABF5336"/>
    <w:rsid w:val="0AC0410C"/>
    <w:rsid w:val="0AC05EBA"/>
    <w:rsid w:val="0AC110ED"/>
    <w:rsid w:val="0AC15ADE"/>
    <w:rsid w:val="0AC25820"/>
    <w:rsid w:val="0AC27C6A"/>
    <w:rsid w:val="0AC27E20"/>
    <w:rsid w:val="0AC3490A"/>
    <w:rsid w:val="0AC37758"/>
    <w:rsid w:val="0AC378CE"/>
    <w:rsid w:val="0AC41E4E"/>
    <w:rsid w:val="0AC459AA"/>
    <w:rsid w:val="0AC46255"/>
    <w:rsid w:val="0AC51722"/>
    <w:rsid w:val="0AC674F4"/>
    <w:rsid w:val="0AC97464"/>
    <w:rsid w:val="0ACB508B"/>
    <w:rsid w:val="0ACC2A7A"/>
    <w:rsid w:val="0ACC2AB1"/>
    <w:rsid w:val="0ACC56B9"/>
    <w:rsid w:val="0ACE05D7"/>
    <w:rsid w:val="0ACF434F"/>
    <w:rsid w:val="0AD021F9"/>
    <w:rsid w:val="0AD02B1E"/>
    <w:rsid w:val="0AD02CD3"/>
    <w:rsid w:val="0AD17E5F"/>
    <w:rsid w:val="0AD26E3F"/>
    <w:rsid w:val="0AD329BC"/>
    <w:rsid w:val="0AD35565"/>
    <w:rsid w:val="0AD41965"/>
    <w:rsid w:val="0AD85BFB"/>
    <w:rsid w:val="0AD876A7"/>
    <w:rsid w:val="0AD92C74"/>
    <w:rsid w:val="0AD9364E"/>
    <w:rsid w:val="0AD96646"/>
    <w:rsid w:val="0AD96F7B"/>
    <w:rsid w:val="0ADB2CF4"/>
    <w:rsid w:val="0ADD081A"/>
    <w:rsid w:val="0ADD6A6C"/>
    <w:rsid w:val="0ADD7203"/>
    <w:rsid w:val="0ADE0B25"/>
    <w:rsid w:val="0ADF34FA"/>
    <w:rsid w:val="0ADF3B2F"/>
    <w:rsid w:val="0AE0655C"/>
    <w:rsid w:val="0AE12ABB"/>
    <w:rsid w:val="0AE13C20"/>
    <w:rsid w:val="0AE147AE"/>
    <w:rsid w:val="0AE20526"/>
    <w:rsid w:val="0AE24082"/>
    <w:rsid w:val="0AE36CB4"/>
    <w:rsid w:val="0AE4097E"/>
    <w:rsid w:val="0AE44DD0"/>
    <w:rsid w:val="0AE459F3"/>
    <w:rsid w:val="0AE53B72"/>
    <w:rsid w:val="0AE56260"/>
    <w:rsid w:val="0AE5709B"/>
    <w:rsid w:val="0AE628DC"/>
    <w:rsid w:val="0AE666F7"/>
    <w:rsid w:val="0AE71A68"/>
    <w:rsid w:val="0AE771CF"/>
    <w:rsid w:val="0AE778EA"/>
    <w:rsid w:val="0AE93662"/>
    <w:rsid w:val="0AE950E4"/>
    <w:rsid w:val="0AE956D5"/>
    <w:rsid w:val="0AEB73DB"/>
    <w:rsid w:val="0AEC6B8A"/>
    <w:rsid w:val="0AEC6CAF"/>
    <w:rsid w:val="0AEE2A27"/>
    <w:rsid w:val="0AEE6ECB"/>
    <w:rsid w:val="0AEF054D"/>
    <w:rsid w:val="0AEF6651"/>
    <w:rsid w:val="0AF03869"/>
    <w:rsid w:val="0AF04AB4"/>
    <w:rsid w:val="0AF078B1"/>
    <w:rsid w:val="0AF10769"/>
    <w:rsid w:val="0AF12517"/>
    <w:rsid w:val="0AF142C5"/>
    <w:rsid w:val="0AF24BB4"/>
    <w:rsid w:val="0AF366EB"/>
    <w:rsid w:val="0AF51502"/>
    <w:rsid w:val="0AF618DB"/>
    <w:rsid w:val="0AF67B2D"/>
    <w:rsid w:val="0AF73AA0"/>
    <w:rsid w:val="0AF73FD1"/>
    <w:rsid w:val="0AF76584"/>
    <w:rsid w:val="0AF81AF7"/>
    <w:rsid w:val="0AFA04CB"/>
    <w:rsid w:val="0AFA13CC"/>
    <w:rsid w:val="0AFA6591"/>
    <w:rsid w:val="0AFA6758"/>
    <w:rsid w:val="0AFB1BC7"/>
    <w:rsid w:val="0AFC1873"/>
    <w:rsid w:val="0AFC7E44"/>
    <w:rsid w:val="0AFD3682"/>
    <w:rsid w:val="0AFE014E"/>
    <w:rsid w:val="0AFE104F"/>
    <w:rsid w:val="0AFE1C93"/>
    <w:rsid w:val="0AFE5977"/>
    <w:rsid w:val="0AFF69E2"/>
    <w:rsid w:val="0AFF6E07"/>
    <w:rsid w:val="0B00275A"/>
    <w:rsid w:val="0B004F3E"/>
    <w:rsid w:val="0B0142F8"/>
    <w:rsid w:val="0B016BFE"/>
    <w:rsid w:val="0B022976"/>
    <w:rsid w:val="0B024724"/>
    <w:rsid w:val="0B030249"/>
    <w:rsid w:val="0B04224A"/>
    <w:rsid w:val="0B047927"/>
    <w:rsid w:val="0B071D3B"/>
    <w:rsid w:val="0B073AE9"/>
    <w:rsid w:val="0B0815FA"/>
    <w:rsid w:val="0B082A4D"/>
    <w:rsid w:val="0B0936DA"/>
    <w:rsid w:val="0B095DD1"/>
    <w:rsid w:val="0B0A5387"/>
    <w:rsid w:val="0B0B360F"/>
    <w:rsid w:val="0B0B6A44"/>
    <w:rsid w:val="0B0C04BB"/>
    <w:rsid w:val="0B0C10FF"/>
    <w:rsid w:val="0B0C48DA"/>
    <w:rsid w:val="0B0C6DAA"/>
    <w:rsid w:val="0B106E41"/>
    <w:rsid w:val="0B110A8E"/>
    <w:rsid w:val="0B132F9F"/>
    <w:rsid w:val="0B136931"/>
    <w:rsid w:val="0B14427B"/>
    <w:rsid w:val="0B161F7E"/>
    <w:rsid w:val="0B16508E"/>
    <w:rsid w:val="0B16599D"/>
    <w:rsid w:val="0B1667CF"/>
    <w:rsid w:val="0B1701D0"/>
    <w:rsid w:val="0B183F48"/>
    <w:rsid w:val="0B185CF6"/>
    <w:rsid w:val="0B187AA4"/>
    <w:rsid w:val="0B1968C4"/>
    <w:rsid w:val="0B1A22B9"/>
    <w:rsid w:val="0B1A2429"/>
    <w:rsid w:val="0B1A33AA"/>
    <w:rsid w:val="0B1A381C"/>
    <w:rsid w:val="0B1A45C6"/>
    <w:rsid w:val="0B1A65E0"/>
    <w:rsid w:val="0B1B1342"/>
    <w:rsid w:val="0B1C3A38"/>
    <w:rsid w:val="0B1C57E6"/>
    <w:rsid w:val="0B1C6262"/>
    <w:rsid w:val="0B1D155E"/>
    <w:rsid w:val="0B1D50BA"/>
    <w:rsid w:val="0B1E3820"/>
    <w:rsid w:val="0B1F0525"/>
    <w:rsid w:val="0B1F3EE9"/>
    <w:rsid w:val="0B20425A"/>
    <w:rsid w:val="0B204BAA"/>
    <w:rsid w:val="0B212EE4"/>
    <w:rsid w:val="0B2226D0"/>
    <w:rsid w:val="0B224024"/>
    <w:rsid w:val="0B224D72"/>
    <w:rsid w:val="0B226B74"/>
    <w:rsid w:val="0B2428ED"/>
    <w:rsid w:val="0B24469B"/>
    <w:rsid w:val="0B246449"/>
    <w:rsid w:val="0B2515D4"/>
    <w:rsid w:val="0B260413"/>
    <w:rsid w:val="0B266665"/>
    <w:rsid w:val="0B27455B"/>
    <w:rsid w:val="0B2819C8"/>
    <w:rsid w:val="0B28358B"/>
    <w:rsid w:val="0B2874A3"/>
    <w:rsid w:val="0B287869"/>
    <w:rsid w:val="0B293621"/>
    <w:rsid w:val="0B297F03"/>
    <w:rsid w:val="0B2A0882"/>
    <w:rsid w:val="0B2A32B6"/>
    <w:rsid w:val="0B2B3C7B"/>
    <w:rsid w:val="0B2B5A29"/>
    <w:rsid w:val="0B2B6B4C"/>
    <w:rsid w:val="0B2B73F8"/>
    <w:rsid w:val="0B2E10C2"/>
    <w:rsid w:val="0B2E376B"/>
    <w:rsid w:val="0B2E5519"/>
    <w:rsid w:val="0B2E5B6B"/>
    <w:rsid w:val="0B2E6522"/>
    <w:rsid w:val="0B2F77D2"/>
    <w:rsid w:val="0B300371"/>
    <w:rsid w:val="0B312440"/>
    <w:rsid w:val="0B316A0C"/>
    <w:rsid w:val="0B332DB3"/>
    <w:rsid w:val="0B341D58"/>
    <w:rsid w:val="0B3545A0"/>
    <w:rsid w:val="0B354AFA"/>
    <w:rsid w:val="0B3556F2"/>
    <w:rsid w:val="0B356000"/>
    <w:rsid w:val="0B3568A8"/>
    <w:rsid w:val="0B357B6B"/>
    <w:rsid w:val="0B361AA6"/>
    <w:rsid w:val="0B3643CE"/>
    <w:rsid w:val="0B36617C"/>
    <w:rsid w:val="0B372620"/>
    <w:rsid w:val="0B375B07"/>
    <w:rsid w:val="0B381EF4"/>
    <w:rsid w:val="0B383839"/>
    <w:rsid w:val="0B386398"/>
    <w:rsid w:val="0B386F97"/>
    <w:rsid w:val="0B3A5C6C"/>
    <w:rsid w:val="0B3B1FAA"/>
    <w:rsid w:val="0B3B3792"/>
    <w:rsid w:val="0B3C6615"/>
    <w:rsid w:val="0B3D0738"/>
    <w:rsid w:val="0B3D1979"/>
    <w:rsid w:val="0B3D39AE"/>
    <w:rsid w:val="0B3D49DD"/>
    <w:rsid w:val="0B3D71BF"/>
    <w:rsid w:val="0B3E05FA"/>
    <w:rsid w:val="0B3E786F"/>
    <w:rsid w:val="0B3F6D6F"/>
    <w:rsid w:val="0B404ED0"/>
    <w:rsid w:val="0B40677D"/>
    <w:rsid w:val="0B41349E"/>
    <w:rsid w:val="0B416FFB"/>
    <w:rsid w:val="0B422D73"/>
    <w:rsid w:val="0B4270DD"/>
    <w:rsid w:val="0B452CDC"/>
    <w:rsid w:val="0B460AB5"/>
    <w:rsid w:val="0B470389"/>
    <w:rsid w:val="0B475473"/>
    <w:rsid w:val="0B48482D"/>
    <w:rsid w:val="0B492353"/>
    <w:rsid w:val="0B4963E6"/>
    <w:rsid w:val="0B4B60CB"/>
    <w:rsid w:val="0B4D146E"/>
    <w:rsid w:val="0B4E3A9D"/>
    <w:rsid w:val="0B4E5123"/>
    <w:rsid w:val="0B5036E2"/>
    <w:rsid w:val="0B50723E"/>
    <w:rsid w:val="0B510DD7"/>
    <w:rsid w:val="0B516BC0"/>
    <w:rsid w:val="0B547E9C"/>
    <w:rsid w:val="0B5670B0"/>
    <w:rsid w:val="0B574A70"/>
    <w:rsid w:val="0B5807E8"/>
    <w:rsid w:val="0B582596"/>
    <w:rsid w:val="0B586924"/>
    <w:rsid w:val="0B5A4560"/>
    <w:rsid w:val="0B5A630E"/>
    <w:rsid w:val="0B5A7D2C"/>
    <w:rsid w:val="0B5C5BE2"/>
    <w:rsid w:val="0B5D1214"/>
    <w:rsid w:val="0B5F07EF"/>
    <w:rsid w:val="0B5F1B77"/>
    <w:rsid w:val="0B61144B"/>
    <w:rsid w:val="0B6128A8"/>
    <w:rsid w:val="0B61769D"/>
    <w:rsid w:val="0B6251C3"/>
    <w:rsid w:val="0B640F3B"/>
    <w:rsid w:val="0B643295"/>
    <w:rsid w:val="0B645B31"/>
    <w:rsid w:val="0B651B02"/>
    <w:rsid w:val="0B655D05"/>
    <w:rsid w:val="0B657590"/>
    <w:rsid w:val="0B6727D9"/>
    <w:rsid w:val="0B68215D"/>
    <w:rsid w:val="0B684647"/>
    <w:rsid w:val="0B68561E"/>
    <w:rsid w:val="0B6900CF"/>
    <w:rsid w:val="0B6938D8"/>
    <w:rsid w:val="0B69624C"/>
    <w:rsid w:val="0B696489"/>
    <w:rsid w:val="0B6A3567"/>
    <w:rsid w:val="0B6C32B6"/>
    <w:rsid w:val="0B6D172F"/>
    <w:rsid w:val="0B6D57EE"/>
    <w:rsid w:val="0B6E1DBA"/>
    <w:rsid w:val="0B6E332D"/>
    <w:rsid w:val="0B6E3B68"/>
    <w:rsid w:val="0B6E5916"/>
    <w:rsid w:val="0B6F1C37"/>
    <w:rsid w:val="0B6F4ED0"/>
    <w:rsid w:val="0B7030D5"/>
    <w:rsid w:val="0B7033C3"/>
    <w:rsid w:val="0B703A4D"/>
    <w:rsid w:val="0B716792"/>
    <w:rsid w:val="0B7218AA"/>
    <w:rsid w:val="0B725406"/>
    <w:rsid w:val="0B753148"/>
    <w:rsid w:val="0B754196"/>
    <w:rsid w:val="0B754EF6"/>
    <w:rsid w:val="0B770C6E"/>
    <w:rsid w:val="0B770F14"/>
    <w:rsid w:val="0B776EC0"/>
    <w:rsid w:val="0B785B6B"/>
    <w:rsid w:val="0B792C38"/>
    <w:rsid w:val="0B7A69B0"/>
    <w:rsid w:val="0B7B42CA"/>
    <w:rsid w:val="0B7B7B9F"/>
    <w:rsid w:val="0B7C2AB6"/>
    <w:rsid w:val="0B7C423B"/>
    <w:rsid w:val="0B7E46B5"/>
    <w:rsid w:val="0B7F7B23"/>
    <w:rsid w:val="0B803D77"/>
    <w:rsid w:val="0B8051E1"/>
    <w:rsid w:val="0B81389B"/>
    <w:rsid w:val="0B813CF8"/>
    <w:rsid w:val="0B816C1D"/>
    <w:rsid w:val="0B832C7E"/>
    <w:rsid w:val="0B837613"/>
    <w:rsid w:val="0B841A10"/>
    <w:rsid w:val="0B845139"/>
    <w:rsid w:val="0B847AE9"/>
    <w:rsid w:val="0B860EB1"/>
    <w:rsid w:val="0B873C40"/>
    <w:rsid w:val="0B8902C9"/>
    <w:rsid w:val="0B8909A2"/>
    <w:rsid w:val="0B892780"/>
    <w:rsid w:val="0B8B2DEC"/>
    <w:rsid w:val="0B8D0492"/>
    <w:rsid w:val="0B8E420A"/>
    <w:rsid w:val="0B8F0122"/>
    <w:rsid w:val="0B9026B1"/>
    <w:rsid w:val="0B904A1A"/>
    <w:rsid w:val="0B906158"/>
    <w:rsid w:val="0B91608F"/>
    <w:rsid w:val="0B916712"/>
    <w:rsid w:val="0B917C52"/>
    <w:rsid w:val="0B9319D4"/>
    <w:rsid w:val="0B9333CD"/>
    <w:rsid w:val="0B9335CE"/>
    <w:rsid w:val="0B941820"/>
    <w:rsid w:val="0B960C1F"/>
    <w:rsid w:val="0B960FF1"/>
    <w:rsid w:val="0B971310"/>
    <w:rsid w:val="0B9730BE"/>
    <w:rsid w:val="0B97468A"/>
    <w:rsid w:val="0B974E6D"/>
    <w:rsid w:val="0B983A14"/>
    <w:rsid w:val="0B995089"/>
    <w:rsid w:val="0B9962B9"/>
    <w:rsid w:val="0B9A1260"/>
    <w:rsid w:val="0B9A1959"/>
    <w:rsid w:val="0B9A670B"/>
    <w:rsid w:val="0B9A7302"/>
    <w:rsid w:val="0B9A7A1D"/>
    <w:rsid w:val="0B9B3A70"/>
    <w:rsid w:val="0B9C1DF2"/>
    <w:rsid w:val="0B9D6080"/>
    <w:rsid w:val="0B9F01C5"/>
    <w:rsid w:val="0BA031E7"/>
    <w:rsid w:val="0BA13F3D"/>
    <w:rsid w:val="0BA16207"/>
    <w:rsid w:val="0BA2105E"/>
    <w:rsid w:val="0BA27697"/>
    <w:rsid w:val="0BA31A63"/>
    <w:rsid w:val="0BA352FE"/>
    <w:rsid w:val="0BA37CB5"/>
    <w:rsid w:val="0BA457DB"/>
    <w:rsid w:val="0BA45FCD"/>
    <w:rsid w:val="0BA50351"/>
    <w:rsid w:val="0BA67982"/>
    <w:rsid w:val="0BA83EBE"/>
    <w:rsid w:val="0BA84C5A"/>
    <w:rsid w:val="0BAB0E05"/>
    <w:rsid w:val="0BAC061E"/>
    <w:rsid w:val="0BAD643E"/>
    <w:rsid w:val="0BAE0408"/>
    <w:rsid w:val="0BAF7BC9"/>
    <w:rsid w:val="0BB0055A"/>
    <w:rsid w:val="0BB04180"/>
    <w:rsid w:val="0BB14937"/>
    <w:rsid w:val="0BB25A4B"/>
    <w:rsid w:val="0BB27EF8"/>
    <w:rsid w:val="0BB33834"/>
    <w:rsid w:val="0BB61CF8"/>
    <w:rsid w:val="0BB772BD"/>
    <w:rsid w:val="0BB91287"/>
    <w:rsid w:val="0BB974D9"/>
    <w:rsid w:val="0BBA4FFF"/>
    <w:rsid w:val="0BBA6DAD"/>
    <w:rsid w:val="0BBB40C9"/>
    <w:rsid w:val="0BBC16CE"/>
    <w:rsid w:val="0BBD5333"/>
    <w:rsid w:val="0BBE4AEF"/>
    <w:rsid w:val="0BBE689D"/>
    <w:rsid w:val="0BBE6D9B"/>
    <w:rsid w:val="0BBF2615"/>
    <w:rsid w:val="0BBF3D02"/>
    <w:rsid w:val="0BBF6171"/>
    <w:rsid w:val="0BC10709"/>
    <w:rsid w:val="0BC33EB3"/>
    <w:rsid w:val="0BC4144B"/>
    <w:rsid w:val="0BC47C2C"/>
    <w:rsid w:val="0BC55E7E"/>
    <w:rsid w:val="0BC72610"/>
    <w:rsid w:val="0BC73CE6"/>
    <w:rsid w:val="0BC867E1"/>
    <w:rsid w:val="0BC8771C"/>
    <w:rsid w:val="0BC96FF0"/>
    <w:rsid w:val="0BCA5242"/>
    <w:rsid w:val="0BCB2D68"/>
    <w:rsid w:val="0BCB5C52"/>
    <w:rsid w:val="0BCB720C"/>
    <w:rsid w:val="0BCD2653"/>
    <w:rsid w:val="0BCE6E24"/>
    <w:rsid w:val="0BCF3002"/>
    <w:rsid w:val="0BCF4D3A"/>
    <w:rsid w:val="0BD04822"/>
    <w:rsid w:val="0BD065D0"/>
    <w:rsid w:val="0BD21DE3"/>
    <w:rsid w:val="0BD22464"/>
    <w:rsid w:val="0BD25A99"/>
    <w:rsid w:val="0BD364C5"/>
    <w:rsid w:val="0BD45B9A"/>
    <w:rsid w:val="0BD47955"/>
    <w:rsid w:val="0BD51E39"/>
    <w:rsid w:val="0BD53BE7"/>
    <w:rsid w:val="0BD55995"/>
    <w:rsid w:val="0BD55C07"/>
    <w:rsid w:val="0BD928A0"/>
    <w:rsid w:val="0BD936D7"/>
    <w:rsid w:val="0BD97C8F"/>
    <w:rsid w:val="0BDB0762"/>
    <w:rsid w:val="0BDB744F"/>
    <w:rsid w:val="0BDB7651"/>
    <w:rsid w:val="0BDC1CD5"/>
    <w:rsid w:val="0BDD2148"/>
    <w:rsid w:val="0BDE0CED"/>
    <w:rsid w:val="0BDE2A9B"/>
    <w:rsid w:val="0BDF05C2"/>
    <w:rsid w:val="0BDF7548"/>
    <w:rsid w:val="0BE107DE"/>
    <w:rsid w:val="0BE502CE"/>
    <w:rsid w:val="0BE60D08"/>
    <w:rsid w:val="0BE61950"/>
    <w:rsid w:val="0BE67BA2"/>
    <w:rsid w:val="0BE72379"/>
    <w:rsid w:val="0BE81B6C"/>
    <w:rsid w:val="0BE91B18"/>
    <w:rsid w:val="0BE95446"/>
    <w:rsid w:val="0BEA7692"/>
    <w:rsid w:val="0BEB474C"/>
    <w:rsid w:val="0BEB51B8"/>
    <w:rsid w:val="0BED0F30"/>
    <w:rsid w:val="0BED6E40"/>
    <w:rsid w:val="0BEF27AA"/>
    <w:rsid w:val="0BEF2EFA"/>
    <w:rsid w:val="0BEF39A3"/>
    <w:rsid w:val="0BEF3CC0"/>
    <w:rsid w:val="0BEF6A57"/>
    <w:rsid w:val="0BF027CF"/>
    <w:rsid w:val="0BF10B2C"/>
    <w:rsid w:val="0BF2461F"/>
    <w:rsid w:val="0BF26547"/>
    <w:rsid w:val="0BF4406D"/>
    <w:rsid w:val="0BF53262"/>
    <w:rsid w:val="0BF5458A"/>
    <w:rsid w:val="0BF56037"/>
    <w:rsid w:val="0BF64289"/>
    <w:rsid w:val="0BF71DAF"/>
    <w:rsid w:val="0BF73B5D"/>
    <w:rsid w:val="0BF7590B"/>
    <w:rsid w:val="0BF82F90"/>
    <w:rsid w:val="0BFA6134"/>
    <w:rsid w:val="0BFC1173"/>
    <w:rsid w:val="0BFC773A"/>
    <w:rsid w:val="0BFD5F76"/>
    <w:rsid w:val="0BFE6C9A"/>
    <w:rsid w:val="0BFF2A12"/>
    <w:rsid w:val="0C004AA5"/>
    <w:rsid w:val="0C004E8B"/>
    <w:rsid w:val="0C0149DC"/>
    <w:rsid w:val="0C017697"/>
    <w:rsid w:val="0C0544CC"/>
    <w:rsid w:val="0C077491"/>
    <w:rsid w:val="0C083C74"/>
    <w:rsid w:val="0C083FBC"/>
    <w:rsid w:val="0C085D6A"/>
    <w:rsid w:val="0C0A1AE2"/>
    <w:rsid w:val="0C0A2019"/>
    <w:rsid w:val="0C0A25C2"/>
    <w:rsid w:val="0C0A3890"/>
    <w:rsid w:val="0C0A7D34"/>
    <w:rsid w:val="0C0B1662"/>
    <w:rsid w:val="0C0B7609"/>
    <w:rsid w:val="0C104C1F"/>
    <w:rsid w:val="0C107BA8"/>
    <w:rsid w:val="0C122745"/>
    <w:rsid w:val="0C124EEE"/>
    <w:rsid w:val="0C142961"/>
    <w:rsid w:val="0C1464BD"/>
    <w:rsid w:val="0C1741B0"/>
    <w:rsid w:val="0C1741FF"/>
    <w:rsid w:val="0C175FAD"/>
    <w:rsid w:val="0C182FEF"/>
    <w:rsid w:val="0C192317"/>
    <w:rsid w:val="0C193300"/>
    <w:rsid w:val="0C197F77"/>
    <w:rsid w:val="0C1A784C"/>
    <w:rsid w:val="0C1C1816"/>
    <w:rsid w:val="0C1E0A6B"/>
    <w:rsid w:val="0C1E10EA"/>
    <w:rsid w:val="0C1E3852"/>
    <w:rsid w:val="0C1E558E"/>
    <w:rsid w:val="0C1E733C"/>
    <w:rsid w:val="0C201306"/>
    <w:rsid w:val="0C2030B4"/>
    <w:rsid w:val="0C210BDA"/>
    <w:rsid w:val="0C226FA6"/>
    <w:rsid w:val="0C232BA4"/>
    <w:rsid w:val="0C2506CA"/>
    <w:rsid w:val="0C252478"/>
    <w:rsid w:val="0C265D59"/>
    <w:rsid w:val="0C265DEF"/>
    <w:rsid w:val="0C27068D"/>
    <w:rsid w:val="0C275F3F"/>
    <w:rsid w:val="0C281F69"/>
    <w:rsid w:val="0C297482"/>
    <w:rsid w:val="0C2A3F33"/>
    <w:rsid w:val="0C2C50D5"/>
    <w:rsid w:val="0C2C5C40"/>
    <w:rsid w:val="0C2C7CAB"/>
    <w:rsid w:val="0C2D757F"/>
    <w:rsid w:val="0C2E598F"/>
    <w:rsid w:val="0C2F1549"/>
    <w:rsid w:val="0C2F40C1"/>
    <w:rsid w:val="0C300E1D"/>
    <w:rsid w:val="0C3045C1"/>
    <w:rsid w:val="0C3152C1"/>
    <w:rsid w:val="0C317521"/>
    <w:rsid w:val="0C324B95"/>
    <w:rsid w:val="0C34090D"/>
    <w:rsid w:val="0C344DB1"/>
    <w:rsid w:val="0C355AA8"/>
    <w:rsid w:val="0C357E16"/>
    <w:rsid w:val="0C364685"/>
    <w:rsid w:val="0C370C18"/>
    <w:rsid w:val="0C372408"/>
    <w:rsid w:val="0C381612"/>
    <w:rsid w:val="0C38553F"/>
    <w:rsid w:val="0C394176"/>
    <w:rsid w:val="0C3B16D4"/>
    <w:rsid w:val="0C3B1C9C"/>
    <w:rsid w:val="0C3C3C66"/>
    <w:rsid w:val="0C3C4113"/>
    <w:rsid w:val="0C3C5C5D"/>
    <w:rsid w:val="0C3C77C2"/>
    <w:rsid w:val="0C3D1370"/>
    <w:rsid w:val="0C3E0055"/>
    <w:rsid w:val="0C3F14E5"/>
    <w:rsid w:val="0C3F432B"/>
    <w:rsid w:val="0C3F6CED"/>
    <w:rsid w:val="0C403756"/>
    <w:rsid w:val="0C4061CA"/>
    <w:rsid w:val="0C4072B2"/>
    <w:rsid w:val="0C41127C"/>
    <w:rsid w:val="0C430B50"/>
    <w:rsid w:val="0C43389F"/>
    <w:rsid w:val="0C437651"/>
    <w:rsid w:val="0C450D6C"/>
    <w:rsid w:val="0C45497E"/>
    <w:rsid w:val="0C460DAA"/>
    <w:rsid w:val="0C474AE5"/>
    <w:rsid w:val="0C476893"/>
    <w:rsid w:val="0C48260B"/>
    <w:rsid w:val="0C483CD8"/>
    <w:rsid w:val="0C4843B9"/>
    <w:rsid w:val="0C4949F9"/>
    <w:rsid w:val="0C4A3633"/>
    <w:rsid w:val="0C4A3F18"/>
    <w:rsid w:val="0C4A539B"/>
    <w:rsid w:val="0C4C23B0"/>
    <w:rsid w:val="0C4D19CF"/>
    <w:rsid w:val="0C4D754E"/>
    <w:rsid w:val="0C4F0FDA"/>
    <w:rsid w:val="0C4F36F7"/>
    <w:rsid w:val="0C4F3999"/>
    <w:rsid w:val="0C50246A"/>
    <w:rsid w:val="0C523C12"/>
    <w:rsid w:val="0C524D8A"/>
    <w:rsid w:val="0C525237"/>
    <w:rsid w:val="0C526FE5"/>
    <w:rsid w:val="0C5276DA"/>
    <w:rsid w:val="0C540FAF"/>
    <w:rsid w:val="0C542D5E"/>
    <w:rsid w:val="0C544E39"/>
    <w:rsid w:val="0C547201"/>
    <w:rsid w:val="0C550884"/>
    <w:rsid w:val="0C554B8F"/>
    <w:rsid w:val="0C582550"/>
    <w:rsid w:val="0C5965C6"/>
    <w:rsid w:val="0C5A7462"/>
    <w:rsid w:val="0C5B0590"/>
    <w:rsid w:val="0C5B1DB3"/>
    <w:rsid w:val="0C5D31C8"/>
    <w:rsid w:val="0C5D60B6"/>
    <w:rsid w:val="0C5E1198"/>
    <w:rsid w:val="0C5E598A"/>
    <w:rsid w:val="0C5F4BC1"/>
    <w:rsid w:val="0C6112A5"/>
    <w:rsid w:val="0C61348D"/>
    <w:rsid w:val="0C61547A"/>
    <w:rsid w:val="0C6236CC"/>
    <w:rsid w:val="0C623B88"/>
    <w:rsid w:val="0C626DD1"/>
    <w:rsid w:val="0C651887"/>
    <w:rsid w:val="0C653200"/>
    <w:rsid w:val="0C656D19"/>
    <w:rsid w:val="0C656DBF"/>
    <w:rsid w:val="0C6644A2"/>
    <w:rsid w:val="0C6649AC"/>
    <w:rsid w:val="0C665DD1"/>
    <w:rsid w:val="0C6754D4"/>
    <w:rsid w:val="0C676F35"/>
    <w:rsid w:val="0C67786F"/>
    <w:rsid w:val="0C682624"/>
    <w:rsid w:val="0C685D91"/>
    <w:rsid w:val="0C686809"/>
    <w:rsid w:val="0C691C6B"/>
    <w:rsid w:val="0C6A2BAB"/>
    <w:rsid w:val="0C6C62F9"/>
    <w:rsid w:val="0C6D22A1"/>
    <w:rsid w:val="0C6E28DC"/>
    <w:rsid w:val="0C6F7F5E"/>
    <w:rsid w:val="0C700313"/>
    <w:rsid w:val="0C703395"/>
    <w:rsid w:val="0C7043B9"/>
    <w:rsid w:val="0C711B61"/>
    <w:rsid w:val="0C71302B"/>
    <w:rsid w:val="0C71390F"/>
    <w:rsid w:val="0C7156BE"/>
    <w:rsid w:val="0C722913"/>
    <w:rsid w:val="0C7246CC"/>
    <w:rsid w:val="0C745384"/>
    <w:rsid w:val="0C7565A8"/>
    <w:rsid w:val="0C762CD4"/>
    <w:rsid w:val="0C763875"/>
    <w:rsid w:val="0C7701E6"/>
    <w:rsid w:val="0C7708D8"/>
    <w:rsid w:val="0C785D11"/>
    <w:rsid w:val="0C790A16"/>
    <w:rsid w:val="0C7927C4"/>
    <w:rsid w:val="0C7A2BAC"/>
    <w:rsid w:val="0C7B02EA"/>
    <w:rsid w:val="0C7C4062"/>
    <w:rsid w:val="0C7D0506"/>
    <w:rsid w:val="0C7D1CCF"/>
    <w:rsid w:val="0C7D6B5D"/>
    <w:rsid w:val="0C7E3CFA"/>
    <w:rsid w:val="0C7E54E8"/>
    <w:rsid w:val="0C7E602C"/>
    <w:rsid w:val="0C7E7DDA"/>
    <w:rsid w:val="0C7F37E5"/>
    <w:rsid w:val="0C807BF7"/>
    <w:rsid w:val="0C807E08"/>
    <w:rsid w:val="0C817D2B"/>
    <w:rsid w:val="0C820D5D"/>
    <w:rsid w:val="0C825B1D"/>
    <w:rsid w:val="0C8278CB"/>
    <w:rsid w:val="0C8317C7"/>
    <w:rsid w:val="0C833643"/>
    <w:rsid w:val="0C8353F1"/>
    <w:rsid w:val="0C8424D8"/>
    <w:rsid w:val="0C843841"/>
    <w:rsid w:val="0C851169"/>
    <w:rsid w:val="0C85560D"/>
    <w:rsid w:val="0C8573BB"/>
    <w:rsid w:val="0C873133"/>
    <w:rsid w:val="0C882A07"/>
    <w:rsid w:val="0C886EAB"/>
    <w:rsid w:val="0C892247"/>
    <w:rsid w:val="0C8A16A9"/>
    <w:rsid w:val="0C8A2C23"/>
    <w:rsid w:val="0C8C24F7"/>
    <w:rsid w:val="0C8C3378"/>
    <w:rsid w:val="0C8C7AEC"/>
    <w:rsid w:val="0C8D0F7C"/>
    <w:rsid w:val="0C8D12EA"/>
    <w:rsid w:val="0C8D68F1"/>
    <w:rsid w:val="0C8E20D4"/>
    <w:rsid w:val="0C8E2713"/>
    <w:rsid w:val="0C8E6019"/>
    <w:rsid w:val="0C8F023A"/>
    <w:rsid w:val="0C8F2C33"/>
    <w:rsid w:val="0C8F3D96"/>
    <w:rsid w:val="0C906FF5"/>
    <w:rsid w:val="0C913FB2"/>
    <w:rsid w:val="0C915D60"/>
    <w:rsid w:val="0C917B0E"/>
    <w:rsid w:val="0C924DEE"/>
    <w:rsid w:val="0C925FED"/>
    <w:rsid w:val="0C9262EF"/>
    <w:rsid w:val="0C931A72"/>
    <w:rsid w:val="0C931AD8"/>
    <w:rsid w:val="0C937D2A"/>
    <w:rsid w:val="0C9413AC"/>
    <w:rsid w:val="0C945850"/>
    <w:rsid w:val="0C9475FE"/>
    <w:rsid w:val="0C9522DF"/>
    <w:rsid w:val="0C9615C8"/>
    <w:rsid w:val="0C973A34"/>
    <w:rsid w:val="0C973ECB"/>
    <w:rsid w:val="0C97456B"/>
    <w:rsid w:val="0C974BFF"/>
    <w:rsid w:val="0C9807BB"/>
    <w:rsid w:val="0C9870EE"/>
    <w:rsid w:val="0C9920F0"/>
    <w:rsid w:val="0C994C14"/>
    <w:rsid w:val="0C995829"/>
    <w:rsid w:val="0C9A19A3"/>
    <w:rsid w:val="0C9A2ECD"/>
    <w:rsid w:val="0C9C1A7E"/>
    <w:rsid w:val="0C9C64B3"/>
    <w:rsid w:val="0C9D4705"/>
    <w:rsid w:val="0C9D7330"/>
    <w:rsid w:val="0C9E2DE2"/>
    <w:rsid w:val="0C9E3391"/>
    <w:rsid w:val="0CA02447"/>
    <w:rsid w:val="0CA03B4B"/>
    <w:rsid w:val="0CA041F5"/>
    <w:rsid w:val="0CA044BF"/>
    <w:rsid w:val="0CA06260"/>
    <w:rsid w:val="0CA248E3"/>
    <w:rsid w:val="0CA34182"/>
    <w:rsid w:val="0CA43CE5"/>
    <w:rsid w:val="0CA50693"/>
    <w:rsid w:val="0CA61B23"/>
    <w:rsid w:val="0CA75583"/>
    <w:rsid w:val="0CA76613"/>
    <w:rsid w:val="0CA76E0E"/>
    <w:rsid w:val="0CA879B4"/>
    <w:rsid w:val="0CA912FB"/>
    <w:rsid w:val="0CA920A8"/>
    <w:rsid w:val="0CAA54B7"/>
    <w:rsid w:val="0CAC4948"/>
    <w:rsid w:val="0CAD06C0"/>
    <w:rsid w:val="0CAD1039"/>
    <w:rsid w:val="0CAD19C3"/>
    <w:rsid w:val="0CAD33B7"/>
    <w:rsid w:val="0CAF4438"/>
    <w:rsid w:val="0CB16402"/>
    <w:rsid w:val="0CB17A6B"/>
    <w:rsid w:val="0CB3217A"/>
    <w:rsid w:val="0CB33F28"/>
    <w:rsid w:val="0CB35AC0"/>
    <w:rsid w:val="0CB35CD6"/>
    <w:rsid w:val="0CB4012C"/>
    <w:rsid w:val="0CB41A4E"/>
    <w:rsid w:val="0CB46CF7"/>
    <w:rsid w:val="0CB626E8"/>
    <w:rsid w:val="0CB657C6"/>
    <w:rsid w:val="0CB72312"/>
    <w:rsid w:val="0CB72D83"/>
    <w:rsid w:val="0CB832EC"/>
    <w:rsid w:val="0CB952B6"/>
    <w:rsid w:val="0CB96FC0"/>
    <w:rsid w:val="0CB97FA9"/>
    <w:rsid w:val="0CBA3508"/>
    <w:rsid w:val="0CBB102F"/>
    <w:rsid w:val="0CBB3049"/>
    <w:rsid w:val="0CBB4B8B"/>
    <w:rsid w:val="0CBC21A0"/>
    <w:rsid w:val="0CBD0903"/>
    <w:rsid w:val="0CBD6B55"/>
    <w:rsid w:val="0CBE28CD"/>
    <w:rsid w:val="0CBF3E0A"/>
    <w:rsid w:val="0CBF58D1"/>
    <w:rsid w:val="0CC223BD"/>
    <w:rsid w:val="0CC233A9"/>
    <w:rsid w:val="0CC31C91"/>
    <w:rsid w:val="0CC33C1B"/>
    <w:rsid w:val="0CC36CB3"/>
    <w:rsid w:val="0CC376A4"/>
    <w:rsid w:val="0CC4146D"/>
    <w:rsid w:val="0CC55A09"/>
    <w:rsid w:val="0CC7352F"/>
    <w:rsid w:val="0CC779D3"/>
    <w:rsid w:val="0CC86B27"/>
    <w:rsid w:val="0CC872A8"/>
    <w:rsid w:val="0CC954FA"/>
    <w:rsid w:val="0CCA05B1"/>
    <w:rsid w:val="0CCA0F1D"/>
    <w:rsid w:val="0CCA3978"/>
    <w:rsid w:val="0CCA5CBA"/>
    <w:rsid w:val="0CCB23AD"/>
    <w:rsid w:val="0CCB59F8"/>
    <w:rsid w:val="0CCC383D"/>
    <w:rsid w:val="0CCE0A8A"/>
    <w:rsid w:val="0CCE0D62"/>
    <w:rsid w:val="0CCE4C03"/>
    <w:rsid w:val="0CCF6888"/>
    <w:rsid w:val="0CD10852"/>
    <w:rsid w:val="0CD15092"/>
    <w:rsid w:val="0CD21DF6"/>
    <w:rsid w:val="0CD36378"/>
    <w:rsid w:val="0CD45F05"/>
    <w:rsid w:val="0CD520F0"/>
    <w:rsid w:val="0CD619C5"/>
    <w:rsid w:val="0CD65E68"/>
    <w:rsid w:val="0CD72091"/>
    <w:rsid w:val="0CD8398F"/>
    <w:rsid w:val="0CD8573D"/>
    <w:rsid w:val="0CD90540"/>
    <w:rsid w:val="0CDA0A12"/>
    <w:rsid w:val="0CDA7707"/>
    <w:rsid w:val="0CDB3010"/>
    <w:rsid w:val="0CDB347F"/>
    <w:rsid w:val="0CDB4E4A"/>
    <w:rsid w:val="0CDB4FFE"/>
    <w:rsid w:val="0CDB667B"/>
    <w:rsid w:val="0CDC13A0"/>
    <w:rsid w:val="0CDD47C2"/>
    <w:rsid w:val="0CDE183E"/>
    <w:rsid w:val="0CDE6ACB"/>
    <w:rsid w:val="0CDF5AF2"/>
    <w:rsid w:val="0CE007C7"/>
    <w:rsid w:val="0CE00894"/>
    <w:rsid w:val="0CE00A95"/>
    <w:rsid w:val="0CE02843"/>
    <w:rsid w:val="0CE15D14"/>
    <w:rsid w:val="0CE276C6"/>
    <w:rsid w:val="0CE340E1"/>
    <w:rsid w:val="0CE51C08"/>
    <w:rsid w:val="0CE52F54"/>
    <w:rsid w:val="0CE53F09"/>
    <w:rsid w:val="0CE560AB"/>
    <w:rsid w:val="0CE642FD"/>
    <w:rsid w:val="0CE75980"/>
    <w:rsid w:val="0CE93A79"/>
    <w:rsid w:val="0CE95576"/>
    <w:rsid w:val="0CEA36C2"/>
    <w:rsid w:val="0CEB0256"/>
    <w:rsid w:val="0CEB1997"/>
    <w:rsid w:val="0CEC768D"/>
    <w:rsid w:val="0CED6980"/>
    <w:rsid w:val="0CEE4F60"/>
    <w:rsid w:val="0CEF0CD8"/>
    <w:rsid w:val="0CF06F2A"/>
    <w:rsid w:val="0CF14A50"/>
    <w:rsid w:val="0CF15C94"/>
    <w:rsid w:val="0CF34325"/>
    <w:rsid w:val="0CF47800"/>
    <w:rsid w:val="0CF50E9C"/>
    <w:rsid w:val="0CF66AAA"/>
    <w:rsid w:val="0CF71EEF"/>
    <w:rsid w:val="0CF76295"/>
    <w:rsid w:val="0CF813CA"/>
    <w:rsid w:val="0CF918B7"/>
    <w:rsid w:val="0CF9285A"/>
    <w:rsid w:val="0CFA1B57"/>
    <w:rsid w:val="0CFA3334"/>
    <w:rsid w:val="0CFA3905"/>
    <w:rsid w:val="0CFB142B"/>
    <w:rsid w:val="0CFC11DA"/>
    <w:rsid w:val="0CFD1647"/>
    <w:rsid w:val="0CFD33F5"/>
    <w:rsid w:val="0CFD3DAC"/>
    <w:rsid w:val="0CFD51A3"/>
    <w:rsid w:val="0CFF716D"/>
    <w:rsid w:val="0D003338"/>
    <w:rsid w:val="0D004C93"/>
    <w:rsid w:val="0D0070F9"/>
    <w:rsid w:val="0D0429D6"/>
    <w:rsid w:val="0D044784"/>
    <w:rsid w:val="0D053803"/>
    <w:rsid w:val="0D061C11"/>
    <w:rsid w:val="0D062033"/>
    <w:rsid w:val="0D0649D6"/>
    <w:rsid w:val="0D066854"/>
    <w:rsid w:val="0D087D3C"/>
    <w:rsid w:val="0D091D9A"/>
    <w:rsid w:val="0D093B48"/>
    <w:rsid w:val="0D094B53"/>
    <w:rsid w:val="0D097FEC"/>
    <w:rsid w:val="0D0A63B0"/>
    <w:rsid w:val="0D0B3D64"/>
    <w:rsid w:val="0D0B3E25"/>
    <w:rsid w:val="0D0C53E6"/>
    <w:rsid w:val="0D10137A"/>
    <w:rsid w:val="0D103128"/>
    <w:rsid w:val="0D116EA1"/>
    <w:rsid w:val="0D12255B"/>
    <w:rsid w:val="0D132C19"/>
    <w:rsid w:val="0D134683"/>
    <w:rsid w:val="0D136EA2"/>
    <w:rsid w:val="0D156991"/>
    <w:rsid w:val="0D1644B7"/>
    <w:rsid w:val="0D164B7E"/>
    <w:rsid w:val="0D166265"/>
    <w:rsid w:val="0D181D78"/>
    <w:rsid w:val="0D183D8B"/>
    <w:rsid w:val="0D1948F9"/>
    <w:rsid w:val="0D197B03"/>
    <w:rsid w:val="0D1A3FA7"/>
    <w:rsid w:val="0D1A5762"/>
    <w:rsid w:val="0D1C0423"/>
    <w:rsid w:val="0D1C7813"/>
    <w:rsid w:val="0D1D20CF"/>
    <w:rsid w:val="0D1D5845"/>
    <w:rsid w:val="0D1D7190"/>
    <w:rsid w:val="0D1F336B"/>
    <w:rsid w:val="0D212DEA"/>
    <w:rsid w:val="0D22719E"/>
    <w:rsid w:val="0D230698"/>
    <w:rsid w:val="0D237F01"/>
    <w:rsid w:val="0D246BD4"/>
    <w:rsid w:val="0D2564A8"/>
    <w:rsid w:val="0D285521"/>
    <w:rsid w:val="0D2A3ABE"/>
    <w:rsid w:val="0D2B56E9"/>
    <w:rsid w:val="0D2C32CD"/>
    <w:rsid w:val="0D2C5A88"/>
    <w:rsid w:val="0D2C6FE7"/>
    <w:rsid w:val="0D2E2BDA"/>
    <w:rsid w:val="0D2E2E51"/>
    <w:rsid w:val="0D2E3D2F"/>
    <w:rsid w:val="0D2F7FD6"/>
    <w:rsid w:val="0D305579"/>
    <w:rsid w:val="0D3216B4"/>
    <w:rsid w:val="0D330BC5"/>
    <w:rsid w:val="0D336E17"/>
    <w:rsid w:val="0D342EFA"/>
    <w:rsid w:val="0D350DE1"/>
    <w:rsid w:val="0D353986"/>
    <w:rsid w:val="0D35493D"/>
    <w:rsid w:val="0D3576AD"/>
    <w:rsid w:val="0D374B59"/>
    <w:rsid w:val="0D3864C3"/>
    <w:rsid w:val="0D386E6F"/>
    <w:rsid w:val="0D39154D"/>
    <w:rsid w:val="0D3A4542"/>
    <w:rsid w:val="0D3A63F7"/>
    <w:rsid w:val="0D3C216F"/>
    <w:rsid w:val="0D3D1A44"/>
    <w:rsid w:val="0D3D23B9"/>
    <w:rsid w:val="0D3E52A0"/>
    <w:rsid w:val="0D3F097E"/>
    <w:rsid w:val="0D3F1F45"/>
    <w:rsid w:val="0D3F756A"/>
    <w:rsid w:val="0D403FC2"/>
    <w:rsid w:val="0D404BBC"/>
    <w:rsid w:val="0D404FEF"/>
    <w:rsid w:val="0D430995"/>
    <w:rsid w:val="0D436541"/>
    <w:rsid w:val="0D4436BB"/>
    <w:rsid w:val="0D444B80"/>
    <w:rsid w:val="0D444E00"/>
    <w:rsid w:val="0D447276"/>
    <w:rsid w:val="0D4508F8"/>
    <w:rsid w:val="0D45746B"/>
    <w:rsid w:val="0D474670"/>
    <w:rsid w:val="0D4903E8"/>
    <w:rsid w:val="0D49196E"/>
    <w:rsid w:val="0D49488C"/>
    <w:rsid w:val="0D4A2F65"/>
    <w:rsid w:val="0D4C0445"/>
    <w:rsid w:val="0D4C7ED9"/>
    <w:rsid w:val="0D4E2FA5"/>
    <w:rsid w:val="0D4E59FF"/>
    <w:rsid w:val="0D4F1601"/>
    <w:rsid w:val="0D4F3654"/>
    <w:rsid w:val="0D4F4AE4"/>
    <w:rsid w:val="0D500855"/>
    <w:rsid w:val="0D503552"/>
    <w:rsid w:val="0D505C1B"/>
    <w:rsid w:val="0D5076B5"/>
    <w:rsid w:val="0D510837"/>
    <w:rsid w:val="0D511A05"/>
    <w:rsid w:val="0D51729D"/>
    <w:rsid w:val="0D523741"/>
    <w:rsid w:val="0D531267"/>
    <w:rsid w:val="0D5369B4"/>
    <w:rsid w:val="0D544A14"/>
    <w:rsid w:val="0D554FDF"/>
    <w:rsid w:val="0D556D8D"/>
    <w:rsid w:val="0D580B5E"/>
    <w:rsid w:val="0D5A0848"/>
    <w:rsid w:val="0D5A25F6"/>
    <w:rsid w:val="0D5A43A4"/>
    <w:rsid w:val="0D5B0F8B"/>
    <w:rsid w:val="0D5B47C8"/>
    <w:rsid w:val="0D5B60D4"/>
    <w:rsid w:val="0D5C1B29"/>
    <w:rsid w:val="0D5C45C0"/>
    <w:rsid w:val="0D5C636E"/>
    <w:rsid w:val="0D5D4CBE"/>
    <w:rsid w:val="0D5D5BF7"/>
    <w:rsid w:val="0D5D5C42"/>
    <w:rsid w:val="0D5E3553"/>
    <w:rsid w:val="0D5F3BC2"/>
    <w:rsid w:val="0D5F5804"/>
    <w:rsid w:val="0D5F5E5E"/>
    <w:rsid w:val="0D5F7C0C"/>
    <w:rsid w:val="0D613984"/>
    <w:rsid w:val="0D643FBA"/>
    <w:rsid w:val="0D645222"/>
    <w:rsid w:val="0D654E36"/>
    <w:rsid w:val="0D670C2F"/>
    <w:rsid w:val="0D677AC9"/>
    <w:rsid w:val="0D68534F"/>
    <w:rsid w:val="0D6945E7"/>
    <w:rsid w:val="0D6C2329"/>
    <w:rsid w:val="0D6C40D7"/>
    <w:rsid w:val="0D6D26F6"/>
    <w:rsid w:val="0D6D2C8E"/>
    <w:rsid w:val="0D6D5C6B"/>
    <w:rsid w:val="0D6E42F3"/>
    <w:rsid w:val="0D6E4496"/>
    <w:rsid w:val="0D6E7E4F"/>
    <w:rsid w:val="0D6F14FD"/>
    <w:rsid w:val="0D701E19"/>
    <w:rsid w:val="0D722221"/>
    <w:rsid w:val="0D72469C"/>
    <w:rsid w:val="0D731C52"/>
    <w:rsid w:val="0D732931"/>
    <w:rsid w:val="0D732DC0"/>
    <w:rsid w:val="0D7330E0"/>
    <w:rsid w:val="0D7336B7"/>
    <w:rsid w:val="0D741338"/>
    <w:rsid w:val="0D7511DD"/>
    <w:rsid w:val="0D76395F"/>
    <w:rsid w:val="0D774C8C"/>
    <w:rsid w:val="0D782A7C"/>
    <w:rsid w:val="0D78403C"/>
    <w:rsid w:val="0D786098"/>
    <w:rsid w:val="0D786F20"/>
    <w:rsid w:val="0D7978AA"/>
    <w:rsid w:val="0D7A1625"/>
    <w:rsid w:val="0D7A2C98"/>
    <w:rsid w:val="0D7A7B8E"/>
    <w:rsid w:val="0D7B050D"/>
    <w:rsid w:val="0D7C07BE"/>
    <w:rsid w:val="0D7C124B"/>
    <w:rsid w:val="0D7E3179"/>
    <w:rsid w:val="0D7F02AE"/>
    <w:rsid w:val="0D7F3E0A"/>
    <w:rsid w:val="0D80513B"/>
    <w:rsid w:val="0D812061"/>
    <w:rsid w:val="0D8145D3"/>
    <w:rsid w:val="0D815DD4"/>
    <w:rsid w:val="0D8238FA"/>
    <w:rsid w:val="0D8256A8"/>
    <w:rsid w:val="0D8260AE"/>
    <w:rsid w:val="0D8458C4"/>
    <w:rsid w:val="0D847672"/>
    <w:rsid w:val="0D850E55"/>
    <w:rsid w:val="0D8562F4"/>
    <w:rsid w:val="0D8623A0"/>
    <w:rsid w:val="0D870C14"/>
    <w:rsid w:val="0D873F15"/>
    <w:rsid w:val="0D876EEA"/>
    <w:rsid w:val="0D880586"/>
    <w:rsid w:val="0D881573"/>
    <w:rsid w:val="0D886208"/>
    <w:rsid w:val="0D8A6105"/>
    <w:rsid w:val="0D8B27AF"/>
    <w:rsid w:val="0D8B4057"/>
    <w:rsid w:val="0D8C453D"/>
    <w:rsid w:val="0D8C575F"/>
    <w:rsid w:val="0D8C6527"/>
    <w:rsid w:val="0D8D2270"/>
    <w:rsid w:val="0D8D4779"/>
    <w:rsid w:val="0D8D4A86"/>
    <w:rsid w:val="0D8E04F1"/>
    <w:rsid w:val="0D8E229F"/>
    <w:rsid w:val="0D900286"/>
    <w:rsid w:val="0D907DC5"/>
    <w:rsid w:val="0D913B3D"/>
    <w:rsid w:val="0D9308F8"/>
    <w:rsid w:val="0D933C76"/>
    <w:rsid w:val="0D935B07"/>
    <w:rsid w:val="0D942D84"/>
    <w:rsid w:val="0D953752"/>
    <w:rsid w:val="0D957AD2"/>
    <w:rsid w:val="0D9755F8"/>
    <w:rsid w:val="0D9773A6"/>
    <w:rsid w:val="0D991370"/>
    <w:rsid w:val="0D99166A"/>
    <w:rsid w:val="0D993CD9"/>
    <w:rsid w:val="0D994565"/>
    <w:rsid w:val="0D9C051F"/>
    <w:rsid w:val="0D9E5A0B"/>
    <w:rsid w:val="0D9F44AC"/>
    <w:rsid w:val="0D9F65E1"/>
    <w:rsid w:val="0DA11FD2"/>
    <w:rsid w:val="0DA135FA"/>
    <w:rsid w:val="0DA1776A"/>
    <w:rsid w:val="0DA330E8"/>
    <w:rsid w:val="0DA33F9D"/>
    <w:rsid w:val="0DA41AC3"/>
    <w:rsid w:val="0DA5374E"/>
    <w:rsid w:val="0DA558DE"/>
    <w:rsid w:val="0DA6583B"/>
    <w:rsid w:val="0DA71F89"/>
    <w:rsid w:val="0DA75FAF"/>
    <w:rsid w:val="0DA77262"/>
    <w:rsid w:val="0DA8168E"/>
    <w:rsid w:val="0DA8680F"/>
    <w:rsid w:val="0DAA53D6"/>
    <w:rsid w:val="0DAA6010"/>
    <w:rsid w:val="0DAB10A3"/>
    <w:rsid w:val="0DAB2E51"/>
    <w:rsid w:val="0DAC6DEE"/>
    <w:rsid w:val="0DAD6BC9"/>
    <w:rsid w:val="0DAE2941"/>
    <w:rsid w:val="0DAE46EF"/>
    <w:rsid w:val="0DAE649D"/>
    <w:rsid w:val="0DAF3883"/>
    <w:rsid w:val="0DAF58A0"/>
    <w:rsid w:val="0DB066B9"/>
    <w:rsid w:val="0DB22432"/>
    <w:rsid w:val="0DB241E0"/>
    <w:rsid w:val="0DB37F58"/>
    <w:rsid w:val="0DB42190"/>
    <w:rsid w:val="0DB461AA"/>
    <w:rsid w:val="0DB53CD0"/>
    <w:rsid w:val="0DB62C5F"/>
    <w:rsid w:val="0DB638CD"/>
    <w:rsid w:val="0DB717F6"/>
    <w:rsid w:val="0DB810F2"/>
    <w:rsid w:val="0DB951E4"/>
    <w:rsid w:val="0DBA12E6"/>
    <w:rsid w:val="0DBA7538"/>
    <w:rsid w:val="0DBB0509"/>
    <w:rsid w:val="0DBB5D95"/>
    <w:rsid w:val="0DBC0BBA"/>
    <w:rsid w:val="0DBC6E0C"/>
    <w:rsid w:val="0DBD0ABF"/>
    <w:rsid w:val="0DBD3339"/>
    <w:rsid w:val="0DBE022F"/>
    <w:rsid w:val="0DBE54CE"/>
    <w:rsid w:val="0DC07932"/>
    <w:rsid w:val="0DC108C7"/>
    <w:rsid w:val="0DC12675"/>
    <w:rsid w:val="0DC14423"/>
    <w:rsid w:val="0DC25334"/>
    <w:rsid w:val="0DC3019B"/>
    <w:rsid w:val="0DC363ED"/>
    <w:rsid w:val="0DC36A25"/>
    <w:rsid w:val="0DC37DE1"/>
    <w:rsid w:val="0DC451BB"/>
    <w:rsid w:val="0DC61A39"/>
    <w:rsid w:val="0DC6431B"/>
    <w:rsid w:val="0DC64C17"/>
    <w:rsid w:val="0DC65EDD"/>
    <w:rsid w:val="0DC73AC9"/>
    <w:rsid w:val="0DC80C78"/>
    <w:rsid w:val="0DC932D7"/>
    <w:rsid w:val="0DCA6A96"/>
    <w:rsid w:val="0DCC47A2"/>
    <w:rsid w:val="0DCD1019"/>
    <w:rsid w:val="0DCD726B"/>
    <w:rsid w:val="0DCE08EE"/>
    <w:rsid w:val="0DD0089A"/>
    <w:rsid w:val="0DD00B0A"/>
    <w:rsid w:val="0DD028B8"/>
    <w:rsid w:val="0DD04666"/>
    <w:rsid w:val="0DD112B8"/>
    <w:rsid w:val="0DD203DE"/>
    <w:rsid w:val="0DD26630"/>
    <w:rsid w:val="0DD51C7C"/>
    <w:rsid w:val="0DD56120"/>
    <w:rsid w:val="0DD71E98"/>
    <w:rsid w:val="0DD8076D"/>
    <w:rsid w:val="0DD95C10"/>
    <w:rsid w:val="0DDA6377"/>
    <w:rsid w:val="0DDA7292"/>
    <w:rsid w:val="0DDB14A2"/>
    <w:rsid w:val="0DDB1E98"/>
    <w:rsid w:val="0DDC300B"/>
    <w:rsid w:val="0DDC358B"/>
    <w:rsid w:val="0DDC4C2E"/>
    <w:rsid w:val="0DDD1A0E"/>
    <w:rsid w:val="0DDD37B6"/>
    <w:rsid w:val="0DDD6D83"/>
    <w:rsid w:val="0DDF6F9F"/>
    <w:rsid w:val="0DE03144"/>
    <w:rsid w:val="0DE3413F"/>
    <w:rsid w:val="0DE416F1"/>
    <w:rsid w:val="0DE501A0"/>
    <w:rsid w:val="0DE55FF7"/>
    <w:rsid w:val="0DE7373B"/>
    <w:rsid w:val="0DE75A6B"/>
    <w:rsid w:val="0DE809AA"/>
    <w:rsid w:val="0DE85E53"/>
    <w:rsid w:val="0DE87C01"/>
    <w:rsid w:val="0DE95727"/>
    <w:rsid w:val="0DEA1441"/>
    <w:rsid w:val="0DEA202A"/>
    <w:rsid w:val="0DEB6FE0"/>
    <w:rsid w:val="0DED1503"/>
    <w:rsid w:val="0DED16BC"/>
    <w:rsid w:val="0DED5218"/>
    <w:rsid w:val="0DEE2D3E"/>
    <w:rsid w:val="0DEF45AA"/>
    <w:rsid w:val="0DF02F5A"/>
    <w:rsid w:val="0DF058DF"/>
    <w:rsid w:val="0DF11314"/>
    <w:rsid w:val="0DF22752"/>
    <w:rsid w:val="0DF22B61"/>
    <w:rsid w:val="0DF35375"/>
    <w:rsid w:val="0DF4500F"/>
    <w:rsid w:val="0DF450A9"/>
    <w:rsid w:val="0DF465A6"/>
    <w:rsid w:val="0DF51C5B"/>
    <w:rsid w:val="0DF5231E"/>
    <w:rsid w:val="0DF544D5"/>
    <w:rsid w:val="0DF63CF6"/>
    <w:rsid w:val="0DF75F39"/>
    <w:rsid w:val="0DF76133"/>
    <w:rsid w:val="0DFA5954"/>
    <w:rsid w:val="0DFB3680"/>
    <w:rsid w:val="0DFC0475"/>
    <w:rsid w:val="0DFC36AD"/>
    <w:rsid w:val="0DFC54B9"/>
    <w:rsid w:val="0DFD36A2"/>
    <w:rsid w:val="0DFD5C70"/>
    <w:rsid w:val="0DFE11D3"/>
    <w:rsid w:val="0DFE18B1"/>
    <w:rsid w:val="0DFE5677"/>
    <w:rsid w:val="0DFF319D"/>
    <w:rsid w:val="0DFF4637"/>
    <w:rsid w:val="0E000A28"/>
    <w:rsid w:val="0E0130FC"/>
    <w:rsid w:val="0E0232D8"/>
    <w:rsid w:val="0E0340A2"/>
    <w:rsid w:val="0E034A3B"/>
    <w:rsid w:val="0E036DE6"/>
    <w:rsid w:val="0E042561"/>
    <w:rsid w:val="0E043CAF"/>
    <w:rsid w:val="0E043FAA"/>
    <w:rsid w:val="0E053ED6"/>
    <w:rsid w:val="0E057675"/>
    <w:rsid w:val="0E062939"/>
    <w:rsid w:val="0E0662D9"/>
    <w:rsid w:val="0E07455F"/>
    <w:rsid w:val="0E082052"/>
    <w:rsid w:val="0E0A3FD5"/>
    <w:rsid w:val="0E0A5DCA"/>
    <w:rsid w:val="0E0B1B42"/>
    <w:rsid w:val="0E0B323F"/>
    <w:rsid w:val="0E0C5F1C"/>
    <w:rsid w:val="0E0C604A"/>
    <w:rsid w:val="0E0D3C5D"/>
    <w:rsid w:val="0E0D528E"/>
    <w:rsid w:val="0E0D7335"/>
    <w:rsid w:val="0E0E11CA"/>
    <w:rsid w:val="0E0F615D"/>
    <w:rsid w:val="0E121122"/>
    <w:rsid w:val="0E1327A4"/>
    <w:rsid w:val="0E1434A7"/>
    <w:rsid w:val="0E1529C0"/>
    <w:rsid w:val="0E15476E"/>
    <w:rsid w:val="0E164FEE"/>
    <w:rsid w:val="0E176D61"/>
    <w:rsid w:val="0E177BF7"/>
    <w:rsid w:val="0E197090"/>
    <w:rsid w:val="0E197DBB"/>
    <w:rsid w:val="0E1A1D85"/>
    <w:rsid w:val="0E1B19B0"/>
    <w:rsid w:val="0E1B4581"/>
    <w:rsid w:val="0E1C182C"/>
    <w:rsid w:val="0E1C5AFD"/>
    <w:rsid w:val="0E1C78AB"/>
    <w:rsid w:val="0E1D2A3F"/>
    <w:rsid w:val="0E1D53EF"/>
    <w:rsid w:val="0E1E1875"/>
    <w:rsid w:val="0E1E3623"/>
    <w:rsid w:val="0E1E7AC7"/>
    <w:rsid w:val="0E1F1149"/>
    <w:rsid w:val="0E1F739B"/>
    <w:rsid w:val="0E20375D"/>
    <w:rsid w:val="0E20502E"/>
    <w:rsid w:val="0E2055ED"/>
    <w:rsid w:val="0E2066BD"/>
    <w:rsid w:val="0E211365"/>
    <w:rsid w:val="0E211E4A"/>
    <w:rsid w:val="0E214EC1"/>
    <w:rsid w:val="0E216DBE"/>
    <w:rsid w:val="0E2175B0"/>
    <w:rsid w:val="0E224B6C"/>
    <w:rsid w:val="0E230C39"/>
    <w:rsid w:val="0E2350DD"/>
    <w:rsid w:val="0E236E8B"/>
    <w:rsid w:val="0E250E55"/>
    <w:rsid w:val="0E256114"/>
    <w:rsid w:val="0E2624D8"/>
    <w:rsid w:val="0E26697C"/>
    <w:rsid w:val="0E273E8A"/>
    <w:rsid w:val="0E2805A4"/>
    <w:rsid w:val="0E28101F"/>
    <w:rsid w:val="0E2844A2"/>
    <w:rsid w:val="0E286250"/>
    <w:rsid w:val="0E286A5E"/>
    <w:rsid w:val="0E29070E"/>
    <w:rsid w:val="0E2A15BE"/>
    <w:rsid w:val="0E2B7CAE"/>
    <w:rsid w:val="0E2C21E4"/>
    <w:rsid w:val="0E2D1AB8"/>
    <w:rsid w:val="0E2D28C5"/>
    <w:rsid w:val="0E2D7D0A"/>
    <w:rsid w:val="0E2F12B5"/>
    <w:rsid w:val="0E2F5830"/>
    <w:rsid w:val="0E303356"/>
    <w:rsid w:val="0E305416"/>
    <w:rsid w:val="0E3167A6"/>
    <w:rsid w:val="0E323572"/>
    <w:rsid w:val="0E3270CE"/>
    <w:rsid w:val="0E3346EC"/>
    <w:rsid w:val="0E335CF5"/>
    <w:rsid w:val="0E341099"/>
    <w:rsid w:val="0E341628"/>
    <w:rsid w:val="0E342E47"/>
    <w:rsid w:val="0E344BF5"/>
    <w:rsid w:val="0E35096D"/>
    <w:rsid w:val="0E356BBF"/>
    <w:rsid w:val="0E3746E5"/>
    <w:rsid w:val="0E383161"/>
    <w:rsid w:val="0E394F38"/>
    <w:rsid w:val="0E3A31F9"/>
    <w:rsid w:val="0E3A41D5"/>
    <w:rsid w:val="0E3A5F83"/>
    <w:rsid w:val="0E3B2427"/>
    <w:rsid w:val="0E3C04AA"/>
    <w:rsid w:val="0E3C7F4D"/>
    <w:rsid w:val="0E3D3626"/>
    <w:rsid w:val="0E3E5A73"/>
    <w:rsid w:val="0E3F636E"/>
    <w:rsid w:val="0E404E0B"/>
    <w:rsid w:val="0E407A3D"/>
    <w:rsid w:val="0E410875"/>
    <w:rsid w:val="0E417312"/>
    <w:rsid w:val="0E424B5A"/>
    <w:rsid w:val="0E4312DC"/>
    <w:rsid w:val="0E43752E"/>
    <w:rsid w:val="0E44204B"/>
    <w:rsid w:val="0E4535AE"/>
    <w:rsid w:val="0E456E02"/>
    <w:rsid w:val="0E462B7A"/>
    <w:rsid w:val="0E4806A0"/>
    <w:rsid w:val="0E4938F6"/>
    <w:rsid w:val="0E4A4418"/>
    <w:rsid w:val="0E4B63E2"/>
    <w:rsid w:val="0E4C079E"/>
    <w:rsid w:val="0E4C5AFC"/>
    <w:rsid w:val="0E4D3F08"/>
    <w:rsid w:val="0E4D65FC"/>
    <w:rsid w:val="0E4F198B"/>
    <w:rsid w:val="0E501D2F"/>
    <w:rsid w:val="0E5047BB"/>
    <w:rsid w:val="0E5057A7"/>
    <w:rsid w:val="0E512524"/>
    <w:rsid w:val="0E51464F"/>
    <w:rsid w:val="0E516BD6"/>
    <w:rsid w:val="0E52151F"/>
    <w:rsid w:val="0E54467E"/>
    <w:rsid w:val="0E547045"/>
    <w:rsid w:val="0E552DBD"/>
    <w:rsid w:val="0E56100F"/>
    <w:rsid w:val="0E562110"/>
    <w:rsid w:val="0E567261"/>
    <w:rsid w:val="0E580065"/>
    <w:rsid w:val="0E582C0E"/>
    <w:rsid w:val="0E590AFF"/>
    <w:rsid w:val="0E5928AD"/>
    <w:rsid w:val="0E5A03D3"/>
    <w:rsid w:val="0E5B0ACE"/>
    <w:rsid w:val="0E5B4877"/>
    <w:rsid w:val="0E5E0E7E"/>
    <w:rsid w:val="0E5E1C72"/>
    <w:rsid w:val="0E5E45F1"/>
    <w:rsid w:val="0E5E6115"/>
    <w:rsid w:val="0E5E6D50"/>
    <w:rsid w:val="0E5E7EC3"/>
    <w:rsid w:val="0E5F3475"/>
    <w:rsid w:val="0E601E8E"/>
    <w:rsid w:val="0E6059EA"/>
    <w:rsid w:val="0E611762"/>
    <w:rsid w:val="0E63372C"/>
    <w:rsid w:val="0E643D85"/>
    <w:rsid w:val="0E651FC6"/>
    <w:rsid w:val="0E666D78"/>
    <w:rsid w:val="0E667475"/>
    <w:rsid w:val="0E667FC8"/>
    <w:rsid w:val="0E67321C"/>
    <w:rsid w:val="0E6753E5"/>
    <w:rsid w:val="0E677A64"/>
    <w:rsid w:val="0E677FB6"/>
    <w:rsid w:val="0E680D42"/>
    <w:rsid w:val="0E685624"/>
    <w:rsid w:val="0E686F94"/>
    <w:rsid w:val="0E6A54A7"/>
    <w:rsid w:val="0E6B25E0"/>
    <w:rsid w:val="0E6C0832"/>
    <w:rsid w:val="0E6C20CC"/>
    <w:rsid w:val="0E6D0107"/>
    <w:rsid w:val="0E6D6359"/>
    <w:rsid w:val="0E6D6983"/>
    <w:rsid w:val="0E6F0323"/>
    <w:rsid w:val="0E6F3E7F"/>
    <w:rsid w:val="0E6F415C"/>
    <w:rsid w:val="0E6F5EC9"/>
    <w:rsid w:val="0E6F7EA7"/>
    <w:rsid w:val="0E71409B"/>
    <w:rsid w:val="0E721BC1"/>
    <w:rsid w:val="0E745939"/>
    <w:rsid w:val="0E7476E7"/>
    <w:rsid w:val="0E754F8F"/>
    <w:rsid w:val="0E763A4A"/>
    <w:rsid w:val="0E76520D"/>
    <w:rsid w:val="0E7771D7"/>
    <w:rsid w:val="0E777AAB"/>
    <w:rsid w:val="0E786645"/>
    <w:rsid w:val="0E787EDC"/>
    <w:rsid w:val="0E792F4F"/>
    <w:rsid w:val="0E7A385B"/>
    <w:rsid w:val="0E7B0A75"/>
    <w:rsid w:val="0E7B6CC7"/>
    <w:rsid w:val="0E7C617B"/>
    <w:rsid w:val="0E7E0566"/>
    <w:rsid w:val="0E7F1CEF"/>
    <w:rsid w:val="0E7F4AFC"/>
    <w:rsid w:val="0E7F6E0F"/>
    <w:rsid w:val="0E8042DE"/>
    <w:rsid w:val="0E807E3A"/>
    <w:rsid w:val="0E8106B8"/>
    <w:rsid w:val="0E853D3D"/>
    <w:rsid w:val="0E855450"/>
    <w:rsid w:val="0E8559ED"/>
    <w:rsid w:val="0E8573E3"/>
    <w:rsid w:val="0E87566C"/>
    <w:rsid w:val="0E87741A"/>
    <w:rsid w:val="0E890211"/>
    <w:rsid w:val="0E897804"/>
    <w:rsid w:val="0E8B65A9"/>
    <w:rsid w:val="0E8C0416"/>
    <w:rsid w:val="0E8C1700"/>
    <w:rsid w:val="0E8C2C83"/>
    <w:rsid w:val="0E8D07A9"/>
    <w:rsid w:val="0E8F4521"/>
    <w:rsid w:val="0E8F4A99"/>
    <w:rsid w:val="0E9165B2"/>
    <w:rsid w:val="0E924011"/>
    <w:rsid w:val="0E924A7E"/>
    <w:rsid w:val="0E926082"/>
    <w:rsid w:val="0E9266FE"/>
    <w:rsid w:val="0E933A07"/>
    <w:rsid w:val="0E9400A9"/>
    <w:rsid w:val="0E941B37"/>
    <w:rsid w:val="0E94444D"/>
    <w:rsid w:val="0E947D89"/>
    <w:rsid w:val="0E963B01"/>
    <w:rsid w:val="0E965822"/>
    <w:rsid w:val="0E9733D5"/>
    <w:rsid w:val="0E975183"/>
    <w:rsid w:val="0E981627"/>
    <w:rsid w:val="0E9953A0"/>
    <w:rsid w:val="0E99714E"/>
    <w:rsid w:val="0E9A0A19"/>
    <w:rsid w:val="0E9B1118"/>
    <w:rsid w:val="0E9B2EC6"/>
    <w:rsid w:val="0E9C524D"/>
    <w:rsid w:val="0E9D4E90"/>
    <w:rsid w:val="0E9D54FD"/>
    <w:rsid w:val="0E9E00FE"/>
    <w:rsid w:val="0E9E1642"/>
    <w:rsid w:val="0E9E2053"/>
    <w:rsid w:val="0E9E387E"/>
    <w:rsid w:val="0E9E5700"/>
    <w:rsid w:val="0EA0228A"/>
    <w:rsid w:val="0EA0672E"/>
    <w:rsid w:val="0EA130CF"/>
    <w:rsid w:val="0EA144EA"/>
    <w:rsid w:val="0EA14F8D"/>
    <w:rsid w:val="0EA15DA7"/>
    <w:rsid w:val="0EA16002"/>
    <w:rsid w:val="0EA45387"/>
    <w:rsid w:val="0EA50D04"/>
    <w:rsid w:val="0EA5189D"/>
    <w:rsid w:val="0EA55A6A"/>
    <w:rsid w:val="0EA55AF2"/>
    <w:rsid w:val="0EA62B45"/>
    <w:rsid w:val="0EA63619"/>
    <w:rsid w:val="0EA655E1"/>
    <w:rsid w:val="0EA70C00"/>
    <w:rsid w:val="0EA816EC"/>
    <w:rsid w:val="0EA84EFB"/>
    <w:rsid w:val="0EA855E3"/>
    <w:rsid w:val="0EA93393"/>
    <w:rsid w:val="0EAC50D3"/>
    <w:rsid w:val="0EAE3225"/>
    <w:rsid w:val="0EAF071F"/>
    <w:rsid w:val="0EAF4BC3"/>
    <w:rsid w:val="0EAF6773"/>
    <w:rsid w:val="0EB0101A"/>
    <w:rsid w:val="0EB0471D"/>
    <w:rsid w:val="0EB11CF4"/>
    <w:rsid w:val="0EB14497"/>
    <w:rsid w:val="0EB16245"/>
    <w:rsid w:val="0EB17B5C"/>
    <w:rsid w:val="0EB2020F"/>
    <w:rsid w:val="0EB2505E"/>
    <w:rsid w:val="0EB26482"/>
    <w:rsid w:val="0EB307AE"/>
    <w:rsid w:val="0EB36461"/>
    <w:rsid w:val="0EB421D9"/>
    <w:rsid w:val="0EB43F87"/>
    <w:rsid w:val="0EB51870"/>
    <w:rsid w:val="0EB61AAE"/>
    <w:rsid w:val="0EB67D00"/>
    <w:rsid w:val="0EB70D5C"/>
    <w:rsid w:val="0EB75826"/>
    <w:rsid w:val="0EB863CE"/>
    <w:rsid w:val="0EB9159E"/>
    <w:rsid w:val="0EB9334C"/>
    <w:rsid w:val="0EBA07CE"/>
    <w:rsid w:val="0EBB3568"/>
    <w:rsid w:val="0EBB5316"/>
    <w:rsid w:val="0EBD5B29"/>
    <w:rsid w:val="0EBE0962"/>
    <w:rsid w:val="0EC046DA"/>
    <w:rsid w:val="0EC248F6"/>
    <w:rsid w:val="0EC3241C"/>
    <w:rsid w:val="0EC40719"/>
    <w:rsid w:val="0EC54DF5"/>
    <w:rsid w:val="0EC73CBB"/>
    <w:rsid w:val="0EC75A69"/>
    <w:rsid w:val="0EC86A0D"/>
    <w:rsid w:val="0EC87A33"/>
    <w:rsid w:val="0ECA4EB3"/>
    <w:rsid w:val="0ECA5559"/>
    <w:rsid w:val="0ECA7307"/>
    <w:rsid w:val="0ECB6550"/>
    <w:rsid w:val="0ECD32A3"/>
    <w:rsid w:val="0ECE329B"/>
    <w:rsid w:val="0ECF346A"/>
    <w:rsid w:val="0ECF40AB"/>
    <w:rsid w:val="0ECF491D"/>
    <w:rsid w:val="0ED106EE"/>
    <w:rsid w:val="0ED40186"/>
    <w:rsid w:val="0ED4462A"/>
    <w:rsid w:val="0ED56BFB"/>
    <w:rsid w:val="0ED6170B"/>
    <w:rsid w:val="0ED618C0"/>
    <w:rsid w:val="0ED61957"/>
    <w:rsid w:val="0ED62150"/>
    <w:rsid w:val="0ED63EFE"/>
    <w:rsid w:val="0ED70174"/>
    <w:rsid w:val="0ED71A24"/>
    <w:rsid w:val="0ED97325"/>
    <w:rsid w:val="0EDA63A1"/>
    <w:rsid w:val="0EDA6B97"/>
    <w:rsid w:val="0EDB0027"/>
    <w:rsid w:val="0EDB7766"/>
    <w:rsid w:val="0EDD34DE"/>
    <w:rsid w:val="0EDF2B83"/>
    <w:rsid w:val="0EE06746"/>
    <w:rsid w:val="0EE20AF5"/>
    <w:rsid w:val="0EE228A3"/>
    <w:rsid w:val="0EE26D46"/>
    <w:rsid w:val="0EE5091E"/>
    <w:rsid w:val="0EE62A8D"/>
    <w:rsid w:val="0EE7435D"/>
    <w:rsid w:val="0EE74DE8"/>
    <w:rsid w:val="0EE77EB9"/>
    <w:rsid w:val="0EE81730"/>
    <w:rsid w:val="0EEA5BFB"/>
    <w:rsid w:val="0EEA79A9"/>
    <w:rsid w:val="0EEB3C6F"/>
    <w:rsid w:val="0EEB5089"/>
    <w:rsid w:val="0EEB72F3"/>
    <w:rsid w:val="0EEB7B1C"/>
    <w:rsid w:val="0EEC0D2D"/>
    <w:rsid w:val="0EEC3721"/>
    <w:rsid w:val="0EED030B"/>
    <w:rsid w:val="0EEF4FBF"/>
    <w:rsid w:val="0EEF6D6E"/>
    <w:rsid w:val="0EF12AE6"/>
    <w:rsid w:val="0EF1398E"/>
    <w:rsid w:val="0EF16F8A"/>
    <w:rsid w:val="0EF34AB0"/>
    <w:rsid w:val="0EF362AE"/>
    <w:rsid w:val="0EF3685E"/>
    <w:rsid w:val="0EF40828"/>
    <w:rsid w:val="0EF4370D"/>
    <w:rsid w:val="0EF45FEF"/>
    <w:rsid w:val="0EF54D21"/>
    <w:rsid w:val="0EF54EE0"/>
    <w:rsid w:val="0EF645A0"/>
    <w:rsid w:val="0EF65163"/>
    <w:rsid w:val="0EF6634E"/>
    <w:rsid w:val="0EF72C6F"/>
    <w:rsid w:val="0EF7400C"/>
    <w:rsid w:val="0EF82120"/>
    <w:rsid w:val="0EF83E74"/>
    <w:rsid w:val="0EF90544"/>
    <w:rsid w:val="0EF937F2"/>
    <w:rsid w:val="0EFA4090"/>
    <w:rsid w:val="0EFA558C"/>
    <w:rsid w:val="0EFB3EAD"/>
    <w:rsid w:val="0EFD76DC"/>
    <w:rsid w:val="0EFE5656"/>
    <w:rsid w:val="0F00541F"/>
    <w:rsid w:val="0F0132DD"/>
    <w:rsid w:val="0F022F45"/>
    <w:rsid w:val="0F024CF3"/>
    <w:rsid w:val="0F026AA1"/>
    <w:rsid w:val="0F0431B1"/>
    <w:rsid w:val="0F053BAF"/>
    <w:rsid w:val="0F0547E3"/>
    <w:rsid w:val="0F054D9C"/>
    <w:rsid w:val="0F0568DE"/>
    <w:rsid w:val="0F065E65"/>
    <w:rsid w:val="0F0723F3"/>
    <w:rsid w:val="0F0767AD"/>
    <w:rsid w:val="0F092D71"/>
    <w:rsid w:val="0F0966D6"/>
    <w:rsid w:val="0F0A1DF9"/>
    <w:rsid w:val="0F0A428B"/>
    <w:rsid w:val="0F0C223F"/>
    <w:rsid w:val="0F0C791F"/>
    <w:rsid w:val="0F0E3B7F"/>
    <w:rsid w:val="0F0E7B3C"/>
    <w:rsid w:val="0F0F2601"/>
    <w:rsid w:val="0F113188"/>
    <w:rsid w:val="0F130469"/>
    <w:rsid w:val="0F130CAE"/>
    <w:rsid w:val="0F136F00"/>
    <w:rsid w:val="0F152C78"/>
    <w:rsid w:val="0F1550CD"/>
    <w:rsid w:val="0F1669F0"/>
    <w:rsid w:val="0F177591"/>
    <w:rsid w:val="0F1803BB"/>
    <w:rsid w:val="0F18170A"/>
    <w:rsid w:val="0F1820E9"/>
    <w:rsid w:val="0F184516"/>
    <w:rsid w:val="0F1A3753"/>
    <w:rsid w:val="0F1A6C6C"/>
    <w:rsid w:val="0F1B4006"/>
    <w:rsid w:val="0F1B4A58"/>
    <w:rsid w:val="0F1B5DB5"/>
    <w:rsid w:val="0F1B7B63"/>
    <w:rsid w:val="0F1C3AFD"/>
    <w:rsid w:val="0F1C6DBE"/>
    <w:rsid w:val="0F1D0E3F"/>
    <w:rsid w:val="0F1E557C"/>
    <w:rsid w:val="0F1F3AF7"/>
    <w:rsid w:val="0F1F58A5"/>
    <w:rsid w:val="0F20161D"/>
    <w:rsid w:val="0F204823"/>
    <w:rsid w:val="0F205179"/>
    <w:rsid w:val="0F215234"/>
    <w:rsid w:val="0F220EF1"/>
    <w:rsid w:val="0F223FE6"/>
    <w:rsid w:val="0F225395"/>
    <w:rsid w:val="0F24110D"/>
    <w:rsid w:val="0F2413EE"/>
    <w:rsid w:val="0F2509E1"/>
    <w:rsid w:val="0F2729AB"/>
    <w:rsid w:val="0F274759"/>
    <w:rsid w:val="0F276507"/>
    <w:rsid w:val="0F29268F"/>
    <w:rsid w:val="0F2932A3"/>
    <w:rsid w:val="0F295A3F"/>
    <w:rsid w:val="0F296723"/>
    <w:rsid w:val="0F2B3E12"/>
    <w:rsid w:val="0F2C5B85"/>
    <w:rsid w:val="0F2C6214"/>
    <w:rsid w:val="0F2C7FC2"/>
    <w:rsid w:val="0F2E3D3A"/>
    <w:rsid w:val="0F2E3ECA"/>
    <w:rsid w:val="0F2E7896"/>
    <w:rsid w:val="0F2F1860"/>
    <w:rsid w:val="0F31382A"/>
    <w:rsid w:val="0F313979"/>
    <w:rsid w:val="0F321F16"/>
    <w:rsid w:val="0F331D0B"/>
    <w:rsid w:val="0F333181"/>
    <w:rsid w:val="0F335D79"/>
    <w:rsid w:val="0F346E76"/>
    <w:rsid w:val="0F372F92"/>
    <w:rsid w:val="0F3824D5"/>
    <w:rsid w:val="0F384BB8"/>
    <w:rsid w:val="0F386123"/>
    <w:rsid w:val="0F39623B"/>
    <w:rsid w:val="0F3A0931"/>
    <w:rsid w:val="0F3A26DF"/>
    <w:rsid w:val="0F3B0205"/>
    <w:rsid w:val="0F3B6457"/>
    <w:rsid w:val="0F3D3F7D"/>
    <w:rsid w:val="0F3D5055"/>
    <w:rsid w:val="0F3E2345"/>
    <w:rsid w:val="0F3F48B5"/>
    <w:rsid w:val="0F3F5F47"/>
    <w:rsid w:val="0F412448"/>
    <w:rsid w:val="0F42082A"/>
    <w:rsid w:val="0F421A27"/>
    <w:rsid w:val="0F44355D"/>
    <w:rsid w:val="0F44530B"/>
    <w:rsid w:val="0F450FC8"/>
    <w:rsid w:val="0F451083"/>
    <w:rsid w:val="0F451F2D"/>
    <w:rsid w:val="0F45621F"/>
    <w:rsid w:val="0F4606AE"/>
    <w:rsid w:val="0F46493F"/>
    <w:rsid w:val="0F4672D5"/>
    <w:rsid w:val="0F471D58"/>
    <w:rsid w:val="0F47375F"/>
    <w:rsid w:val="0F4867E1"/>
    <w:rsid w:val="0F492792"/>
    <w:rsid w:val="0F4C2982"/>
    <w:rsid w:val="0F4C41C0"/>
    <w:rsid w:val="0F4C5F6E"/>
    <w:rsid w:val="0F4D4470"/>
    <w:rsid w:val="0F4D58B9"/>
    <w:rsid w:val="0F4E119D"/>
    <w:rsid w:val="0F4E618A"/>
    <w:rsid w:val="0F4E7F38"/>
    <w:rsid w:val="0F501F02"/>
    <w:rsid w:val="0F504D56"/>
    <w:rsid w:val="0F51479A"/>
    <w:rsid w:val="0F532D2B"/>
    <w:rsid w:val="0F5340F4"/>
    <w:rsid w:val="0F5420D0"/>
    <w:rsid w:val="0F543075"/>
    <w:rsid w:val="0F55350A"/>
    <w:rsid w:val="0F556ADB"/>
    <w:rsid w:val="0F57119C"/>
    <w:rsid w:val="0F577D49"/>
    <w:rsid w:val="0F5827DE"/>
    <w:rsid w:val="0F58783C"/>
    <w:rsid w:val="0F595229"/>
    <w:rsid w:val="0F5A4B2F"/>
    <w:rsid w:val="0F5B4403"/>
    <w:rsid w:val="0F5C5FC3"/>
    <w:rsid w:val="0F5F2145"/>
    <w:rsid w:val="0F601A19"/>
    <w:rsid w:val="0F607C6B"/>
    <w:rsid w:val="0F6132AC"/>
    <w:rsid w:val="0F621C35"/>
    <w:rsid w:val="0F625791"/>
    <w:rsid w:val="0F637AD6"/>
    <w:rsid w:val="0F645140"/>
    <w:rsid w:val="0F655282"/>
    <w:rsid w:val="0F6614B3"/>
    <w:rsid w:val="0F672DA8"/>
    <w:rsid w:val="0F680533"/>
    <w:rsid w:val="0F692FC4"/>
    <w:rsid w:val="0F697B22"/>
    <w:rsid w:val="0F6A0475"/>
    <w:rsid w:val="0F6A5209"/>
    <w:rsid w:val="0F6B6D3C"/>
    <w:rsid w:val="0F6C4862"/>
    <w:rsid w:val="0F6C5E1D"/>
    <w:rsid w:val="0F6C7CDA"/>
    <w:rsid w:val="0F6E05DA"/>
    <w:rsid w:val="0F6E2388"/>
    <w:rsid w:val="0F6E246A"/>
    <w:rsid w:val="0F6E3178"/>
    <w:rsid w:val="0F6F7BFD"/>
    <w:rsid w:val="0F704352"/>
    <w:rsid w:val="0F711E78"/>
    <w:rsid w:val="0F713C26"/>
    <w:rsid w:val="0F72434F"/>
    <w:rsid w:val="0F725C6C"/>
    <w:rsid w:val="0F741DE9"/>
    <w:rsid w:val="0F743E5B"/>
    <w:rsid w:val="0F757561"/>
    <w:rsid w:val="0F76748F"/>
    <w:rsid w:val="0F7727F0"/>
    <w:rsid w:val="0F772EC6"/>
    <w:rsid w:val="0F7756E1"/>
    <w:rsid w:val="0F781103"/>
    <w:rsid w:val="0F781213"/>
    <w:rsid w:val="0F7979B8"/>
    <w:rsid w:val="0F7A0C10"/>
    <w:rsid w:val="0F7A2ADB"/>
    <w:rsid w:val="0F7A6F7F"/>
    <w:rsid w:val="0F7A6F82"/>
    <w:rsid w:val="0F7C5C33"/>
    <w:rsid w:val="0F7D25CB"/>
    <w:rsid w:val="0F7D4865"/>
    <w:rsid w:val="0F7F1D46"/>
    <w:rsid w:val="0F7F5A4A"/>
    <w:rsid w:val="0F7F6343"/>
    <w:rsid w:val="0F824086"/>
    <w:rsid w:val="0F8353F9"/>
    <w:rsid w:val="0F841BAC"/>
    <w:rsid w:val="0F842B1C"/>
    <w:rsid w:val="0F84395A"/>
    <w:rsid w:val="0F855BBA"/>
    <w:rsid w:val="0F865924"/>
    <w:rsid w:val="0F865D67"/>
    <w:rsid w:val="0F88043F"/>
    <w:rsid w:val="0F882D9D"/>
    <w:rsid w:val="0F89219D"/>
    <w:rsid w:val="0F895414"/>
    <w:rsid w:val="0F8A1EC0"/>
    <w:rsid w:val="0F8A34D6"/>
    <w:rsid w:val="0F8A6D23"/>
    <w:rsid w:val="0F8A6E5B"/>
    <w:rsid w:val="0F8B02EB"/>
    <w:rsid w:val="0F8B4CE8"/>
    <w:rsid w:val="0F8C280E"/>
    <w:rsid w:val="0F8C6CB2"/>
    <w:rsid w:val="0F8C7F84"/>
    <w:rsid w:val="0F8E1FA8"/>
    <w:rsid w:val="0F8E32A7"/>
    <w:rsid w:val="0F8E6586"/>
    <w:rsid w:val="0F8E6DBD"/>
    <w:rsid w:val="0F8E7273"/>
    <w:rsid w:val="0F8F69D5"/>
    <w:rsid w:val="0F9022FF"/>
    <w:rsid w:val="0F9067A2"/>
    <w:rsid w:val="0F9070A2"/>
    <w:rsid w:val="0F913E70"/>
    <w:rsid w:val="0F930041"/>
    <w:rsid w:val="0F931DEF"/>
    <w:rsid w:val="0F933B9D"/>
    <w:rsid w:val="0F94103D"/>
    <w:rsid w:val="0F943044"/>
    <w:rsid w:val="0F943C76"/>
    <w:rsid w:val="0F944EEB"/>
    <w:rsid w:val="0F947F2B"/>
    <w:rsid w:val="0F957915"/>
    <w:rsid w:val="0F972112"/>
    <w:rsid w:val="0F985657"/>
    <w:rsid w:val="0F9877BB"/>
    <w:rsid w:val="0F9925D0"/>
    <w:rsid w:val="0F992AA0"/>
    <w:rsid w:val="0F9A0295"/>
    <w:rsid w:val="0F9A13CF"/>
    <w:rsid w:val="0F9D4A1B"/>
    <w:rsid w:val="0F9E17AE"/>
    <w:rsid w:val="0F9F2542"/>
    <w:rsid w:val="0FA40546"/>
    <w:rsid w:val="0FA40799"/>
    <w:rsid w:val="0FA41D79"/>
    <w:rsid w:val="0FA45DAA"/>
    <w:rsid w:val="0FA536C2"/>
    <w:rsid w:val="0FA77648"/>
    <w:rsid w:val="0FA82787"/>
    <w:rsid w:val="0FAA35FB"/>
    <w:rsid w:val="0FAA52EC"/>
    <w:rsid w:val="0FAA67C0"/>
    <w:rsid w:val="0FAB538A"/>
    <w:rsid w:val="0FAE4DC5"/>
    <w:rsid w:val="0FAE6C29"/>
    <w:rsid w:val="0FAF0E26"/>
    <w:rsid w:val="0FB05AA4"/>
    <w:rsid w:val="0FB12275"/>
    <w:rsid w:val="0FB178C0"/>
    <w:rsid w:val="0FB30C37"/>
    <w:rsid w:val="0FB3423F"/>
    <w:rsid w:val="0FB44C39"/>
    <w:rsid w:val="0FB47476"/>
    <w:rsid w:val="0FB51D65"/>
    <w:rsid w:val="0FB73D2F"/>
    <w:rsid w:val="0FB76D4B"/>
    <w:rsid w:val="0FB81855"/>
    <w:rsid w:val="0FB84C55"/>
    <w:rsid w:val="0FB94AA9"/>
    <w:rsid w:val="0FBA1566"/>
    <w:rsid w:val="0FBA737B"/>
    <w:rsid w:val="0FBC7598"/>
    <w:rsid w:val="0FBD0C1A"/>
    <w:rsid w:val="0FBD2063"/>
    <w:rsid w:val="0FBD5314"/>
    <w:rsid w:val="0FBD67DF"/>
    <w:rsid w:val="0FBE3179"/>
    <w:rsid w:val="0FBF2BE4"/>
    <w:rsid w:val="0FC05908"/>
    <w:rsid w:val="0FC142E3"/>
    <w:rsid w:val="0FC1695C"/>
    <w:rsid w:val="0FC22AB6"/>
    <w:rsid w:val="0FC348AC"/>
    <w:rsid w:val="0FC35B5B"/>
    <w:rsid w:val="0FC401FA"/>
    <w:rsid w:val="0FC62F89"/>
    <w:rsid w:val="0FC65D20"/>
    <w:rsid w:val="0FC80EC1"/>
    <w:rsid w:val="0FC919CD"/>
    <w:rsid w:val="0FC921C2"/>
    <w:rsid w:val="0FCB1589"/>
    <w:rsid w:val="0FCB577D"/>
    <w:rsid w:val="0FCB6EBE"/>
    <w:rsid w:val="0FCB77DB"/>
    <w:rsid w:val="0FCC0B65"/>
    <w:rsid w:val="0FCD3553"/>
    <w:rsid w:val="0FCF6CCF"/>
    <w:rsid w:val="0FD0094D"/>
    <w:rsid w:val="0FD01A45"/>
    <w:rsid w:val="0FD07E02"/>
    <w:rsid w:val="0FD20144"/>
    <w:rsid w:val="0FD27543"/>
    <w:rsid w:val="0FD3043D"/>
    <w:rsid w:val="0FD33817"/>
    <w:rsid w:val="0FD35B18"/>
    <w:rsid w:val="0FD4244B"/>
    <w:rsid w:val="0FD47B13"/>
    <w:rsid w:val="0FD61CDB"/>
    <w:rsid w:val="0FD6408A"/>
    <w:rsid w:val="0FD64FF3"/>
    <w:rsid w:val="0FD65345"/>
    <w:rsid w:val="0FD82180"/>
    <w:rsid w:val="0FD85A54"/>
    <w:rsid w:val="0FD868F1"/>
    <w:rsid w:val="0FD91EF8"/>
    <w:rsid w:val="0FDB04CA"/>
    <w:rsid w:val="0FDF3D97"/>
    <w:rsid w:val="0FDF5034"/>
    <w:rsid w:val="0FDF5838"/>
    <w:rsid w:val="0FE10DAC"/>
    <w:rsid w:val="0FE12B5A"/>
    <w:rsid w:val="0FE157DD"/>
    <w:rsid w:val="0FE161C7"/>
    <w:rsid w:val="0FE2319C"/>
    <w:rsid w:val="0FE32D76"/>
    <w:rsid w:val="0FE34B24"/>
    <w:rsid w:val="0FE35145"/>
    <w:rsid w:val="0FE4089C"/>
    <w:rsid w:val="0FE443F8"/>
    <w:rsid w:val="0FE65715"/>
    <w:rsid w:val="0FE663C2"/>
    <w:rsid w:val="0FE67113"/>
    <w:rsid w:val="0FE708DB"/>
    <w:rsid w:val="0FE72696"/>
    <w:rsid w:val="0FE73815"/>
    <w:rsid w:val="0FE73EE9"/>
    <w:rsid w:val="0FE97C61"/>
    <w:rsid w:val="0FEB39D9"/>
    <w:rsid w:val="0FEC4814"/>
    <w:rsid w:val="0FEC49C9"/>
    <w:rsid w:val="0FEC61F7"/>
    <w:rsid w:val="0FEC7938"/>
    <w:rsid w:val="0FED14FF"/>
    <w:rsid w:val="0FED7751"/>
    <w:rsid w:val="0FEE613F"/>
    <w:rsid w:val="0FEE6E83"/>
    <w:rsid w:val="0FEF37EC"/>
    <w:rsid w:val="0FF10FAE"/>
    <w:rsid w:val="0FF22FB9"/>
    <w:rsid w:val="0FF329B2"/>
    <w:rsid w:val="0FF360CA"/>
    <w:rsid w:val="0FF36DA1"/>
    <w:rsid w:val="0FF4778C"/>
    <w:rsid w:val="0FF52AA9"/>
    <w:rsid w:val="0FF7332F"/>
    <w:rsid w:val="0FF73936"/>
    <w:rsid w:val="0FF76325"/>
    <w:rsid w:val="0FFC1742"/>
    <w:rsid w:val="0FFC5BE6"/>
    <w:rsid w:val="0FFC5D23"/>
    <w:rsid w:val="0FFC7994"/>
    <w:rsid w:val="0FFD118B"/>
    <w:rsid w:val="0FFD624A"/>
    <w:rsid w:val="0FFE370C"/>
    <w:rsid w:val="0FFF1232"/>
    <w:rsid w:val="0FFF1A9C"/>
    <w:rsid w:val="0FFF457C"/>
    <w:rsid w:val="0FFF56D6"/>
    <w:rsid w:val="0FFF5CE0"/>
    <w:rsid w:val="10005D5C"/>
    <w:rsid w:val="1002449F"/>
    <w:rsid w:val="10036F74"/>
    <w:rsid w:val="1004447E"/>
    <w:rsid w:val="10044A9B"/>
    <w:rsid w:val="10046849"/>
    <w:rsid w:val="10053CD6"/>
    <w:rsid w:val="10055973"/>
    <w:rsid w:val="10057731"/>
    <w:rsid w:val="10060813"/>
    <w:rsid w:val="10065347"/>
    <w:rsid w:val="1008458B"/>
    <w:rsid w:val="10084955"/>
    <w:rsid w:val="10084BBD"/>
    <w:rsid w:val="10086339"/>
    <w:rsid w:val="10090303"/>
    <w:rsid w:val="100A2B9E"/>
    <w:rsid w:val="100A783E"/>
    <w:rsid w:val="100B4351"/>
    <w:rsid w:val="100B73E4"/>
    <w:rsid w:val="100D1BA1"/>
    <w:rsid w:val="100D4DF9"/>
    <w:rsid w:val="100D7DF3"/>
    <w:rsid w:val="100E0D2C"/>
    <w:rsid w:val="100E1987"/>
    <w:rsid w:val="100E60EB"/>
    <w:rsid w:val="100F3B6B"/>
    <w:rsid w:val="1010343F"/>
    <w:rsid w:val="101051ED"/>
    <w:rsid w:val="101055ED"/>
    <w:rsid w:val="10107404"/>
    <w:rsid w:val="101074FD"/>
    <w:rsid w:val="10110C55"/>
    <w:rsid w:val="10125409"/>
    <w:rsid w:val="10134CDE"/>
    <w:rsid w:val="10145DC5"/>
    <w:rsid w:val="10151C1F"/>
    <w:rsid w:val="10152804"/>
    <w:rsid w:val="10160CE7"/>
    <w:rsid w:val="101747CE"/>
    <w:rsid w:val="1018070A"/>
    <w:rsid w:val="10182E93"/>
    <w:rsid w:val="1018721A"/>
    <w:rsid w:val="101A6431"/>
    <w:rsid w:val="101A75F2"/>
    <w:rsid w:val="101A76F6"/>
    <w:rsid w:val="101D790A"/>
    <w:rsid w:val="101E5B5C"/>
    <w:rsid w:val="101F7779"/>
    <w:rsid w:val="1021389E"/>
    <w:rsid w:val="10216577"/>
    <w:rsid w:val="102173FB"/>
    <w:rsid w:val="10234F21"/>
    <w:rsid w:val="102363E7"/>
    <w:rsid w:val="102459FA"/>
    <w:rsid w:val="10260EB5"/>
    <w:rsid w:val="10262C63"/>
    <w:rsid w:val="10264A11"/>
    <w:rsid w:val="102723EC"/>
    <w:rsid w:val="102742DA"/>
    <w:rsid w:val="102744E6"/>
    <w:rsid w:val="10284558"/>
    <w:rsid w:val="10284C2D"/>
    <w:rsid w:val="10290F4A"/>
    <w:rsid w:val="10293F62"/>
    <w:rsid w:val="102962AF"/>
    <w:rsid w:val="102B0279"/>
    <w:rsid w:val="102B2027"/>
    <w:rsid w:val="102B64CB"/>
    <w:rsid w:val="102C299B"/>
    <w:rsid w:val="102F7D69"/>
    <w:rsid w:val="10304BDC"/>
    <w:rsid w:val="103144ED"/>
    <w:rsid w:val="10321608"/>
    <w:rsid w:val="103233B6"/>
    <w:rsid w:val="1032785A"/>
    <w:rsid w:val="1033098C"/>
    <w:rsid w:val="1033355D"/>
    <w:rsid w:val="103510F8"/>
    <w:rsid w:val="10354C54"/>
    <w:rsid w:val="10355E7D"/>
    <w:rsid w:val="10374E70"/>
    <w:rsid w:val="103867BB"/>
    <w:rsid w:val="10394744"/>
    <w:rsid w:val="103A226A"/>
    <w:rsid w:val="103B1CEF"/>
    <w:rsid w:val="103D7805"/>
    <w:rsid w:val="103E2154"/>
    <w:rsid w:val="103F0670"/>
    <w:rsid w:val="103F191C"/>
    <w:rsid w:val="103F62DE"/>
    <w:rsid w:val="10403D1F"/>
    <w:rsid w:val="104135F9"/>
    <w:rsid w:val="10437371"/>
    <w:rsid w:val="104521D4"/>
    <w:rsid w:val="1045758D"/>
    <w:rsid w:val="104650B3"/>
    <w:rsid w:val="10466E61"/>
    <w:rsid w:val="104831DD"/>
    <w:rsid w:val="104A0BB3"/>
    <w:rsid w:val="104A4BA3"/>
    <w:rsid w:val="104A69A3"/>
    <w:rsid w:val="104A6FA6"/>
    <w:rsid w:val="104B0811"/>
    <w:rsid w:val="104B7E61"/>
    <w:rsid w:val="104C7264"/>
    <w:rsid w:val="104D01F0"/>
    <w:rsid w:val="104D1903"/>
    <w:rsid w:val="104E4F64"/>
    <w:rsid w:val="104F21BA"/>
    <w:rsid w:val="104F3F68"/>
    <w:rsid w:val="10507EB4"/>
    <w:rsid w:val="105159FE"/>
    <w:rsid w:val="1053170F"/>
    <w:rsid w:val="10535283"/>
    <w:rsid w:val="10545A22"/>
    <w:rsid w:val="10551546"/>
    <w:rsid w:val="105552F6"/>
    <w:rsid w:val="10557C57"/>
    <w:rsid w:val="10563548"/>
    <w:rsid w:val="105668F7"/>
    <w:rsid w:val="1057106E"/>
    <w:rsid w:val="105722DF"/>
    <w:rsid w:val="10572E8C"/>
    <w:rsid w:val="10583751"/>
    <w:rsid w:val="10595C1B"/>
    <w:rsid w:val="10596712"/>
    <w:rsid w:val="105A07A8"/>
    <w:rsid w:val="105A0A96"/>
    <w:rsid w:val="105A47CC"/>
    <w:rsid w:val="105A6AE1"/>
    <w:rsid w:val="105B4EB0"/>
    <w:rsid w:val="105C0433"/>
    <w:rsid w:val="105C6685"/>
    <w:rsid w:val="105D4AEB"/>
    <w:rsid w:val="105E41AB"/>
    <w:rsid w:val="10604040"/>
    <w:rsid w:val="1060498A"/>
    <w:rsid w:val="10611473"/>
    <w:rsid w:val="10613A0A"/>
    <w:rsid w:val="10613C9B"/>
    <w:rsid w:val="10615A49"/>
    <w:rsid w:val="10615AEB"/>
    <w:rsid w:val="106164CC"/>
    <w:rsid w:val="10630B32"/>
    <w:rsid w:val="10637A13"/>
    <w:rsid w:val="10645539"/>
    <w:rsid w:val="106612B1"/>
    <w:rsid w:val="10667637"/>
    <w:rsid w:val="10675755"/>
    <w:rsid w:val="1067613B"/>
    <w:rsid w:val="10677765"/>
    <w:rsid w:val="1069219C"/>
    <w:rsid w:val="106A2B50"/>
    <w:rsid w:val="106A61FD"/>
    <w:rsid w:val="106B68C8"/>
    <w:rsid w:val="106C1B0B"/>
    <w:rsid w:val="106C2C47"/>
    <w:rsid w:val="106D43EE"/>
    <w:rsid w:val="106E7797"/>
    <w:rsid w:val="106F600E"/>
    <w:rsid w:val="106F63B8"/>
    <w:rsid w:val="10706BA8"/>
    <w:rsid w:val="1072324E"/>
    <w:rsid w:val="10727FC8"/>
    <w:rsid w:val="107439CE"/>
    <w:rsid w:val="10747DE7"/>
    <w:rsid w:val="10757746"/>
    <w:rsid w:val="10790FE5"/>
    <w:rsid w:val="10795489"/>
    <w:rsid w:val="107B4D5D"/>
    <w:rsid w:val="107C0612"/>
    <w:rsid w:val="107C426A"/>
    <w:rsid w:val="107C7AEF"/>
    <w:rsid w:val="107E2A9F"/>
    <w:rsid w:val="107E65FB"/>
    <w:rsid w:val="107E71A5"/>
    <w:rsid w:val="107F2A45"/>
    <w:rsid w:val="107F689D"/>
    <w:rsid w:val="108005C5"/>
    <w:rsid w:val="10806817"/>
    <w:rsid w:val="108300B5"/>
    <w:rsid w:val="10836C5C"/>
    <w:rsid w:val="10837366"/>
    <w:rsid w:val="10853E2D"/>
    <w:rsid w:val="10855BDB"/>
    <w:rsid w:val="10855FBF"/>
    <w:rsid w:val="10857989"/>
    <w:rsid w:val="10861954"/>
    <w:rsid w:val="10875725"/>
    <w:rsid w:val="10884671"/>
    <w:rsid w:val="108856CC"/>
    <w:rsid w:val="10886BB5"/>
    <w:rsid w:val="10891786"/>
    <w:rsid w:val="10895B98"/>
    <w:rsid w:val="108A31F2"/>
    <w:rsid w:val="108A4C7B"/>
    <w:rsid w:val="108A4FA0"/>
    <w:rsid w:val="108C01FB"/>
    <w:rsid w:val="108C7F3B"/>
    <w:rsid w:val="108D2CE2"/>
    <w:rsid w:val="108D3140"/>
    <w:rsid w:val="108E5391"/>
    <w:rsid w:val="10907B8E"/>
    <w:rsid w:val="1091064D"/>
    <w:rsid w:val="10911741"/>
    <w:rsid w:val="10915F18"/>
    <w:rsid w:val="109202F8"/>
    <w:rsid w:val="10936117"/>
    <w:rsid w:val="109408CD"/>
    <w:rsid w:val="10943124"/>
    <w:rsid w:val="10945E1E"/>
    <w:rsid w:val="10947BCD"/>
    <w:rsid w:val="10957FEE"/>
    <w:rsid w:val="10972956"/>
    <w:rsid w:val="10973B61"/>
    <w:rsid w:val="10986FB0"/>
    <w:rsid w:val="10991687"/>
    <w:rsid w:val="109A0F5B"/>
    <w:rsid w:val="109B7BB5"/>
    <w:rsid w:val="109C4CD3"/>
    <w:rsid w:val="109D1177"/>
    <w:rsid w:val="109D4673"/>
    <w:rsid w:val="109E4C30"/>
    <w:rsid w:val="109E6C9D"/>
    <w:rsid w:val="10A021DF"/>
    <w:rsid w:val="10A047C3"/>
    <w:rsid w:val="10A122E9"/>
    <w:rsid w:val="10A307B1"/>
    <w:rsid w:val="10A31430"/>
    <w:rsid w:val="10A55369"/>
    <w:rsid w:val="10A5627E"/>
    <w:rsid w:val="10A73DA4"/>
    <w:rsid w:val="10A87B1C"/>
    <w:rsid w:val="10A92F89"/>
    <w:rsid w:val="10A971AF"/>
    <w:rsid w:val="10AA5642"/>
    <w:rsid w:val="10AB12C6"/>
    <w:rsid w:val="10AB142F"/>
    <w:rsid w:val="10AB3168"/>
    <w:rsid w:val="10AB4F16"/>
    <w:rsid w:val="10AD7059"/>
    <w:rsid w:val="10AE1971"/>
    <w:rsid w:val="10AF2C58"/>
    <w:rsid w:val="10AF4A06"/>
    <w:rsid w:val="10B1077E"/>
    <w:rsid w:val="10B10992"/>
    <w:rsid w:val="10B145AD"/>
    <w:rsid w:val="10B169D0"/>
    <w:rsid w:val="10B244F7"/>
    <w:rsid w:val="10B24C5D"/>
    <w:rsid w:val="10B262A5"/>
    <w:rsid w:val="10B358AC"/>
    <w:rsid w:val="10B464C1"/>
    <w:rsid w:val="10B60A4B"/>
    <w:rsid w:val="10B62239"/>
    <w:rsid w:val="10B63FE7"/>
    <w:rsid w:val="10B65D95"/>
    <w:rsid w:val="10B753FB"/>
    <w:rsid w:val="10B82071"/>
    <w:rsid w:val="10B93C9D"/>
    <w:rsid w:val="10B97633"/>
    <w:rsid w:val="10BB784F"/>
    <w:rsid w:val="10BC294F"/>
    <w:rsid w:val="10BC5375"/>
    <w:rsid w:val="10BC5AA5"/>
    <w:rsid w:val="10BE10ED"/>
    <w:rsid w:val="10BE2E9B"/>
    <w:rsid w:val="10C04E65"/>
    <w:rsid w:val="10C2062B"/>
    <w:rsid w:val="10C21B83"/>
    <w:rsid w:val="10C3255D"/>
    <w:rsid w:val="10C3496F"/>
    <w:rsid w:val="10C50298"/>
    <w:rsid w:val="10C61D50"/>
    <w:rsid w:val="10C7057C"/>
    <w:rsid w:val="10C77FA2"/>
    <w:rsid w:val="10C83D1A"/>
    <w:rsid w:val="10C929EE"/>
    <w:rsid w:val="10CA5CE4"/>
    <w:rsid w:val="10CA7D05"/>
    <w:rsid w:val="10CA7EC9"/>
    <w:rsid w:val="10CA7FF5"/>
    <w:rsid w:val="10CB7366"/>
    <w:rsid w:val="10CC1442"/>
    <w:rsid w:val="10CC2E9D"/>
    <w:rsid w:val="10CD1330"/>
    <w:rsid w:val="10CD30DE"/>
    <w:rsid w:val="10CD7582"/>
    <w:rsid w:val="10CE29BB"/>
    <w:rsid w:val="10CF0651"/>
    <w:rsid w:val="10CF32FA"/>
    <w:rsid w:val="10CF3F1B"/>
    <w:rsid w:val="10D0112F"/>
    <w:rsid w:val="10D10E21"/>
    <w:rsid w:val="10D15D3E"/>
    <w:rsid w:val="10D206F5"/>
    <w:rsid w:val="10D26947"/>
    <w:rsid w:val="10D339DD"/>
    <w:rsid w:val="10D34B99"/>
    <w:rsid w:val="10D35D11"/>
    <w:rsid w:val="10D423B5"/>
    <w:rsid w:val="10D6580D"/>
    <w:rsid w:val="10D65CBD"/>
    <w:rsid w:val="10D726AD"/>
    <w:rsid w:val="10D75D0B"/>
    <w:rsid w:val="10D80401"/>
    <w:rsid w:val="10D86D4B"/>
    <w:rsid w:val="10D91A83"/>
    <w:rsid w:val="10DA2500"/>
    <w:rsid w:val="10DB1434"/>
    <w:rsid w:val="10DB1C9F"/>
    <w:rsid w:val="10DB57FB"/>
    <w:rsid w:val="10DB78ED"/>
    <w:rsid w:val="10DD43B5"/>
    <w:rsid w:val="10DD5A17"/>
    <w:rsid w:val="10DE3DE3"/>
    <w:rsid w:val="10DE52EC"/>
    <w:rsid w:val="10DF3B79"/>
    <w:rsid w:val="10E00B36"/>
    <w:rsid w:val="10E054B8"/>
    <w:rsid w:val="10E21B3A"/>
    <w:rsid w:val="10E24DDC"/>
    <w:rsid w:val="10E32514"/>
    <w:rsid w:val="10E32902"/>
    <w:rsid w:val="10E36DA6"/>
    <w:rsid w:val="10E403DD"/>
    <w:rsid w:val="10E42EAD"/>
    <w:rsid w:val="10E4585D"/>
    <w:rsid w:val="10E46ED3"/>
    <w:rsid w:val="10E548CC"/>
    <w:rsid w:val="10E54CB1"/>
    <w:rsid w:val="10E70644"/>
    <w:rsid w:val="10E741A0"/>
    <w:rsid w:val="10E752D8"/>
    <w:rsid w:val="10EA1EE2"/>
    <w:rsid w:val="10EA3C90"/>
    <w:rsid w:val="10EA7BA3"/>
    <w:rsid w:val="10EB73E2"/>
    <w:rsid w:val="10EC5C5A"/>
    <w:rsid w:val="10EC7A09"/>
    <w:rsid w:val="10EF574B"/>
    <w:rsid w:val="10EF74F9"/>
    <w:rsid w:val="10F01DC4"/>
    <w:rsid w:val="10F027A7"/>
    <w:rsid w:val="10F25629"/>
    <w:rsid w:val="10F25EEC"/>
    <w:rsid w:val="10F42D61"/>
    <w:rsid w:val="10F61DB1"/>
    <w:rsid w:val="10F644F5"/>
    <w:rsid w:val="10F66AD9"/>
    <w:rsid w:val="10F863AD"/>
    <w:rsid w:val="10F925C6"/>
    <w:rsid w:val="10F925F9"/>
    <w:rsid w:val="10FA1A6A"/>
    <w:rsid w:val="10FA4306"/>
    <w:rsid w:val="10FB0689"/>
    <w:rsid w:val="10FB40F0"/>
    <w:rsid w:val="10FB5E9E"/>
    <w:rsid w:val="10FB7C4C"/>
    <w:rsid w:val="10FC5772"/>
    <w:rsid w:val="10FD17F7"/>
    <w:rsid w:val="10FD1C16"/>
    <w:rsid w:val="10FD26B4"/>
    <w:rsid w:val="10FD638C"/>
    <w:rsid w:val="10FE513A"/>
    <w:rsid w:val="110034B4"/>
    <w:rsid w:val="11012ADB"/>
    <w:rsid w:val="1102547E"/>
    <w:rsid w:val="1102722C"/>
    <w:rsid w:val="11032FA4"/>
    <w:rsid w:val="11034D52"/>
    <w:rsid w:val="11050ACA"/>
    <w:rsid w:val="11052878"/>
    <w:rsid w:val="110579F0"/>
    <w:rsid w:val="11063FEA"/>
    <w:rsid w:val="110805BA"/>
    <w:rsid w:val="11081338"/>
    <w:rsid w:val="110840F0"/>
    <w:rsid w:val="110A60E1"/>
    <w:rsid w:val="110C00AB"/>
    <w:rsid w:val="110C3C07"/>
    <w:rsid w:val="110D797F"/>
    <w:rsid w:val="110E3F9C"/>
    <w:rsid w:val="110F07F1"/>
    <w:rsid w:val="110F3F9C"/>
    <w:rsid w:val="110F4B1D"/>
    <w:rsid w:val="11115CFE"/>
    <w:rsid w:val="11131439"/>
    <w:rsid w:val="111365EE"/>
    <w:rsid w:val="11140D0D"/>
    <w:rsid w:val="11154A58"/>
    <w:rsid w:val="11161014"/>
    <w:rsid w:val="11162CD7"/>
    <w:rsid w:val="111725AC"/>
    <w:rsid w:val="111807FE"/>
    <w:rsid w:val="11196324"/>
    <w:rsid w:val="111B16B0"/>
    <w:rsid w:val="111B6540"/>
    <w:rsid w:val="111C41A3"/>
    <w:rsid w:val="111D7BC2"/>
    <w:rsid w:val="111F3845"/>
    <w:rsid w:val="11226879"/>
    <w:rsid w:val="112278CE"/>
    <w:rsid w:val="11231AC4"/>
    <w:rsid w:val="112453F4"/>
    <w:rsid w:val="1127048C"/>
    <w:rsid w:val="11274EE5"/>
    <w:rsid w:val="11284B4E"/>
    <w:rsid w:val="11286567"/>
    <w:rsid w:val="11290C5D"/>
    <w:rsid w:val="112B266E"/>
    <w:rsid w:val="112B7445"/>
    <w:rsid w:val="112C29C9"/>
    <w:rsid w:val="112C6057"/>
    <w:rsid w:val="112D6307"/>
    <w:rsid w:val="112D7ADB"/>
    <w:rsid w:val="112E0021"/>
    <w:rsid w:val="112E6273"/>
    <w:rsid w:val="112F4A9A"/>
    <w:rsid w:val="112F5B47"/>
    <w:rsid w:val="112F5E54"/>
    <w:rsid w:val="112F739C"/>
    <w:rsid w:val="11317B11"/>
    <w:rsid w:val="11331708"/>
    <w:rsid w:val="11337646"/>
    <w:rsid w:val="113413B0"/>
    <w:rsid w:val="1134626C"/>
    <w:rsid w:val="11347292"/>
    <w:rsid w:val="11372E17"/>
    <w:rsid w:val="11376E9D"/>
    <w:rsid w:val="11380EA0"/>
    <w:rsid w:val="113849FC"/>
    <w:rsid w:val="11391FAB"/>
    <w:rsid w:val="1139471A"/>
    <w:rsid w:val="113A5C17"/>
    <w:rsid w:val="113B0062"/>
    <w:rsid w:val="113B273E"/>
    <w:rsid w:val="113C0E4E"/>
    <w:rsid w:val="113C57F9"/>
    <w:rsid w:val="113D3054"/>
    <w:rsid w:val="113E7433"/>
    <w:rsid w:val="113F3B94"/>
    <w:rsid w:val="113F5A4D"/>
    <w:rsid w:val="11405FA6"/>
    <w:rsid w:val="1141140A"/>
    <w:rsid w:val="11427629"/>
    <w:rsid w:val="11433F8B"/>
    <w:rsid w:val="1144248F"/>
    <w:rsid w:val="11447845"/>
    <w:rsid w:val="11455BFA"/>
    <w:rsid w:val="11456757"/>
    <w:rsid w:val="114809B7"/>
    <w:rsid w:val="11481B52"/>
    <w:rsid w:val="114A175E"/>
    <w:rsid w:val="114D147C"/>
    <w:rsid w:val="114E0781"/>
    <w:rsid w:val="114F1D45"/>
    <w:rsid w:val="11507CD0"/>
    <w:rsid w:val="115200D5"/>
    <w:rsid w:val="115225F0"/>
    <w:rsid w:val="11531990"/>
    <w:rsid w:val="11535CDA"/>
    <w:rsid w:val="1154192F"/>
    <w:rsid w:val="11541A10"/>
    <w:rsid w:val="115560EE"/>
    <w:rsid w:val="11561326"/>
    <w:rsid w:val="1158509E"/>
    <w:rsid w:val="11586E4C"/>
    <w:rsid w:val="11592BC4"/>
    <w:rsid w:val="115C0990"/>
    <w:rsid w:val="115C2A08"/>
    <w:rsid w:val="115D0906"/>
    <w:rsid w:val="115E22D4"/>
    <w:rsid w:val="115E2D8D"/>
    <w:rsid w:val="115F2023"/>
    <w:rsid w:val="115F32E5"/>
    <w:rsid w:val="116003F7"/>
    <w:rsid w:val="1160142A"/>
    <w:rsid w:val="116021A5"/>
    <w:rsid w:val="116051D3"/>
    <w:rsid w:val="11606388"/>
    <w:rsid w:val="1161764C"/>
    <w:rsid w:val="11623EB6"/>
    <w:rsid w:val="11625146"/>
    <w:rsid w:val="11641C95"/>
    <w:rsid w:val="11643A43"/>
    <w:rsid w:val="116457F1"/>
    <w:rsid w:val="11660B07"/>
    <w:rsid w:val="11665A0D"/>
    <w:rsid w:val="116700C5"/>
    <w:rsid w:val="1167027B"/>
    <w:rsid w:val="11673386"/>
    <w:rsid w:val="11685F36"/>
    <w:rsid w:val="11692E07"/>
    <w:rsid w:val="116C0AA4"/>
    <w:rsid w:val="116C0B49"/>
    <w:rsid w:val="116C6D9B"/>
    <w:rsid w:val="116D71F8"/>
    <w:rsid w:val="116F23E8"/>
    <w:rsid w:val="116F38F5"/>
    <w:rsid w:val="116F4196"/>
    <w:rsid w:val="116F5705"/>
    <w:rsid w:val="1170063A"/>
    <w:rsid w:val="117143B2"/>
    <w:rsid w:val="11716160"/>
    <w:rsid w:val="11727E29"/>
    <w:rsid w:val="117336B0"/>
    <w:rsid w:val="11733C86"/>
    <w:rsid w:val="117417AC"/>
    <w:rsid w:val="1174783D"/>
    <w:rsid w:val="117479FE"/>
    <w:rsid w:val="11754B98"/>
    <w:rsid w:val="117619C8"/>
    <w:rsid w:val="11777B0F"/>
    <w:rsid w:val="11785740"/>
    <w:rsid w:val="117A14B8"/>
    <w:rsid w:val="117A3266"/>
    <w:rsid w:val="117A34DB"/>
    <w:rsid w:val="117B0D8C"/>
    <w:rsid w:val="117B661A"/>
    <w:rsid w:val="117C1CD6"/>
    <w:rsid w:val="117C24B0"/>
    <w:rsid w:val="117C3B09"/>
    <w:rsid w:val="117D2D56"/>
    <w:rsid w:val="117F087D"/>
    <w:rsid w:val="117F3525"/>
    <w:rsid w:val="117F6ACF"/>
    <w:rsid w:val="118063A3"/>
    <w:rsid w:val="11814977"/>
    <w:rsid w:val="11820D75"/>
    <w:rsid w:val="1182211B"/>
    <w:rsid w:val="11840457"/>
    <w:rsid w:val="118440E5"/>
    <w:rsid w:val="11845E93"/>
    <w:rsid w:val="11850FF5"/>
    <w:rsid w:val="118511BA"/>
    <w:rsid w:val="118539B9"/>
    <w:rsid w:val="118609E1"/>
    <w:rsid w:val="11867E5D"/>
    <w:rsid w:val="11884B51"/>
    <w:rsid w:val="11887A9A"/>
    <w:rsid w:val="118903EB"/>
    <w:rsid w:val="118916FB"/>
    <w:rsid w:val="11891E34"/>
    <w:rsid w:val="118934A9"/>
    <w:rsid w:val="118B7221"/>
    <w:rsid w:val="118B7BB0"/>
    <w:rsid w:val="118C11EC"/>
    <w:rsid w:val="118C2F9A"/>
    <w:rsid w:val="118C4243"/>
    <w:rsid w:val="118D41A1"/>
    <w:rsid w:val="118E1A3D"/>
    <w:rsid w:val="118E7C72"/>
    <w:rsid w:val="118F2607"/>
    <w:rsid w:val="11903A51"/>
    <w:rsid w:val="11904838"/>
    <w:rsid w:val="119105B0"/>
    <w:rsid w:val="1191235E"/>
    <w:rsid w:val="11916802"/>
    <w:rsid w:val="11945A1E"/>
    <w:rsid w:val="1195136B"/>
    <w:rsid w:val="11951E4E"/>
    <w:rsid w:val="11963E18"/>
    <w:rsid w:val="1198193E"/>
    <w:rsid w:val="119966EE"/>
    <w:rsid w:val="119B4F8B"/>
    <w:rsid w:val="119D51A7"/>
    <w:rsid w:val="119D6F55"/>
    <w:rsid w:val="119F4A7B"/>
    <w:rsid w:val="11A16A45"/>
    <w:rsid w:val="11A37CF4"/>
    <w:rsid w:val="11A402E3"/>
    <w:rsid w:val="11A405D2"/>
    <w:rsid w:val="11A46535"/>
    <w:rsid w:val="11A53328"/>
    <w:rsid w:val="11A6319C"/>
    <w:rsid w:val="11A66CBE"/>
    <w:rsid w:val="11A82404"/>
    <w:rsid w:val="11A9276A"/>
    <w:rsid w:val="11A93B4C"/>
    <w:rsid w:val="11A93C7D"/>
    <w:rsid w:val="11A976A8"/>
    <w:rsid w:val="11AB1672"/>
    <w:rsid w:val="11AB78C4"/>
    <w:rsid w:val="11AC0F46"/>
    <w:rsid w:val="11AC1F9A"/>
    <w:rsid w:val="11AC2651"/>
    <w:rsid w:val="11AD29BB"/>
    <w:rsid w:val="11AD4D9B"/>
    <w:rsid w:val="11AE1162"/>
    <w:rsid w:val="11AE7376"/>
    <w:rsid w:val="11B04EDA"/>
    <w:rsid w:val="11B118CB"/>
    <w:rsid w:val="11B147AE"/>
    <w:rsid w:val="11B15721"/>
    <w:rsid w:val="11B2449C"/>
    <w:rsid w:val="11B44616"/>
    <w:rsid w:val="11B50AB5"/>
    <w:rsid w:val="11B52E1D"/>
    <w:rsid w:val="11B534B3"/>
    <w:rsid w:val="11B5429E"/>
    <w:rsid w:val="11B62D5B"/>
    <w:rsid w:val="11B65A10"/>
    <w:rsid w:val="11B75E46"/>
    <w:rsid w:val="11B81190"/>
    <w:rsid w:val="11B83D8F"/>
    <w:rsid w:val="11B86D77"/>
    <w:rsid w:val="11B91375"/>
    <w:rsid w:val="11BA77E3"/>
    <w:rsid w:val="11BB369F"/>
    <w:rsid w:val="11BC010C"/>
    <w:rsid w:val="11BC387F"/>
    <w:rsid w:val="11BC5B98"/>
    <w:rsid w:val="11BF09EF"/>
    <w:rsid w:val="11BF2C61"/>
    <w:rsid w:val="11BF511D"/>
    <w:rsid w:val="11C049F1"/>
    <w:rsid w:val="11C10E95"/>
    <w:rsid w:val="11C31BA2"/>
    <w:rsid w:val="11C40985"/>
    <w:rsid w:val="11C47BB0"/>
    <w:rsid w:val="11C50B37"/>
    <w:rsid w:val="11C6025A"/>
    <w:rsid w:val="11C716C3"/>
    <w:rsid w:val="11C72224"/>
    <w:rsid w:val="11C758DB"/>
    <w:rsid w:val="11C95F9C"/>
    <w:rsid w:val="11C97D4A"/>
    <w:rsid w:val="11CB6784"/>
    <w:rsid w:val="11CC15E8"/>
    <w:rsid w:val="11CC3396"/>
    <w:rsid w:val="11CC6638"/>
    <w:rsid w:val="11CE67A8"/>
    <w:rsid w:val="11CE710E"/>
    <w:rsid w:val="11CF0764"/>
    <w:rsid w:val="11CF7E80"/>
    <w:rsid w:val="11D0732A"/>
    <w:rsid w:val="11D07A25"/>
    <w:rsid w:val="11D230A2"/>
    <w:rsid w:val="11D27229"/>
    <w:rsid w:val="11D30BC8"/>
    <w:rsid w:val="11D450A2"/>
    <w:rsid w:val="11D47836"/>
    <w:rsid w:val="11D60C7B"/>
    <w:rsid w:val="11D64215"/>
    <w:rsid w:val="11D814CF"/>
    <w:rsid w:val="11D81D3B"/>
    <w:rsid w:val="11D84431"/>
    <w:rsid w:val="11D85FCC"/>
    <w:rsid w:val="11D87F8D"/>
    <w:rsid w:val="11D91E52"/>
    <w:rsid w:val="11DA1F57"/>
    <w:rsid w:val="11DA5AB3"/>
    <w:rsid w:val="11DA5EF4"/>
    <w:rsid w:val="11DC1820"/>
    <w:rsid w:val="11DC1F4F"/>
    <w:rsid w:val="11DD37F5"/>
    <w:rsid w:val="11DE34B9"/>
    <w:rsid w:val="11DF3DD6"/>
    <w:rsid w:val="11E06E41"/>
    <w:rsid w:val="11E12C61"/>
    <w:rsid w:val="11E14398"/>
    <w:rsid w:val="11E15093"/>
    <w:rsid w:val="11E26764"/>
    <w:rsid w:val="11E44B84"/>
    <w:rsid w:val="11E466CA"/>
    <w:rsid w:val="11E46932"/>
    <w:rsid w:val="11E608FC"/>
    <w:rsid w:val="11E7762D"/>
    <w:rsid w:val="11E91682"/>
    <w:rsid w:val="11E93504"/>
    <w:rsid w:val="11E93F48"/>
    <w:rsid w:val="11EC3A44"/>
    <w:rsid w:val="11EC5F41"/>
    <w:rsid w:val="11EE155E"/>
    <w:rsid w:val="11EE53DA"/>
    <w:rsid w:val="11EE68A1"/>
    <w:rsid w:val="11EF5060"/>
    <w:rsid w:val="11F0177A"/>
    <w:rsid w:val="11F03528"/>
    <w:rsid w:val="11F0504C"/>
    <w:rsid w:val="11F1104F"/>
    <w:rsid w:val="11F11232"/>
    <w:rsid w:val="11F33019"/>
    <w:rsid w:val="11F46980"/>
    <w:rsid w:val="11F51301"/>
    <w:rsid w:val="11F528ED"/>
    <w:rsid w:val="11F539A1"/>
    <w:rsid w:val="11F554B6"/>
    <w:rsid w:val="11F57951"/>
    <w:rsid w:val="11F66391"/>
    <w:rsid w:val="11F70371"/>
    <w:rsid w:val="11F8418B"/>
    <w:rsid w:val="11F86C31"/>
    <w:rsid w:val="11F87021"/>
    <w:rsid w:val="11F96DBA"/>
    <w:rsid w:val="11FA43A7"/>
    <w:rsid w:val="11FB709A"/>
    <w:rsid w:val="11FC011F"/>
    <w:rsid w:val="11FC0CA0"/>
    <w:rsid w:val="11FC3C7B"/>
    <w:rsid w:val="11FE0013"/>
    <w:rsid w:val="1201234A"/>
    <w:rsid w:val="12022358"/>
    <w:rsid w:val="1202325C"/>
    <w:rsid w:val="120314AE"/>
    <w:rsid w:val="12040D82"/>
    <w:rsid w:val="12042B30"/>
    <w:rsid w:val="12045226"/>
    <w:rsid w:val="1205510C"/>
    <w:rsid w:val="12062478"/>
    <w:rsid w:val="120668A8"/>
    <w:rsid w:val="12072620"/>
    <w:rsid w:val="12075EB9"/>
    <w:rsid w:val="12083AB4"/>
    <w:rsid w:val="12086726"/>
    <w:rsid w:val="12096398"/>
    <w:rsid w:val="120A0293"/>
    <w:rsid w:val="120A1046"/>
    <w:rsid w:val="120A3E26"/>
    <w:rsid w:val="120A7942"/>
    <w:rsid w:val="120B0362"/>
    <w:rsid w:val="120B3C17"/>
    <w:rsid w:val="120B3EBE"/>
    <w:rsid w:val="120D0CBE"/>
    <w:rsid w:val="120E7E53"/>
    <w:rsid w:val="120F3A28"/>
    <w:rsid w:val="12112D8B"/>
    <w:rsid w:val="1211382A"/>
    <w:rsid w:val="1211524D"/>
    <w:rsid w:val="121216F1"/>
    <w:rsid w:val="12123254"/>
    <w:rsid w:val="12130FC5"/>
    <w:rsid w:val="121323EB"/>
    <w:rsid w:val="1213426D"/>
    <w:rsid w:val="12137217"/>
    <w:rsid w:val="12152F8F"/>
    <w:rsid w:val="121544BA"/>
    <w:rsid w:val="12154D3D"/>
    <w:rsid w:val="12163C8A"/>
    <w:rsid w:val="121B0BDD"/>
    <w:rsid w:val="121C256F"/>
    <w:rsid w:val="121C431D"/>
    <w:rsid w:val="121C60CC"/>
    <w:rsid w:val="121D3BF2"/>
    <w:rsid w:val="121D48EB"/>
    <w:rsid w:val="121F5BBC"/>
    <w:rsid w:val="121F796A"/>
    <w:rsid w:val="12201FEA"/>
    <w:rsid w:val="1220326C"/>
    <w:rsid w:val="122136E2"/>
    <w:rsid w:val="12217B86"/>
    <w:rsid w:val="1222323B"/>
    <w:rsid w:val="122338FE"/>
    <w:rsid w:val="122339C8"/>
    <w:rsid w:val="12236DF2"/>
    <w:rsid w:val="1226519C"/>
    <w:rsid w:val="12280C0C"/>
    <w:rsid w:val="122819FE"/>
    <w:rsid w:val="12282CC2"/>
    <w:rsid w:val="122946EB"/>
    <w:rsid w:val="12295FDD"/>
    <w:rsid w:val="122A0F7A"/>
    <w:rsid w:val="122A35D2"/>
    <w:rsid w:val="122B037F"/>
    <w:rsid w:val="122D2087"/>
    <w:rsid w:val="122D43E0"/>
    <w:rsid w:val="122D652B"/>
    <w:rsid w:val="122E5DFF"/>
    <w:rsid w:val="122F1060"/>
    <w:rsid w:val="12301B77"/>
    <w:rsid w:val="12307DC9"/>
    <w:rsid w:val="12312651"/>
    <w:rsid w:val="12320AD3"/>
    <w:rsid w:val="12325816"/>
    <w:rsid w:val="12342B72"/>
    <w:rsid w:val="12344715"/>
    <w:rsid w:val="123465DE"/>
    <w:rsid w:val="123569BF"/>
    <w:rsid w:val="12374CB3"/>
    <w:rsid w:val="12386C7D"/>
    <w:rsid w:val="123A2149"/>
    <w:rsid w:val="123A377A"/>
    <w:rsid w:val="123A47A4"/>
    <w:rsid w:val="123B1F6E"/>
    <w:rsid w:val="123C051C"/>
    <w:rsid w:val="123C1E5D"/>
    <w:rsid w:val="123D0F26"/>
    <w:rsid w:val="123D63F3"/>
    <w:rsid w:val="123E6E31"/>
    <w:rsid w:val="123F7A01"/>
    <w:rsid w:val="12411FD6"/>
    <w:rsid w:val="124304D7"/>
    <w:rsid w:val="12432211"/>
    <w:rsid w:val="1246048F"/>
    <w:rsid w:val="12466EEF"/>
    <w:rsid w:val="124843BE"/>
    <w:rsid w:val="12486EC1"/>
    <w:rsid w:val="124A70DD"/>
    <w:rsid w:val="124B4C03"/>
    <w:rsid w:val="124B69B1"/>
    <w:rsid w:val="124D097B"/>
    <w:rsid w:val="124D2729"/>
    <w:rsid w:val="124E15C3"/>
    <w:rsid w:val="124E4B97"/>
    <w:rsid w:val="124F03F3"/>
    <w:rsid w:val="124F5FD2"/>
    <w:rsid w:val="1250234B"/>
    <w:rsid w:val="12503FC7"/>
    <w:rsid w:val="125052E2"/>
    <w:rsid w:val="12521748"/>
    <w:rsid w:val="12525F91"/>
    <w:rsid w:val="12527737"/>
    <w:rsid w:val="1253712E"/>
    <w:rsid w:val="125665FF"/>
    <w:rsid w:val="12571460"/>
    <w:rsid w:val="125735A8"/>
    <w:rsid w:val="12575356"/>
    <w:rsid w:val="1257764D"/>
    <w:rsid w:val="125A3098"/>
    <w:rsid w:val="125A4E46"/>
    <w:rsid w:val="125A6232"/>
    <w:rsid w:val="125B2C69"/>
    <w:rsid w:val="125B69E3"/>
    <w:rsid w:val="125C0BBE"/>
    <w:rsid w:val="125C7F72"/>
    <w:rsid w:val="125D05FA"/>
    <w:rsid w:val="125D66A8"/>
    <w:rsid w:val="125E2E76"/>
    <w:rsid w:val="125E4936"/>
    <w:rsid w:val="125F245C"/>
    <w:rsid w:val="125F420A"/>
    <w:rsid w:val="126006AE"/>
    <w:rsid w:val="126128B3"/>
    <w:rsid w:val="12614426"/>
    <w:rsid w:val="1262090D"/>
    <w:rsid w:val="126262F4"/>
    <w:rsid w:val="12626A3B"/>
    <w:rsid w:val="12631A96"/>
    <w:rsid w:val="12633CFA"/>
    <w:rsid w:val="12635AA8"/>
    <w:rsid w:val="12641821"/>
    <w:rsid w:val="12643715"/>
    <w:rsid w:val="12647A72"/>
    <w:rsid w:val="1265327A"/>
    <w:rsid w:val="12654DBE"/>
    <w:rsid w:val="12655CC4"/>
    <w:rsid w:val="12656690"/>
    <w:rsid w:val="126637EB"/>
    <w:rsid w:val="12681C41"/>
    <w:rsid w:val="126857B5"/>
    <w:rsid w:val="12695089"/>
    <w:rsid w:val="126B0E01"/>
    <w:rsid w:val="126B2BAF"/>
    <w:rsid w:val="126B7053"/>
    <w:rsid w:val="126D2DCB"/>
    <w:rsid w:val="126D6123"/>
    <w:rsid w:val="126D6927"/>
    <w:rsid w:val="126E6DAF"/>
    <w:rsid w:val="126F29F9"/>
    <w:rsid w:val="12713ECA"/>
    <w:rsid w:val="12732456"/>
    <w:rsid w:val="12744159"/>
    <w:rsid w:val="127557DC"/>
    <w:rsid w:val="12771554"/>
    <w:rsid w:val="12774B06"/>
    <w:rsid w:val="127777A6"/>
    <w:rsid w:val="127952CC"/>
    <w:rsid w:val="127A1044"/>
    <w:rsid w:val="127A7296"/>
    <w:rsid w:val="127B44BD"/>
    <w:rsid w:val="127C1B98"/>
    <w:rsid w:val="127C6B6A"/>
    <w:rsid w:val="127C7824"/>
    <w:rsid w:val="127E0B34"/>
    <w:rsid w:val="127F665A"/>
    <w:rsid w:val="12851EC3"/>
    <w:rsid w:val="12861C28"/>
    <w:rsid w:val="12865C3B"/>
    <w:rsid w:val="12880988"/>
    <w:rsid w:val="12891287"/>
    <w:rsid w:val="128A396C"/>
    <w:rsid w:val="128A572B"/>
    <w:rsid w:val="128A7E1B"/>
    <w:rsid w:val="128B2877"/>
    <w:rsid w:val="128B4FFF"/>
    <w:rsid w:val="128C79CD"/>
    <w:rsid w:val="128D6FC9"/>
    <w:rsid w:val="128E498E"/>
    <w:rsid w:val="12905747"/>
    <w:rsid w:val="1290609D"/>
    <w:rsid w:val="12906AB9"/>
    <w:rsid w:val="1291752C"/>
    <w:rsid w:val="1292339A"/>
    <w:rsid w:val="1292638E"/>
    <w:rsid w:val="129323E8"/>
    <w:rsid w:val="129324E1"/>
    <w:rsid w:val="12937EC0"/>
    <w:rsid w:val="12940D55"/>
    <w:rsid w:val="129432EA"/>
    <w:rsid w:val="1294398E"/>
    <w:rsid w:val="129475EE"/>
    <w:rsid w:val="12947B26"/>
    <w:rsid w:val="12960575"/>
    <w:rsid w:val="12971BF6"/>
    <w:rsid w:val="12977BDD"/>
    <w:rsid w:val="129A57C7"/>
    <w:rsid w:val="129A7987"/>
    <w:rsid w:val="129B16E6"/>
    <w:rsid w:val="129B48F0"/>
    <w:rsid w:val="129C720C"/>
    <w:rsid w:val="129C7577"/>
    <w:rsid w:val="129D0E16"/>
    <w:rsid w:val="129E02B8"/>
    <w:rsid w:val="129F1CFA"/>
    <w:rsid w:val="12A00F82"/>
    <w:rsid w:val="12A01694"/>
    <w:rsid w:val="12A04F4F"/>
    <w:rsid w:val="12A12A75"/>
    <w:rsid w:val="12A165D1"/>
    <w:rsid w:val="12A204B1"/>
    <w:rsid w:val="12A33082"/>
    <w:rsid w:val="12A367ED"/>
    <w:rsid w:val="12A54313"/>
    <w:rsid w:val="12A55421"/>
    <w:rsid w:val="12A6342D"/>
    <w:rsid w:val="12A762DD"/>
    <w:rsid w:val="12A85A64"/>
    <w:rsid w:val="12A97FAE"/>
    <w:rsid w:val="12AA1814"/>
    <w:rsid w:val="12AB56A1"/>
    <w:rsid w:val="12AB744F"/>
    <w:rsid w:val="12AC5875"/>
    <w:rsid w:val="12AF0CEE"/>
    <w:rsid w:val="12B05320"/>
    <w:rsid w:val="12B05686"/>
    <w:rsid w:val="12B10F0A"/>
    <w:rsid w:val="12B26A30"/>
    <w:rsid w:val="12B409FA"/>
    <w:rsid w:val="12B427A8"/>
    <w:rsid w:val="12B46E52"/>
    <w:rsid w:val="12B55497"/>
    <w:rsid w:val="12B61F29"/>
    <w:rsid w:val="12B66520"/>
    <w:rsid w:val="12B75DF4"/>
    <w:rsid w:val="12B77FA2"/>
    <w:rsid w:val="12B835C4"/>
    <w:rsid w:val="12B855AD"/>
    <w:rsid w:val="12B96010"/>
    <w:rsid w:val="12BB109B"/>
    <w:rsid w:val="12BB4E18"/>
    <w:rsid w:val="12BC2397"/>
    <w:rsid w:val="12BC3C29"/>
    <w:rsid w:val="12BC6EAB"/>
    <w:rsid w:val="12BE7896"/>
    <w:rsid w:val="12C02EFB"/>
    <w:rsid w:val="12C07CCC"/>
    <w:rsid w:val="12C26BB4"/>
    <w:rsid w:val="12C26FCA"/>
    <w:rsid w:val="12C329EB"/>
    <w:rsid w:val="12C34799"/>
    <w:rsid w:val="12C50B42"/>
    <w:rsid w:val="12C678AC"/>
    <w:rsid w:val="12C72BD9"/>
    <w:rsid w:val="12C80001"/>
    <w:rsid w:val="12C86253"/>
    <w:rsid w:val="12C91640"/>
    <w:rsid w:val="12C9667C"/>
    <w:rsid w:val="12CA1FCB"/>
    <w:rsid w:val="12CA2FDC"/>
    <w:rsid w:val="12CA5B28"/>
    <w:rsid w:val="12CB228E"/>
    <w:rsid w:val="12CB49B0"/>
    <w:rsid w:val="12CC7AF2"/>
    <w:rsid w:val="12CD124B"/>
    <w:rsid w:val="12CD1ABC"/>
    <w:rsid w:val="12CD73C6"/>
    <w:rsid w:val="12CF0665"/>
    <w:rsid w:val="12CF1390"/>
    <w:rsid w:val="12D01ED3"/>
    <w:rsid w:val="12D04739"/>
    <w:rsid w:val="12D15108"/>
    <w:rsid w:val="12D30A20"/>
    <w:rsid w:val="12D335F1"/>
    <w:rsid w:val="12D373EF"/>
    <w:rsid w:val="12D469A6"/>
    <w:rsid w:val="12D547F3"/>
    <w:rsid w:val="12D60970"/>
    <w:rsid w:val="12D746E8"/>
    <w:rsid w:val="12D90460"/>
    <w:rsid w:val="12D9516D"/>
    <w:rsid w:val="12DA08F3"/>
    <w:rsid w:val="12DC3AAD"/>
    <w:rsid w:val="12DD1CFF"/>
    <w:rsid w:val="12E110C3"/>
    <w:rsid w:val="12E14C45"/>
    <w:rsid w:val="12E2190B"/>
    <w:rsid w:val="12E2404E"/>
    <w:rsid w:val="12E24589"/>
    <w:rsid w:val="12E32111"/>
    <w:rsid w:val="12E34E3B"/>
    <w:rsid w:val="12E36D9D"/>
    <w:rsid w:val="12E4180D"/>
    <w:rsid w:val="12E50BB3"/>
    <w:rsid w:val="12E60488"/>
    <w:rsid w:val="12E60B70"/>
    <w:rsid w:val="12E7492B"/>
    <w:rsid w:val="12E82452"/>
    <w:rsid w:val="12E83243"/>
    <w:rsid w:val="12E84200"/>
    <w:rsid w:val="12E95FBB"/>
    <w:rsid w:val="12E9677C"/>
    <w:rsid w:val="12EA5817"/>
    <w:rsid w:val="12EA7F78"/>
    <w:rsid w:val="12EC5FA1"/>
    <w:rsid w:val="12ED15CB"/>
    <w:rsid w:val="12ED1816"/>
    <w:rsid w:val="12EF1689"/>
    <w:rsid w:val="12EF1A32"/>
    <w:rsid w:val="12EF37E0"/>
    <w:rsid w:val="12EF6816"/>
    <w:rsid w:val="12F17558"/>
    <w:rsid w:val="12F25439"/>
    <w:rsid w:val="12F33274"/>
    <w:rsid w:val="12F40DF6"/>
    <w:rsid w:val="12F47048"/>
    <w:rsid w:val="12F577F8"/>
    <w:rsid w:val="12F62DC0"/>
    <w:rsid w:val="12F65CF5"/>
    <w:rsid w:val="12F6691D"/>
    <w:rsid w:val="12F708E7"/>
    <w:rsid w:val="12F723B4"/>
    <w:rsid w:val="12F72930"/>
    <w:rsid w:val="12F812AB"/>
    <w:rsid w:val="12F81683"/>
    <w:rsid w:val="12F91F48"/>
    <w:rsid w:val="12F92BFB"/>
    <w:rsid w:val="12FA71D0"/>
    <w:rsid w:val="12FB2185"/>
    <w:rsid w:val="12FB3F33"/>
    <w:rsid w:val="12FC7CAB"/>
    <w:rsid w:val="12FD1B53"/>
    <w:rsid w:val="12FD65B4"/>
    <w:rsid w:val="12FF0932"/>
    <w:rsid w:val="12FF1C91"/>
    <w:rsid w:val="12FF6CF9"/>
    <w:rsid w:val="1300437E"/>
    <w:rsid w:val="130059ED"/>
    <w:rsid w:val="13013A9E"/>
    <w:rsid w:val="1301536A"/>
    <w:rsid w:val="13021765"/>
    <w:rsid w:val="13022373"/>
    <w:rsid w:val="130304E4"/>
    <w:rsid w:val="13040F8F"/>
    <w:rsid w:val="13042DC0"/>
    <w:rsid w:val="13052BC6"/>
    <w:rsid w:val="13060FD0"/>
    <w:rsid w:val="13076D7C"/>
    <w:rsid w:val="13080DA0"/>
    <w:rsid w:val="130974DB"/>
    <w:rsid w:val="130A0BC1"/>
    <w:rsid w:val="130A686C"/>
    <w:rsid w:val="130B4C68"/>
    <w:rsid w:val="130C0BB1"/>
    <w:rsid w:val="130C11DC"/>
    <w:rsid w:val="130C2C66"/>
    <w:rsid w:val="130C36F5"/>
    <w:rsid w:val="130C4392"/>
    <w:rsid w:val="130C5AF9"/>
    <w:rsid w:val="130C6140"/>
    <w:rsid w:val="130D010A"/>
    <w:rsid w:val="130D3296"/>
    <w:rsid w:val="130E38E2"/>
    <w:rsid w:val="130F5C30"/>
    <w:rsid w:val="130F79DE"/>
    <w:rsid w:val="13113BD5"/>
    <w:rsid w:val="13115F8C"/>
    <w:rsid w:val="13117BFA"/>
    <w:rsid w:val="1312127D"/>
    <w:rsid w:val="131274CE"/>
    <w:rsid w:val="131312C5"/>
    <w:rsid w:val="13140A25"/>
    <w:rsid w:val="13143247"/>
    <w:rsid w:val="131509B6"/>
    <w:rsid w:val="13154E3F"/>
    <w:rsid w:val="13157485"/>
    <w:rsid w:val="13160D6D"/>
    <w:rsid w:val="13165211"/>
    <w:rsid w:val="13166D0A"/>
    <w:rsid w:val="13166FBF"/>
    <w:rsid w:val="131854EB"/>
    <w:rsid w:val="131B45D5"/>
    <w:rsid w:val="131B6383"/>
    <w:rsid w:val="131D034D"/>
    <w:rsid w:val="131E269C"/>
    <w:rsid w:val="131E2FC6"/>
    <w:rsid w:val="131F0FC3"/>
    <w:rsid w:val="131F129E"/>
    <w:rsid w:val="131F4456"/>
    <w:rsid w:val="13201BEB"/>
    <w:rsid w:val="13203715"/>
    <w:rsid w:val="13207027"/>
    <w:rsid w:val="132316DC"/>
    <w:rsid w:val="13233050"/>
    <w:rsid w:val="1323348A"/>
    <w:rsid w:val="13234267"/>
    <w:rsid w:val="132536A6"/>
    <w:rsid w:val="13257202"/>
    <w:rsid w:val="132677E3"/>
    <w:rsid w:val="132711CC"/>
    <w:rsid w:val="132A268E"/>
    <w:rsid w:val="132A7A03"/>
    <w:rsid w:val="132C233E"/>
    <w:rsid w:val="132D4308"/>
    <w:rsid w:val="132D60B6"/>
    <w:rsid w:val="132E49FB"/>
    <w:rsid w:val="132F270C"/>
    <w:rsid w:val="132F62D2"/>
    <w:rsid w:val="13304667"/>
    <w:rsid w:val="13313DF9"/>
    <w:rsid w:val="13316631"/>
    <w:rsid w:val="1332191F"/>
    <w:rsid w:val="133236CD"/>
    <w:rsid w:val="133253C2"/>
    <w:rsid w:val="13345698"/>
    <w:rsid w:val="13347445"/>
    <w:rsid w:val="13367661"/>
    <w:rsid w:val="13373653"/>
    <w:rsid w:val="13384EFE"/>
    <w:rsid w:val="13386F35"/>
    <w:rsid w:val="13392CAD"/>
    <w:rsid w:val="13394A5B"/>
    <w:rsid w:val="133A105E"/>
    <w:rsid w:val="133B07D3"/>
    <w:rsid w:val="133B4ABA"/>
    <w:rsid w:val="133B4C77"/>
    <w:rsid w:val="133B50BF"/>
    <w:rsid w:val="133C1963"/>
    <w:rsid w:val="133D09EF"/>
    <w:rsid w:val="133D454B"/>
    <w:rsid w:val="133E02C4"/>
    <w:rsid w:val="133E2072"/>
    <w:rsid w:val="134021A7"/>
    <w:rsid w:val="1340228E"/>
    <w:rsid w:val="1340403C"/>
    <w:rsid w:val="13405DEA"/>
    <w:rsid w:val="13410069"/>
    <w:rsid w:val="13413D6E"/>
    <w:rsid w:val="13421B62"/>
    <w:rsid w:val="13427DB4"/>
    <w:rsid w:val="13433B2C"/>
    <w:rsid w:val="134343C0"/>
    <w:rsid w:val="134358DA"/>
    <w:rsid w:val="134457AD"/>
    <w:rsid w:val="13445C06"/>
    <w:rsid w:val="13451652"/>
    <w:rsid w:val="1345672F"/>
    <w:rsid w:val="134621D2"/>
    <w:rsid w:val="13481534"/>
    <w:rsid w:val="13484714"/>
    <w:rsid w:val="13497394"/>
    <w:rsid w:val="13497589"/>
    <w:rsid w:val="134976C3"/>
    <w:rsid w:val="134A310C"/>
    <w:rsid w:val="134A3C38"/>
    <w:rsid w:val="134A4EBA"/>
    <w:rsid w:val="134B44DA"/>
    <w:rsid w:val="134B71F7"/>
    <w:rsid w:val="134D0507"/>
    <w:rsid w:val="134D0E22"/>
    <w:rsid w:val="134E26EA"/>
    <w:rsid w:val="134E4AD9"/>
    <w:rsid w:val="13516249"/>
    <w:rsid w:val="135172E5"/>
    <w:rsid w:val="13533D6F"/>
    <w:rsid w:val="13545D39"/>
    <w:rsid w:val="13551D5C"/>
    <w:rsid w:val="13555C66"/>
    <w:rsid w:val="135602CE"/>
    <w:rsid w:val="13561AB1"/>
    <w:rsid w:val="1356560D"/>
    <w:rsid w:val="13573133"/>
    <w:rsid w:val="13573157"/>
    <w:rsid w:val="13581385"/>
    <w:rsid w:val="135A334F"/>
    <w:rsid w:val="135B0E75"/>
    <w:rsid w:val="135B2C24"/>
    <w:rsid w:val="135B70C7"/>
    <w:rsid w:val="135C2F68"/>
    <w:rsid w:val="135D2E40"/>
    <w:rsid w:val="135D4BEE"/>
    <w:rsid w:val="135D699C"/>
    <w:rsid w:val="135F434B"/>
    <w:rsid w:val="136006E5"/>
    <w:rsid w:val="136044BA"/>
    <w:rsid w:val="136046DE"/>
    <w:rsid w:val="136141DB"/>
    <w:rsid w:val="136202C9"/>
    <w:rsid w:val="1362158E"/>
    <w:rsid w:val="13622204"/>
    <w:rsid w:val="13623FB2"/>
    <w:rsid w:val="13632714"/>
    <w:rsid w:val="13637D2A"/>
    <w:rsid w:val="1367781A"/>
    <w:rsid w:val="136840DC"/>
    <w:rsid w:val="13685340"/>
    <w:rsid w:val="13693592"/>
    <w:rsid w:val="136A013D"/>
    <w:rsid w:val="136A10B9"/>
    <w:rsid w:val="136A2E67"/>
    <w:rsid w:val="136A7C98"/>
    <w:rsid w:val="136B538D"/>
    <w:rsid w:val="136C3083"/>
    <w:rsid w:val="136C4E31"/>
    <w:rsid w:val="136D1588"/>
    <w:rsid w:val="136D65B4"/>
    <w:rsid w:val="136E0BA9"/>
    <w:rsid w:val="136E6DFB"/>
    <w:rsid w:val="136F116E"/>
    <w:rsid w:val="136F3FAF"/>
    <w:rsid w:val="13702B73"/>
    <w:rsid w:val="13715D01"/>
    <w:rsid w:val="13727D5F"/>
    <w:rsid w:val="13732930"/>
    <w:rsid w:val="1373534E"/>
    <w:rsid w:val="137361BF"/>
    <w:rsid w:val="13737F6D"/>
    <w:rsid w:val="13743620"/>
    <w:rsid w:val="13763F01"/>
    <w:rsid w:val="13785584"/>
    <w:rsid w:val="137959C0"/>
    <w:rsid w:val="137B5074"/>
    <w:rsid w:val="137D0DEC"/>
    <w:rsid w:val="137D5290"/>
    <w:rsid w:val="137E12A5"/>
    <w:rsid w:val="137E6302"/>
    <w:rsid w:val="137E6912"/>
    <w:rsid w:val="137F2DB6"/>
    <w:rsid w:val="137F7A39"/>
    <w:rsid w:val="13802363"/>
    <w:rsid w:val="1380268A"/>
    <w:rsid w:val="13806B2E"/>
    <w:rsid w:val="13807363"/>
    <w:rsid w:val="13810E6E"/>
    <w:rsid w:val="13812AAF"/>
    <w:rsid w:val="13824654"/>
    <w:rsid w:val="13830FA6"/>
    <w:rsid w:val="13833F28"/>
    <w:rsid w:val="1383659F"/>
    <w:rsid w:val="13842174"/>
    <w:rsid w:val="1384217A"/>
    <w:rsid w:val="13854144"/>
    <w:rsid w:val="13855218"/>
    <w:rsid w:val="13857810"/>
    <w:rsid w:val="138836C6"/>
    <w:rsid w:val="13893C35"/>
    <w:rsid w:val="1389504F"/>
    <w:rsid w:val="138959E3"/>
    <w:rsid w:val="13897E33"/>
    <w:rsid w:val="138A18FE"/>
    <w:rsid w:val="138A4754"/>
    <w:rsid w:val="138C254D"/>
    <w:rsid w:val="138D70C1"/>
    <w:rsid w:val="138E31A0"/>
    <w:rsid w:val="138E5F31"/>
    <w:rsid w:val="138F09C8"/>
    <w:rsid w:val="138F28CD"/>
    <w:rsid w:val="13904FC3"/>
    <w:rsid w:val="13906D71"/>
    <w:rsid w:val="13914F8E"/>
    <w:rsid w:val="13916645"/>
    <w:rsid w:val="13927805"/>
    <w:rsid w:val="1393060F"/>
    <w:rsid w:val="139323BD"/>
    <w:rsid w:val="139340F2"/>
    <w:rsid w:val="13936874"/>
    <w:rsid w:val="13946872"/>
    <w:rsid w:val="139530F9"/>
    <w:rsid w:val="13955CCA"/>
    <w:rsid w:val="139600E1"/>
    <w:rsid w:val="139705EA"/>
    <w:rsid w:val="13985790"/>
    <w:rsid w:val="13995335"/>
    <w:rsid w:val="13995836"/>
    <w:rsid w:val="139A5C80"/>
    <w:rsid w:val="139B1CDF"/>
    <w:rsid w:val="139B74A5"/>
    <w:rsid w:val="139C1C28"/>
    <w:rsid w:val="139C5AF8"/>
    <w:rsid w:val="139C7BB1"/>
    <w:rsid w:val="139D148E"/>
    <w:rsid w:val="139D1676"/>
    <w:rsid w:val="139D445C"/>
    <w:rsid w:val="139D55A3"/>
    <w:rsid w:val="139E0748"/>
    <w:rsid w:val="139E25CA"/>
    <w:rsid w:val="139F5206"/>
    <w:rsid w:val="139F6FB4"/>
    <w:rsid w:val="13A04ADA"/>
    <w:rsid w:val="13A20852"/>
    <w:rsid w:val="13A22600"/>
    <w:rsid w:val="13A4271F"/>
    <w:rsid w:val="13A43624"/>
    <w:rsid w:val="13A50343"/>
    <w:rsid w:val="13A520F1"/>
    <w:rsid w:val="13A60583"/>
    <w:rsid w:val="13A740BB"/>
    <w:rsid w:val="13A92869"/>
    <w:rsid w:val="13A97E33"/>
    <w:rsid w:val="13AA3B19"/>
    <w:rsid w:val="13AB2BE4"/>
    <w:rsid w:val="13AB7063"/>
    <w:rsid w:val="13AE369B"/>
    <w:rsid w:val="13AE71F7"/>
    <w:rsid w:val="13AF2F6F"/>
    <w:rsid w:val="13B011C1"/>
    <w:rsid w:val="13B01C9A"/>
    <w:rsid w:val="13B01DD4"/>
    <w:rsid w:val="13B22621"/>
    <w:rsid w:val="13B27AB8"/>
    <w:rsid w:val="13B30CB1"/>
    <w:rsid w:val="13B32A60"/>
    <w:rsid w:val="13B42885"/>
    <w:rsid w:val="13B50586"/>
    <w:rsid w:val="13B52C70"/>
    <w:rsid w:val="13B54A2A"/>
    <w:rsid w:val="13B55B78"/>
    <w:rsid w:val="13B75003"/>
    <w:rsid w:val="13B81064"/>
    <w:rsid w:val="13B82533"/>
    <w:rsid w:val="13B862C8"/>
    <w:rsid w:val="13B86493"/>
    <w:rsid w:val="13BA5B9C"/>
    <w:rsid w:val="13BB36C2"/>
    <w:rsid w:val="13BD38DE"/>
    <w:rsid w:val="13BE1D53"/>
    <w:rsid w:val="13BF1404"/>
    <w:rsid w:val="13BF4C25"/>
    <w:rsid w:val="13C0517C"/>
    <w:rsid w:val="13C06F2A"/>
    <w:rsid w:val="13C22D04"/>
    <w:rsid w:val="13C23451"/>
    <w:rsid w:val="13C36177"/>
    <w:rsid w:val="13C41235"/>
    <w:rsid w:val="13C44C6D"/>
    <w:rsid w:val="13C46A1B"/>
    <w:rsid w:val="13C627F3"/>
    <w:rsid w:val="13C7475D"/>
    <w:rsid w:val="13C92283"/>
    <w:rsid w:val="13C93F21"/>
    <w:rsid w:val="13C945DF"/>
    <w:rsid w:val="13C95DA3"/>
    <w:rsid w:val="13CA0FE7"/>
    <w:rsid w:val="13CA1B57"/>
    <w:rsid w:val="13CB74DA"/>
    <w:rsid w:val="13CC1D73"/>
    <w:rsid w:val="13CC29A2"/>
    <w:rsid w:val="13CC6856"/>
    <w:rsid w:val="13CE328A"/>
    <w:rsid w:val="13CE33F5"/>
    <w:rsid w:val="13CE5AEB"/>
    <w:rsid w:val="13CF064E"/>
    <w:rsid w:val="13CF0B17"/>
    <w:rsid w:val="13D07C7C"/>
    <w:rsid w:val="13D07F0E"/>
    <w:rsid w:val="13D10705"/>
    <w:rsid w:val="13D1738A"/>
    <w:rsid w:val="13D44784"/>
    <w:rsid w:val="13D50C28"/>
    <w:rsid w:val="13D57F1B"/>
    <w:rsid w:val="13D65FBA"/>
    <w:rsid w:val="13D749A0"/>
    <w:rsid w:val="13D76E8F"/>
    <w:rsid w:val="13D80718"/>
    <w:rsid w:val="13D91ADE"/>
    <w:rsid w:val="13D929F1"/>
    <w:rsid w:val="13DB5FC6"/>
    <w:rsid w:val="13DD039A"/>
    <w:rsid w:val="13DD188A"/>
    <w:rsid w:val="13DE4628"/>
    <w:rsid w:val="13DF1AA7"/>
    <w:rsid w:val="13DF3855"/>
    <w:rsid w:val="13E01EBD"/>
    <w:rsid w:val="13E13E96"/>
    <w:rsid w:val="13E1587A"/>
    <w:rsid w:val="13E23345"/>
    <w:rsid w:val="13E278DB"/>
    <w:rsid w:val="13E408C3"/>
    <w:rsid w:val="13E40E6B"/>
    <w:rsid w:val="13E45E7C"/>
    <w:rsid w:val="13E729A1"/>
    <w:rsid w:val="13E75DFD"/>
    <w:rsid w:val="13E8632E"/>
    <w:rsid w:val="13E9022F"/>
    <w:rsid w:val="13E9548F"/>
    <w:rsid w:val="13E96481"/>
    <w:rsid w:val="13EB044B"/>
    <w:rsid w:val="13EB3FA7"/>
    <w:rsid w:val="13EB5139"/>
    <w:rsid w:val="13EC10B3"/>
    <w:rsid w:val="13EC2F66"/>
    <w:rsid w:val="13ED79AC"/>
    <w:rsid w:val="13EE5846"/>
    <w:rsid w:val="13EE637E"/>
    <w:rsid w:val="13F00A86"/>
    <w:rsid w:val="13F03830"/>
    <w:rsid w:val="13F05A62"/>
    <w:rsid w:val="13F07810"/>
    <w:rsid w:val="13F10FD8"/>
    <w:rsid w:val="13F2166C"/>
    <w:rsid w:val="13F310AE"/>
    <w:rsid w:val="13F35552"/>
    <w:rsid w:val="13F37300"/>
    <w:rsid w:val="13F54E26"/>
    <w:rsid w:val="13F61256"/>
    <w:rsid w:val="13F632D9"/>
    <w:rsid w:val="13F63E76"/>
    <w:rsid w:val="13F7557D"/>
    <w:rsid w:val="13F84916"/>
    <w:rsid w:val="13F93879"/>
    <w:rsid w:val="13F96B6D"/>
    <w:rsid w:val="13FA068E"/>
    <w:rsid w:val="13FA095B"/>
    <w:rsid w:val="13FA41EA"/>
    <w:rsid w:val="13FC4407"/>
    <w:rsid w:val="13FD017F"/>
    <w:rsid w:val="13FD12E9"/>
    <w:rsid w:val="13FE2D40"/>
    <w:rsid w:val="13FF3EF7"/>
    <w:rsid w:val="14011A1D"/>
    <w:rsid w:val="140212F1"/>
    <w:rsid w:val="140271A7"/>
    <w:rsid w:val="14027543"/>
    <w:rsid w:val="14041255"/>
    <w:rsid w:val="140432BB"/>
    <w:rsid w:val="140504E8"/>
    <w:rsid w:val="14065285"/>
    <w:rsid w:val="14071F8B"/>
    <w:rsid w:val="140908D1"/>
    <w:rsid w:val="140A41B1"/>
    <w:rsid w:val="140A56D8"/>
    <w:rsid w:val="140B464A"/>
    <w:rsid w:val="140B63F8"/>
    <w:rsid w:val="140C03C2"/>
    <w:rsid w:val="140D4B32"/>
    <w:rsid w:val="140D6614"/>
    <w:rsid w:val="140E5EE8"/>
    <w:rsid w:val="140E7C96"/>
    <w:rsid w:val="14101C60"/>
    <w:rsid w:val="14107EB2"/>
    <w:rsid w:val="141229FD"/>
    <w:rsid w:val="141330FE"/>
    <w:rsid w:val="1413499D"/>
    <w:rsid w:val="141379A2"/>
    <w:rsid w:val="1414118E"/>
    <w:rsid w:val="14151024"/>
    <w:rsid w:val="141554C8"/>
    <w:rsid w:val="14174E49"/>
    <w:rsid w:val="14175168"/>
    <w:rsid w:val="141817CE"/>
    <w:rsid w:val="14184EB4"/>
    <w:rsid w:val="14186104"/>
    <w:rsid w:val="14190A5C"/>
    <w:rsid w:val="141B6C47"/>
    <w:rsid w:val="141D45F8"/>
    <w:rsid w:val="141D612B"/>
    <w:rsid w:val="141E2CF7"/>
    <w:rsid w:val="141F1EA3"/>
    <w:rsid w:val="14200E89"/>
    <w:rsid w:val="1421732F"/>
    <w:rsid w:val="14221993"/>
    <w:rsid w:val="14226B92"/>
    <w:rsid w:val="1423742C"/>
    <w:rsid w:val="14264FE0"/>
    <w:rsid w:val="142838B6"/>
    <w:rsid w:val="14284445"/>
    <w:rsid w:val="14286D37"/>
    <w:rsid w:val="14292D22"/>
    <w:rsid w:val="14294AD0"/>
    <w:rsid w:val="142A05F2"/>
    <w:rsid w:val="142B2AFC"/>
    <w:rsid w:val="142B6A9A"/>
    <w:rsid w:val="142B7323"/>
    <w:rsid w:val="142C45C0"/>
    <w:rsid w:val="142D19A9"/>
    <w:rsid w:val="142D2812"/>
    <w:rsid w:val="142F202D"/>
    <w:rsid w:val="142F7A55"/>
    <w:rsid w:val="14302302"/>
    <w:rsid w:val="143040B0"/>
    <w:rsid w:val="14305E5E"/>
    <w:rsid w:val="143160FA"/>
    <w:rsid w:val="1432607A"/>
    <w:rsid w:val="143516C6"/>
    <w:rsid w:val="14364D57"/>
    <w:rsid w:val="14377928"/>
    <w:rsid w:val="14380A95"/>
    <w:rsid w:val="14382F65"/>
    <w:rsid w:val="14394D70"/>
    <w:rsid w:val="143A0DE1"/>
    <w:rsid w:val="143A6CDD"/>
    <w:rsid w:val="143C0CA7"/>
    <w:rsid w:val="143C2C5E"/>
    <w:rsid w:val="143D4D2B"/>
    <w:rsid w:val="143D576D"/>
    <w:rsid w:val="143E2478"/>
    <w:rsid w:val="143E2CCD"/>
    <w:rsid w:val="143E42EA"/>
    <w:rsid w:val="143E480A"/>
    <w:rsid w:val="143E6361"/>
    <w:rsid w:val="143F3C13"/>
    <w:rsid w:val="143F60A1"/>
    <w:rsid w:val="1440073C"/>
    <w:rsid w:val="1441006B"/>
    <w:rsid w:val="144162BD"/>
    <w:rsid w:val="14425B91"/>
    <w:rsid w:val="14436DE5"/>
    <w:rsid w:val="14441B8E"/>
    <w:rsid w:val="14452EF7"/>
    <w:rsid w:val="14456D64"/>
    <w:rsid w:val="14470A7C"/>
    <w:rsid w:val="144742E2"/>
    <w:rsid w:val="1448764C"/>
    <w:rsid w:val="144933C4"/>
    <w:rsid w:val="14494355"/>
    <w:rsid w:val="14495172"/>
    <w:rsid w:val="144B0500"/>
    <w:rsid w:val="144B0EEA"/>
    <w:rsid w:val="144D4C62"/>
    <w:rsid w:val="144D57CE"/>
    <w:rsid w:val="144D6085"/>
    <w:rsid w:val="144D63F0"/>
    <w:rsid w:val="144D662F"/>
    <w:rsid w:val="144E4536"/>
    <w:rsid w:val="145002AE"/>
    <w:rsid w:val="14506500"/>
    <w:rsid w:val="14511BD0"/>
    <w:rsid w:val="14515DD5"/>
    <w:rsid w:val="14524530"/>
    <w:rsid w:val="145271E3"/>
    <w:rsid w:val="145317DD"/>
    <w:rsid w:val="14531A02"/>
    <w:rsid w:val="14537D9F"/>
    <w:rsid w:val="14546FA9"/>
    <w:rsid w:val="145752C7"/>
    <w:rsid w:val="14575727"/>
    <w:rsid w:val="14575D87"/>
    <w:rsid w:val="1457788F"/>
    <w:rsid w:val="145853B5"/>
    <w:rsid w:val="14587163"/>
    <w:rsid w:val="14595E98"/>
    <w:rsid w:val="145967C1"/>
    <w:rsid w:val="145A2EDB"/>
    <w:rsid w:val="145A39F0"/>
    <w:rsid w:val="145A4152"/>
    <w:rsid w:val="145C0862"/>
    <w:rsid w:val="145C1266"/>
    <w:rsid w:val="145C6C53"/>
    <w:rsid w:val="145E01B8"/>
    <w:rsid w:val="145E0C1D"/>
    <w:rsid w:val="145E49FC"/>
    <w:rsid w:val="145E6E6F"/>
    <w:rsid w:val="145F04F1"/>
    <w:rsid w:val="145F42FA"/>
    <w:rsid w:val="145F4995"/>
    <w:rsid w:val="145F6743"/>
    <w:rsid w:val="14607F04"/>
    <w:rsid w:val="14610E4D"/>
    <w:rsid w:val="14612B95"/>
    <w:rsid w:val="14636542"/>
    <w:rsid w:val="14650F36"/>
    <w:rsid w:val="146520E4"/>
    <w:rsid w:val="14660162"/>
    <w:rsid w:val="14661880"/>
    <w:rsid w:val="14667AD2"/>
    <w:rsid w:val="14697BE6"/>
    <w:rsid w:val="146A2969"/>
    <w:rsid w:val="146B158C"/>
    <w:rsid w:val="146B333A"/>
    <w:rsid w:val="146B50E8"/>
    <w:rsid w:val="146B6D0F"/>
    <w:rsid w:val="146B6E96"/>
    <w:rsid w:val="146C6567"/>
    <w:rsid w:val="146D0E60"/>
    <w:rsid w:val="146D5DCC"/>
    <w:rsid w:val="146E25C8"/>
    <w:rsid w:val="146E3A58"/>
    <w:rsid w:val="146E5D7A"/>
    <w:rsid w:val="146F3E66"/>
    <w:rsid w:val="14700951"/>
    <w:rsid w:val="14710F49"/>
    <w:rsid w:val="147246C9"/>
    <w:rsid w:val="14726477"/>
    <w:rsid w:val="1475066D"/>
    <w:rsid w:val="147541B9"/>
    <w:rsid w:val="14795A57"/>
    <w:rsid w:val="147A357D"/>
    <w:rsid w:val="147A532B"/>
    <w:rsid w:val="147C10A3"/>
    <w:rsid w:val="147E306D"/>
    <w:rsid w:val="147E319B"/>
    <w:rsid w:val="147E55E8"/>
    <w:rsid w:val="14812B5E"/>
    <w:rsid w:val="14814434"/>
    <w:rsid w:val="1481490C"/>
    <w:rsid w:val="148166BA"/>
    <w:rsid w:val="14824A9F"/>
    <w:rsid w:val="148443FC"/>
    <w:rsid w:val="148458D3"/>
    <w:rsid w:val="148562AE"/>
    <w:rsid w:val="14860174"/>
    <w:rsid w:val="14875E2B"/>
    <w:rsid w:val="148855E3"/>
    <w:rsid w:val="14885C9A"/>
    <w:rsid w:val="148937C0"/>
    <w:rsid w:val="14893B4F"/>
    <w:rsid w:val="148B12E6"/>
    <w:rsid w:val="148B46C1"/>
    <w:rsid w:val="148B7538"/>
    <w:rsid w:val="148C30F6"/>
    <w:rsid w:val="148D76D8"/>
    <w:rsid w:val="148E0DD7"/>
    <w:rsid w:val="148F7029"/>
    <w:rsid w:val="14902DA1"/>
    <w:rsid w:val="149035F3"/>
    <w:rsid w:val="14904534"/>
    <w:rsid w:val="14904B4F"/>
    <w:rsid w:val="14912710"/>
    <w:rsid w:val="149213D7"/>
    <w:rsid w:val="14945773"/>
    <w:rsid w:val="149503B7"/>
    <w:rsid w:val="14952165"/>
    <w:rsid w:val="14956609"/>
    <w:rsid w:val="14975EDD"/>
    <w:rsid w:val="14982DBA"/>
    <w:rsid w:val="14986161"/>
    <w:rsid w:val="14991C55"/>
    <w:rsid w:val="14997EA7"/>
    <w:rsid w:val="149A59CD"/>
    <w:rsid w:val="149C1746"/>
    <w:rsid w:val="149D728E"/>
    <w:rsid w:val="149E54BE"/>
    <w:rsid w:val="149F4D92"/>
    <w:rsid w:val="14A043AA"/>
    <w:rsid w:val="14A05457"/>
    <w:rsid w:val="14A14FAE"/>
    <w:rsid w:val="14A16D5C"/>
    <w:rsid w:val="14A2633E"/>
    <w:rsid w:val="14A27D77"/>
    <w:rsid w:val="14A34882"/>
    <w:rsid w:val="14A35F20"/>
    <w:rsid w:val="14A405FA"/>
    <w:rsid w:val="14A423A8"/>
    <w:rsid w:val="14A46FED"/>
    <w:rsid w:val="14A5684C"/>
    <w:rsid w:val="14A64372"/>
    <w:rsid w:val="14A83205"/>
    <w:rsid w:val="14A95C11"/>
    <w:rsid w:val="14A979BF"/>
    <w:rsid w:val="14AB3737"/>
    <w:rsid w:val="14AD5701"/>
    <w:rsid w:val="14AE262C"/>
    <w:rsid w:val="14AE3227"/>
    <w:rsid w:val="14AF1B33"/>
    <w:rsid w:val="14AF76CB"/>
    <w:rsid w:val="14B051F1"/>
    <w:rsid w:val="14B06F9F"/>
    <w:rsid w:val="14B24AC5"/>
    <w:rsid w:val="14B320B2"/>
    <w:rsid w:val="14B4218C"/>
    <w:rsid w:val="14B60A59"/>
    <w:rsid w:val="14B95E54"/>
    <w:rsid w:val="14BA1BCC"/>
    <w:rsid w:val="14BA7E1E"/>
    <w:rsid w:val="14BC3B96"/>
    <w:rsid w:val="14BC5944"/>
    <w:rsid w:val="14BC76F2"/>
    <w:rsid w:val="14BE12C8"/>
    <w:rsid w:val="14BE16BC"/>
    <w:rsid w:val="14C12F5A"/>
    <w:rsid w:val="14C173FE"/>
    <w:rsid w:val="14C30376"/>
    <w:rsid w:val="14C30A80"/>
    <w:rsid w:val="14C3448E"/>
    <w:rsid w:val="14C36CD2"/>
    <w:rsid w:val="14C447F8"/>
    <w:rsid w:val="14C50C9C"/>
    <w:rsid w:val="14C52A4A"/>
    <w:rsid w:val="14C60571"/>
    <w:rsid w:val="14C64A14"/>
    <w:rsid w:val="14C667C2"/>
    <w:rsid w:val="14C67113"/>
    <w:rsid w:val="14C8078D"/>
    <w:rsid w:val="14C82BF3"/>
    <w:rsid w:val="14C87B88"/>
    <w:rsid w:val="14CA6F83"/>
    <w:rsid w:val="14CD18FF"/>
    <w:rsid w:val="14CD1F44"/>
    <w:rsid w:val="14CD5DA3"/>
    <w:rsid w:val="14CD7B51"/>
    <w:rsid w:val="14CF019A"/>
    <w:rsid w:val="14CF38C9"/>
    <w:rsid w:val="14D00791"/>
    <w:rsid w:val="14D00D0F"/>
    <w:rsid w:val="14D25167"/>
    <w:rsid w:val="14D26E56"/>
    <w:rsid w:val="14D30EE0"/>
    <w:rsid w:val="14D35F6D"/>
    <w:rsid w:val="14D40957"/>
    <w:rsid w:val="14D47131"/>
    <w:rsid w:val="14D513FB"/>
    <w:rsid w:val="14D5440D"/>
    <w:rsid w:val="14D61785"/>
    <w:rsid w:val="14D6427B"/>
    <w:rsid w:val="14D7277E"/>
    <w:rsid w:val="14DA401C"/>
    <w:rsid w:val="14DC3CF9"/>
    <w:rsid w:val="14DC4CC9"/>
    <w:rsid w:val="14DC7147"/>
    <w:rsid w:val="14DC77B4"/>
    <w:rsid w:val="14DD2C7C"/>
    <w:rsid w:val="14DE58BA"/>
    <w:rsid w:val="14DE58EF"/>
    <w:rsid w:val="14E028EA"/>
    <w:rsid w:val="14E06953"/>
    <w:rsid w:val="14E07884"/>
    <w:rsid w:val="14E1184E"/>
    <w:rsid w:val="14E153AA"/>
    <w:rsid w:val="14E2309A"/>
    <w:rsid w:val="14E32ED1"/>
    <w:rsid w:val="14E35C7A"/>
    <w:rsid w:val="14E46C49"/>
    <w:rsid w:val="14E53D99"/>
    <w:rsid w:val="14E54E1F"/>
    <w:rsid w:val="14E629C1"/>
    <w:rsid w:val="14E65987"/>
    <w:rsid w:val="14E6675C"/>
    <w:rsid w:val="14E755EF"/>
    <w:rsid w:val="14E76E65"/>
    <w:rsid w:val="14E82BDD"/>
    <w:rsid w:val="14E8498B"/>
    <w:rsid w:val="14EA0703"/>
    <w:rsid w:val="14EB6229"/>
    <w:rsid w:val="14EC07A3"/>
    <w:rsid w:val="14EC0958"/>
    <w:rsid w:val="14EC102F"/>
    <w:rsid w:val="14EC4CF7"/>
    <w:rsid w:val="14ED00CC"/>
    <w:rsid w:val="14ED1FA1"/>
    <w:rsid w:val="14EE172C"/>
    <w:rsid w:val="14EE4EEE"/>
    <w:rsid w:val="14EF3F6B"/>
    <w:rsid w:val="14EF780E"/>
    <w:rsid w:val="14EF7AC7"/>
    <w:rsid w:val="14F014A0"/>
    <w:rsid w:val="14F11A91"/>
    <w:rsid w:val="14F25809"/>
    <w:rsid w:val="14F371D1"/>
    <w:rsid w:val="14F41582"/>
    <w:rsid w:val="14F41DDB"/>
    <w:rsid w:val="14F44CB0"/>
    <w:rsid w:val="14F7697C"/>
    <w:rsid w:val="14F86896"/>
    <w:rsid w:val="14F926F4"/>
    <w:rsid w:val="14F945B8"/>
    <w:rsid w:val="14FA231F"/>
    <w:rsid w:val="14FB0265"/>
    <w:rsid w:val="14FB2F80"/>
    <w:rsid w:val="14FB4921"/>
    <w:rsid w:val="14FB67D9"/>
    <w:rsid w:val="14FE41AE"/>
    <w:rsid w:val="14FE5E73"/>
    <w:rsid w:val="14FE5F5C"/>
    <w:rsid w:val="15007F26"/>
    <w:rsid w:val="150115A9"/>
    <w:rsid w:val="150177FB"/>
    <w:rsid w:val="150222E5"/>
    <w:rsid w:val="15027564"/>
    <w:rsid w:val="150317C5"/>
    <w:rsid w:val="150406EA"/>
    <w:rsid w:val="15044F28"/>
    <w:rsid w:val="15063063"/>
    <w:rsid w:val="15064FC9"/>
    <w:rsid w:val="150712B5"/>
    <w:rsid w:val="15082937"/>
    <w:rsid w:val="15085FE9"/>
    <w:rsid w:val="15086F6B"/>
    <w:rsid w:val="150A0697"/>
    <w:rsid w:val="150C0679"/>
    <w:rsid w:val="150D2643"/>
    <w:rsid w:val="150D619F"/>
    <w:rsid w:val="150E0609"/>
    <w:rsid w:val="150E5713"/>
    <w:rsid w:val="150E7FD6"/>
    <w:rsid w:val="15103277"/>
    <w:rsid w:val="15113EE2"/>
    <w:rsid w:val="15115C90"/>
    <w:rsid w:val="15127C5A"/>
    <w:rsid w:val="151405DE"/>
    <w:rsid w:val="151614F8"/>
    <w:rsid w:val="15163F4D"/>
    <w:rsid w:val="151665F1"/>
    <w:rsid w:val="15167FF1"/>
    <w:rsid w:val="15170DCC"/>
    <w:rsid w:val="15177D84"/>
    <w:rsid w:val="15180F75"/>
    <w:rsid w:val="15187EAB"/>
    <w:rsid w:val="151921BA"/>
    <w:rsid w:val="15194B44"/>
    <w:rsid w:val="151A341D"/>
    <w:rsid w:val="151A3F0B"/>
    <w:rsid w:val="151A3F56"/>
    <w:rsid w:val="151A70C1"/>
    <w:rsid w:val="151B32C2"/>
    <w:rsid w:val="151B54D7"/>
    <w:rsid w:val="151C4634"/>
    <w:rsid w:val="151D483A"/>
    <w:rsid w:val="151E03AD"/>
    <w:rsid w:val="151E5632"/>
    <w:rsid w:val="151F51CF"/>
    <w:rsid w:val="1520015E"/>
    <w:rsid w:val="15204125"/>
    <w:rsid w:val="15207894"/>
    <w:rsid w:val="15210B5F"/>
    <w:rsid w:val="1521478B"/>
    <w:rsid w:val="15227E9D"/>
    <w:rsid w:val="15235F67"/>
    <w:rsid w:val="15237771"/>
    <w:rsid w:val="152504A5"/>
    <w:rsid w:val="1525173B"/>
    <w:rsid w:val="1525275F"/>
    <w:rsid w:val="15253679"/>
    <w:rsid w:val="1525798D"/>
    <w:rsid w:val="1526760E"/>
    <w:rsid w:val="15271BBC"/>
    <w:rsid w:val="15272460"/>
    <w:rsid w:val="15273705"/>
    <w:rsid w:val="1528122B"/>
    <w:rsid w:val="15281E52"/>
    <w:rsid w:val="15292D12"/>
    <w:rsid w:val="15293404"/>
    <w:rsid w:val="152A0AFF"/>
    <w:rsid w:val="152A0E2F"/>
    <w:rsid w:val="152B4878"/>
    <w:rsid w:val="152B6781"/>
    <w:rsid w:val="152C2AC9"/>
    <w:rsid w:val="152D05F0"/>
    <w:rsid w:val="152D1520"/>
    <w:rsid w:val="152E4A94"/>
    <w:rsid w:val="152F4368"/>
    <w:rsid w:val="152F5B8B"/>
    <w:rsid w:val="15311E8E"/>
    <w:rsid w:val="15316332"/>
    <w:rsid w:val="153320AA"/>
    <w:rsid w:val="153332FB"/>
    <w:rsid w:val="153426DC"/>
    <w:rsid w:val="1534372C"/>
    <w:rsid w:val="15347683"/>
    <w:rsid w:val="15363DE9"/>
    <w:rsid w:val="1537321C"/>
    <w:rsid w:val="153750CC"/>
    <w:rsid w:val="153A3533"/>
    <w:rsid w:val="153A3C8E"/>
    <w:rsid w:val="153B2D0D"/>
    <w:rsid w:val="153B6EA2"/>
    <w:rsid w:val="153C0833"/>
    <w:rsid w:val="153D5836"/>
    <w:rsid w:val="153D6AAF"/>
    <w:rsid w:val="153E45AB"/>
    <w:rsid w:val="153E5B6A"/>
    <w:rsid w:val="153F7311"/>
    <w:rsid w:val="15406575"/>
    <w:rsid w:val="15407032"/>
    <w:rsid w:val="15415E49"/>
    <w:rsid w:val="154312D7"/>
    <w:rsid w:val="15431BC1"/>
    <w:rsid w:val="15435EFC"/>
    <w:rsid w:val="15436065"/>
    <w:rsid w:val="1544624E"/>
    <w:rsid w:val="15447178"/>
    <w:rsid w:val="15453B8B"/>
    <w:rsid w:val="15460E0A"/>
    <w:rsid w:val="15461A98"/>
    <w:rsid w:val="15475B55"/>
    <w:rsid w:val="15477903"/>
    <w:rsid w:val="1548367B"/>
    <w:rsid w:val="15483D18"/>
    <w:rsid w:val="15485429"/>
    <w:rsid w:val="154A11A2"/>
    <w:rsid w:val="154A3236"/>
    <w:rsid w:val="154A5D9F"/>
    <w:rsid w:val="154C4D2C"/>
    <w:rsid w:val="154C5438"/>
    <w:rsid w:val="154C6501"/>
    <w:rsid w:val="154D1CD8"/>
    <w:rsid w:val="154D47EE"/>
    <w:rsid w:val="154E26B2"/>
    <w:rsid w:val="154F3941"/>
    <w:rsid w:val="154F3BB9"/>
    <w:rsid w:val="154F428B"/>
    <w:rsid w:val="154F4A0A"/>
    <w:rsid w:val="154F67B8"/>
    <w:rsid w:val="155362A8"/>
    <w:rsid w:val="15543DCE"/>
    <w:rsid w:val="1554409C"/>
    <w:rsid w:val="15545B7C"/>
    <w:rsid w:val="155572BB"/>
    <w:rsid w:val="1556277C"/>
    <w:rsid w:val="1556411F"/>
    <w:rsid w:val="15572A1D"/>
    <w:rsid w:val="1557566D"/>
    <w:rsid w:val="155757D9"/>
    <w:rsid w:val="15581B10"/>
    <w:rsid w:val="155838BF"/>
    <w:rsid w:val="155A67CD"/>
    <w:rsid w:val="155B515D"/>
    <w:rsid w:val="155B6F0B"/>
    <w:rsid w:val="155C13D4"/>
    <w:rsid w:val="155C4C28"/>
    <w:rsid w:val="155D0ED5"/>
    <w:rsid w:val="155D7127"/>
    <w:rsid w:val="155D75EA"/>
    <w:rsid w:val="155E1FBF"/>
    <w:rsid w:val="155E2E9F"/>
    <w:rsid w:val="155F4841"/>
    <w:rsid w:val="1560263F"/>
    <w:rsid w:val="156041F7"/>
    <w:rsid w:val="15610299"/>
    <w:rsid w:val="15620272"/>
    <w:rsid w:val="156236BA"/>
    <w:rsid w:val="1562473D"/>
    <w:rsid w:val="15634011"/>
    <w:rsid w:val="156408BB"/>
    <w:rsid w:val="15640C7A"/>
    <w:rsid w:val="15642450"/>
    <w:rsid w:val="1564556D"/>
    <w:rsid w:val="15661190"/>
    <w:rsid w:val="1566561C"/>
    <w:rsid w:val="1567082B"/>
    <w:rsid w:val="15671D54"/>
    <w:rsid w:val="156839A2"/>
    <w:rsid w:val="15685A60"/>
    <w:rsid w:val="156A35F2"/>
    <w:rsid w:val="156A60DD"/>
    <w:rsid w:val="156A6D57"/>
    <w:rsid w:val="156B7752"/>
    <w:rsid w:val="156B7B78"/>
    <w:rsid w:val="156C6DB7"/>
    <w:rsid w:val="156D4E90"/>
    <w:rsid w:val="156D6C3E"/>
    <w:rsid w:val="156E30E2"/>
    <w:rsid w:val="156F078F"/>
    <w:rsid w:val="156F0C08"/>
    <w:rsid w:val="15701955"/>
    <w:rsid w:val="15704A83"/>
    <w:rsid w:val="15707B8E"/>
    <w:rsid w:val="15712BD2"/>
    <w:rsid w:val="15714980"/>
    <w:rsid w:val="157224A6"/>
    <w:rsid w:val="157231F0"/>
    <w:rsid w:val="157300FC"/>
    <w:rsid w:val="1573694A"/>
    <w:rsid w:val="157417DA"/>
    <w:rsid w:val="15747FCD"/>
    <w:rsid w:val="15756C23"/>
    <w:rsid w:val="15757426"/>
    <w:rsid w:val="157601E9"/>
    <w:rsid w:val="15761F97"/>
    <w:rsid w:val="15763D45"/>
    <w:rsid w:val="15772007"/>
    <w:rsid w:val="15774DC7"/>
    <w:rsid w:val="15783F2F"/>
    <w:rsid w:val="15785D0F"/>
    <w:rsid w:val="15787ABD"/>
    <w:rsid w:val="15795C29"/>
    <w:rsid w:val="157A60D7"/>
    <w:rsid w:val="157B135B"/>
    <w:rsid w:val="157B1E18"/>
    <w:rsid w:val="157B3666"/>
    <w:rsid w:val="157C12DA"/>
    <w:rsid w:val="157D4738"/>
    <w:rsid w:val="157D489C"/>
    <w:rsid w:val="157D50D3"/>
    <w:rsid w:val="157E709D"/>
    <w:rsid w:val="157E7416"/>
    <w:rsid w:val="157F0523"/>
    <w:rsid w:val="157F2C49"/>
    <w:rsid w:val="157F52EF"/>
    <w:rsid w:val="157F5F94"/>
    <w:rsid w:val="157F7058"/>
    <w:rsid w:val="158030B9"/>
    <w:rsid w:val="15806971"/>
    <w:rsid w:val="158346B4"/>
    <w:rsid w:val="15836559"/>
    <w:rsid w:val="15841A39"/>
    <w:rsid w:val="15842905"/>
    <w:rsid w:val="1585042C"/>
    <w:rsid w:val="15852F26"/>
    <w:rsid w:val="15853F88"/>
    <w:rsid w:val="15861E85"/>
    <w:rsid w:val="158741A4"/>
    <w:rsid w:val="15875F52"/>
    <w:rsid w:val="15880A97"/>
    <w:rsid w:val="158A2CAF"/>
    <w:rsid w:val="158A796A"/>
    <w:rsid w:val="158B021F"/>
    <w:rsid w:val="158B190C"/>
    <w:rsid w:val="158C2B6D"/>
    <w:rsid w:val="158C5316"/>
    <w:rsid w:val="158D0509"/>
    <w:rsid w:val="158D108E"/>
    <w:rsid w:val="158D1D41"/>
    <w:rsid w:val="158E72E0"/>
    <w:rsid w:val="158F12AA"/>
    <w:rsid w:val="158F2D6B"/>
    <w:rsid w:val="15902A00"/>
    <w:rsid w:val="15915022"/>
    <w:rsid w:val="159266A5"/>
    <w:rsid w:val="15932B49"/>
    <w:rsid w:val="1594241D"/>
    <w:rsid w:val="15946CD8"/>
    <w:rsid w:val="15950FF7"/>
    <w:rsid w:val="15957360"/>
    <w:rsid w:val="15966195"/>
    <w:rsid w:val="15967181"/>
    <w:rsid w:val="159843F5"/>
    <w:rsid w:val="159863B1"/>
    <w:rsid w:val="15995C85"/>
    <w:rsid w:val="159B37AB"/>
    <w:rsid w:val="159D39C7"/>
    <w:rsid w:val="159D7523"/>
    <w:rsid w:val="159E29A7"/>
    <w:rsid w:val="159E5049"/>
    <w:rsid w:val="15A13B32"/>
    <w:rsid w:val="15A30D28"/>
    <w:rsid w:val="15A3138F"/>
    <w:rsid w:val="15A364AC"/>
    <w:rsid w:val="15A524B3"/>
    <w:rsid w:val="15A543F6"/>
    <w:rsid w:val="15A5462A"/>
    <w:rsid w:val="15A765F4"/>
    <w:rsid w:val="15A80AE7"/>
    <w:rsid w:val="15A80E34"/>
    <w:rsid w:val="15A877A4"/>
    <w:rsid w:val="15A97439"/>
    <w:rsid w:val="15AA3487"/>
    <w:rsid w:val="15AB710C"/>
    <w:rsid w:val="15AC3C0A"/>
    <w:rsid w:val="15AC59B8"/>
    <w:rsid w:val="15AC7766"/>
    <w:rsid w:val="15AD2A0B"/>
    <w:rsid w:val="15AE1730"/>
    <w:rsid w:val="15AE34DE"/>
    <w:rsid w:val="15AF052D"/>
    <w:rsid w:val="15AF10D3"/>
    <w:rsid w:val="15B036FB"/>
    <w:rsid w:val="15B17473"/>
    <w:rsid w:val="15B25A13"/>
    <w:rsid w:val="15B37A50"/>
    <w:rsid w:val="15B52788"/>
    <w:rsid w:val="15B5420C"/>
    <w:rsid w:val="15B605E5"/>
    <w:rsid w:val="15B64A89"/>
    <w:rsid w:val="15B66837"/>
    <w:rsid w:val="15B76E6D"/>
    <w:rsid w:val="15B825AF"/>
    <w:rsid w:val="15B8435D"/>
    <w:rsid w:val="15B8610B"/>
    <w:rsid w:val="15B900D5"/>
    <w:rsid w:val="15B9206A"/>
    <w:rsid w:val="15BA3CE6"/>
    <w:rsid w:val="15BB1462"/>
    <w:rsid w:val="15BB330A"/>
    <w:rsid w:val="15BB3E4D"/>
    <w:rsid w:val="15BC5B69"/>
    <w:rsid w:val="15BD1974"/>
    <w:rsid w:val="15BD5E17"/>
    <w:rsid w:val="15BE190C"/>
    <w:rsid w:val="15BF20A7"/>
    <w:rsid w:val="15BF33DD"/>
    <w:rsid w:val="15C03212"/>
    <w:rsid w:val="15C076B6"/>
    <w:rsid w:val="15C445EC"/>
    <w:rsid w:val="15C64088"/>
    <w:rsid w:val="15C6683E"/>
    <w:rsid w:val="15C727F2"/>
    <w:rsid w:val="15C72A4F"/>
    <w:rsid w:val="15CA22E2"/>
    <w:rsid w:val="15CB1D25"/>
    <w:rsid w:val="15CB34EF"/>
    <w:rsid w:val="15CD2FCE"/>
    <w:rsid w:val="15D078F9"/>
    <w:rsid w:val="15D07BCF"/>
    <w:rsid w:val="15D114D0"/>
    <w:rsid w:val="15D30190"/>
    <w:rsid w:val="15D31197"/>
    <w:rsid w:val="15D469C1"/>
    <w:rsid w:val="15D62A35"/>
    <w:rsid w:val="15D65076"/>
    <w:rsid w:val="15D76017"/>
    <w:rsid w:val="15D77BF2"/>
    <w:rsid w:val="15D8055B"/>
    <w:rsid w:val="15D867D2"/>
    <w:rsid w:val="15D942D4"/>
    <w:rsid w:val="15D954FD"/>
    <w:rsid w:val="15DA2833"/>
    <w:rsid w:val="15DA3CC3"/>
    <w:rsid w:val="15DC2315"/>
    <w:rsid w:val="15DD3DC4"/>
    <w:rsid w:val="15DE02B2"/>
    <w:rsid w:val="15DF751A"/>
    <w:rsid w:val="15E00914"/>
    <w:rsid w:val="15E0299E"/>
    <w:rsid w:val="15E038B4"/>
    <w:rsid w:val="15E04F64"/>
    <w:rsid w:val="15E106CA"/>
    <w:rsid w:val="15E10FC5"/>
    <w:rsid w:val="15E213DA"/>
    <w:rsid w:val="15E2762C"/>
    <w:rsid w:val="15E30B11"/>
    <w:rsid w:val="15E36FE0"/>
    <w:rsid w:val="15E37F2A"/>
    <w:rsid w:val="15E433A4"/>
    <w:rsid w:val="15E50ECA"/>
    <w:rsid w:val="15E60DD6"/>
    <w:rsid w:val="15E6711C"/>
    <w:rsid w:val="15E72E94"/>
    <w:rsid w:val="15E755EC"/>
    <w:rsid w:val="15E76000"/>
    <w:rsid w:val="15E805B7"/>
    <w:rsid w:val="15E83562"/>
    <w:rsid w:val="15E92769"/>
    <w:rsid w:val="15E96C0C"/>
    <w:rsid w:val="15EB4C48"/>
    <w:rsid w:val="15EB6157"/>
    <w:rsid w:val="15ED2535"/>
    <w:rsid w:val="15EE5FD1"/>
    <w:rsid w:val="15EF1193"/>
    <w:rsid w:val="15EF1E88"/>
    <w:rsid w:val="15EF3AF7"/>
    <w:rsid w:val="15EF4B8C"/>
    <w:rsid w:val="15EF58A5"/>
    <w:rsid w:val="15EF5D0A"/>
    <w:rsid w:val="15F07F9B"/>
    <w:rsid w:val="15F132FE"/>
    <w:rsid w:val="15F15AC1"/>
    <w:rsid w:val="15F1786F"/>
    <w:rsid w:val="15F230E6"/>
    <w:rsid w:val="15F24014"/>
    <w:rsid w:val="15F31B10"/>
    <w:rsid w:val="15F35395"/>
    <w:rsid w:val="15F37747"/>
    <w:rsid w:val="15F53BAF"/>
    <w:rsid w:val="15F555B1"/>
    <w:rsid w:val="15F64429"/>
    <w:rsid w:val="15F6718A"/>
    <w:rsid w:val="15F76776"/>
    <w:rsid w:val="15F80BFE"/>
    <w:rsid w:val="15F829AC"/>
    <w:rsid w:val="15FA4976"/>
    <w:rsid w:val="15FB2C16"/>
    <w:rsid w:val="15FD7FC2"/>
    <w:rsid w:val="15FF44E7"/>
    <w:rsid w:val="16005D04"/>
    <w:rsid w:val="16013F56"/>
    <w:rsid w:val="16022AE9"/>
    <w:rsid w:val="16027CCE"/>
    <w:rsid w:val="16031CDF"/>
    <w:rsid w:val="16032ECF"/>
    <w:rsid w:val="160457F4"/>
    <w:rsid w:val="16045C02"/>
    <w:rsid w:val="16045D57"/>
    <w:rsid w:val="160550C9"/>
    <w:rsid w:val="16070E41"/>
    <w:rsid w:val="16077093"/>
    <w:rsid w:val="1609105D"/>
    <w:rsid w:val="16095600"/>
    <w:rsid w:val="16095AEC"/>
    <w:rsid w:val="16096967"/>
    <w:rsid w:val="160A7EAE"/>
    <w:rsid w:val="160C28FB"/>
    <w:rsid w:val="160C2AF1"/>
    <w:rsid w:val="160C46A9"/>
    <w:rsid w:val="160E21CF"/>
    <w:rsid w:val="160E6673"/>
    <w:rsid w:val="160F1472"/>
    <w:rsid w:val="160F5DEA"/>
    <w:rsid w:val="160F7CF5"/>
    <w:rsid w:val="16104199"/>
    <w:rsid w:val="161271C4"/>
    <w:rsid w:val="16134B5F"/>
    <w:rsid w:val="16135A37"/>
    <w:rsid w:val="161377E5"/>
    <w:rsid w:val="161517B0"/>
    <w:rsid w:val="1615355E"/>
    <w:rsid w:val="16157A01"/>
    <w:rsid w:val="16161345"/>
    <w:rsid w:val="161651B5"/>
    <w:rsid w:val="16175528"/>
    <w:rsid w:val="161812A0"/>
    <w:rsid w:val="16183C65"/>
    <w:rsid w:val="16184DFC"/>
    <w:rsid w:val="161B0F64"/>
    <w:rsid w:val="161B669A"/>
    <w:rsid w:val="161C0D90"/>
    <w:rsid w:val="161D1CE9"/>
    <w:rsid w:val="161D20DA"/>
    <w:rsid w:val="161D2412"/>
    <w:rsid w:val="161E5664"/>
    <w:rsid w:val="161F0F67"/>
    <w:rsid w:val="161F262E"/>
    <w:rsid w:val="16204C96"/>
    <w:rsid w:val="162069B8"/>
    <w:rsid w:val="16210154"/>
    <w:rsid w:val="16223ECC"/>
    <w:rsid w:val="1626576B"/>
    <w:rsid w:val="162714E3"/>
    <w:rsid w:val="16287735"/>
    <w:rsid w:val="1629525B"/>
    <w:rsid w:val="16297009"/>
    <w:rsid w:val="162A64DB"/>
    <w:rsid w:val="162B5273"/>
    <w:rsid w:val="162C6AF9"/>
    <w:rsid w:val="162D4D4B"/>
    <w:rsid w:val="162E2871"/>
    <w:rsid w:val="162E461F"/>
    <w:rsid w:val="162E48B5"/>
    <w:rsid w:val="162E6FEA"/>
    <w:rsid w:val="162F5177"/>
    <w:rsid w:val="16300397"/>
    <w:rsid w:val="16301EEC"/>
    <w:rsid w:val="16302145"/>
    <w:rsid w:val="163065E9"/>
    <w:rsid w:val="163074D3"/>
    <w:rsid w:val="163161F8"/>
    <w:rsid w:val="16331C54"/>
    <w:rsid w:val="16337E88"/>
    <w:rsid w:val="16351E52"/>
    <w:rsid w:val="16353C00"/>
    <w:rsid w:val="16361726"/>
    <w:rsid w:val="16362FF1"/>
    <w:rsid w:val="1636461D"/>
    <w:rsid w:val="16366ADE"/>
    <w:rsid w:val="16367679"/>
    <w:rsid w:val="16381F84"/>
    <w:rsid w:val="163836F0"/>
    <w:rsid w:val="1638724C"/>
    <w:rsid w:val="163A7468"/>
    <w:rsid w:val="163B0AEA"/>
    <w:rsid w:val="163C03CB"/>
    <w:rsid w:val="163D2AB4"/>
    <w:rsid w:val="163F05DA"/>
    <w:rsid w:val="16400278"/>
    <w:rsid w:val="164125A5"/>
    <w:rsid w:val="16421E79"/>
    <w:rsid w:val="16432541"/>
    <w:rsid w:val="164354B6"/>
    <w:rsid w:val="16455B74"/>
    <w:rsid w:val="16456915"/>
    <w:rsid w:val="16460AB7"/>
    <w:rsid w:val="16461969"/>
    <w:rsid w:val="16465E0D"/>
    <w:rsid w:val="16467BBB"/>
    <w:rsid w:val="164756E1"/>
    <w:rsid w:val="16477238"/>
    <w:rsid w:val="16481D0C"/>
    <w:rsid w:val="16492046"/>
    <w:rsid w:val="16494CA7"/>
    <w:rsid w:val="164976AB"/>
    <w:rsid w:val="164B0365"/>
    <w:rsid w:val="164B3423"/>
    <w:rsid w:val="164B6F7F"/>
    <w:rsid w:val="164C1ACA"/>
    <w:rsid w:val="164C279F"/>
    <w:rsid w:val="164C3941"/>
    <w:rsid w:val="164C504F"/>
    <w:rsid w:val="164D28A4"/>
    <w:rsid w:val="164D719B"/>
    <w:rsid w:val="164E6A70"/>
    <w:rsid w:val="16500A3A"/>
    <w:rsid w:val="16500D9C"/>
    <w:rsid w:val="1651030E"/>
    <w:rsid w:val="16521364"/>
    <w:rsid w:val="16522A6E"/>
    <w:rsid w:val="16526560"/>
    <w:rsid w:val="1653052A"/>
    <w:rsid w:val="165322D8"/>
    <w:rsid w:val="165412E7"/>
    <w:rsid w:val="16552777"/>
    <w:rsid w:val="16556050"/>
    <w:rsid w:val="16560061"/>
    <w:rsid w:val="16564304"/>
    <w:rsid w:val="16565924"/>
    <w:rsid w:val="16571DC8"/>
    <w:rsid w:val="16573183"/>
    <w:rsid w:val="16576A5F"/>
    <w:rsid w:val="16577C68"/>
    <w:rsid w:val="1658169C"/>
    <w:rsid w:val="165878EE"/>
    <w:rsid w:val="165929A6"/>
    <w:rsid w:val="165A3666"/>
    <w:rsid w:val="165A5414"/>
    <w:rsid w:val="165B2DB7"/>
    <w:rsid w:val="165B2F3A"/>
    <w:rsid w:val="165B65E9"/>
    <w:rsid w:val="165C7015"/>
    <w:rsid w:val="165C7A0E"/>
    <w:rsid w:val="165D2399"/>
    <w:rsid w:val="165D6CB3"/>
    <w:rsid w:val="165E3157"/>
    <w:rsid w:val="165E7BD5"/>
    <w:rsid w:val="165F07E3"/>
    <w:rsid w:val="165F0C7D"/>
    <w:rsid w:val="165F63FA"/>
    <w:rsid w:val="165F6ECF"/>
    <w:rsid w:val="1660167F"/>
    <w:rsid w:val="166210D2"/>
    <w:rsid w:val="1663076D"/>
    <w:rsid w:val="16646293"/>
    <w:rsid w:val="16646CDD"/>
    <w:rsid w:val="1666040A"/>
    <w:rsid w:val="1666200B"/>
    <w:rsid w:val="16663DB9"/>
    <w:rsid w:val="16665322"/>
    <w:rsid w:val="16674575"/>
    <w:rsid w:val="16677B31"/>
    <w:rsid w:val="16685D83"/>
    <w:rsid w:val="166938A9"/>
    <w:rsid w:val="16695657"/>
    <w:rsid w:val="16696D72"/>
    <w:rsid w:val="166A2CFA"/>
    <w:rsid w:val="166B13D0"/>
    <w:rsid w:val="166B5873"/>
    <w:rsid w:val="166B756E"/>
    <w:rsid w:val="166D0758"/>
    <w:rsid w:val="166D15EC"/>
    <w:rsid w:val="166D1E8E"/>
    <w:rsid w:val="166D339A"/>
    <w:rsid w:val="166E2C6E"/>
    <w:rsid w:val="166E7112"/>
    <w:rsid w:val="166F0EF4"/>
    <w:rsid w:val="166F7CBE"/>
    <w:rsid w:val="16700091"/>
    <w:rsid w:val="16704C38"/>
    <w:rsid w:val="167069E6"/>
    <w:rsid w:val="1670737F"/>
    <w:rsid w:val="1671136E"/>
    <w:rsid w:val="16726C02"/>
    <w:rsid w:val="16730284"/>
    <w:rsid w:val="167364D6"/>
    <w:rsid w:val="167417E7"/>
    <w:rsid w:val="1674297A"/>
    <w:rsid w:val="1675224E"/>
    <w:rsid w:val="16753FFC"/>
    <w:rsid w:val="16764681"/>
    <w:rsid w:val="16770D10"/>
    <w:rsid w:val="1679371E"/>
    <w:rsid w:val="167A3002"/>
    <w:rsid w:val="167D7355"/>
    <w:rsid w:val="167E55A7"/>
    <w:rsid w:val="16810304"/>
    <w:rsid w:val="16810BF3"/>
    <w:rsid w:val="16815A84"/>
    <w:rsid w:val="16816E45"/>
    <w:rsid w:val="16831A50"/>
    <w:rsid w:val="16833FFF"/>
    <w:rsid w:val="1683496B"/>
    <w:rsid w:val="16842491"/>
    <w:rsid w:val="16857627"/>
    <w:rsid w:val="168927F6"/>
    <w:rsid w:val="16895CFA"/>
    <w:rsid w:val="16897AA8"/>
    <w:rsid w:val="16897F26"/>
    <w:rsid w:val="168B7CC4"/>
    <w:rsid w:val="168C1346"/>
    <w:rsid w:val="168C395D"/>
    <w:rsid w:val="168C566A"/>
    <w:rsid w:val="168C7D15"/>
    <w:rsid w:val="168D3A3C"/>
    <w:rsid w:val="168D57EA"/>
    <w:rsid w:val="168D7D37"/>
    <w:rsid w:val="168E3310"/>
    <w:rsid w:val="16921052"/>
    <w:rsid w:val="16922E00"/>
    <w:rsid w:val="169326D4"/>
    <w:rsid w:val="16940FBF"/>
    <w:rsid w:val="1694677A"/>
    <w:rsid w:val="169528F0"/>
    <w:rsid w:val="169564C9"/>
    <w:rsid w:val="169721C5"/>
    <w:rsid w:val="16985F3D"/>
    <w:rsid w:val="16994DC1"/>
    <w:rsid w:val="16997F11"/>
    <w:rsid w:val="169A7F07"/>
    <w:rsid w:val="169B736F"/>
    <w:rsid w:val="169C38EA"/>
    <w:rsid w:val="169D12DA"/>
    <w:rsid w:val="169D5CFB"/>
    <w:rsid w:val="169E4CF8"/>
    <w:rsid w:val="169E79F7"/>
    <w:rsid w:val="169F35B0"/>
    <w:rsid w:val="169F376F"/>
    <w:rsid w:val="169F72CB"/>
    <w:rsid w:val="16A101D4"/>
    <w:rsid w:val="16A123AD"/>
    <w:rsid w:val="16A17D2C"/>
    <w:rsid w:val="16A362C6"/>
    <w:rsid w:val="16A42C47"/>
    <w:rsid w:val="16A448E1"/>
    <w:rsid w:val="16A50342"/>
    <w:rsid w:val="16A62408"/>
    <w:rsid w:val="16A668AC"/>
    <w:rsid w:val="16A80F0A"/>
    <w:rsid w:val="16A82624"/>
    <w:rsid w:val="16A82D69"/>
    <w:rsid w:val="16A843D2"/>
    <w:rsid w:val="16A9014A"/>
    <w:rsid w:val="16A95DCF"/>
    <w:rsid w:val="16A9748A"/>
    <w:rsid w:val="16AA22BF"/>
    <w:rsid w:val="16AB0AA6"/>
    <w:rsid w:val="16AC592E"/>
    <w:rsid w:val="16AD19E8"/>
    <w:rsid w:val="16AD459B"/>
    <w:rsid w:val="16AD7C3A"/>
    <w:rsid w:val="16AE5760"/>
    <w:rsid w:val="16AF29CB"/>
    <w:rsid w:val="16AF39B2"/>
    <w:rsid w:val="16AF65A6"/>
    <w:rsid w:val="16B03286"/>
    <w:rsid w:val="16B27132"/>
    <w:rsid w:val="16B304C1"/>
    <w:rsid w:val="16B305C2"/>
    <w:rsid w:val="16B54D41"/>
    <w:rsid w:val="16B56AEF"/>
    <w:rsid w:val="16B613F3"/>
    <w:rsid w:val="16B70AB9"/>
    <w:rsid w:val="16B74C84"/>
    <w:rsid w:val="16B94831"/>
    <w:rsid w:val="16B95535"/>
    <w:rsid w:val="16BA5EB3"/>
    <w:rsid w:val="16BC2FBC"/>
    <w:rsid w:val="16BC5986"/>
    <w:rsid w:val="16BD012E"/>
    <w:rsid w:val="16BD03E8"/>
    <w:rsid w:val="16BE4B46"/>
    <w:rsid w:val="16BE56D5"/>
    <w:rsid w:val="16BE59A3"/>
    <w:rsid w:val="16BF796D"/>
    <w:rsid w:val="16C27344"/>
    <w:rsid w:val="16C44B09"/>
    <w:rsid w:val="16C44F84"/>
    <w:rsid w:val="16C52C14"/>
    <w:rsid w:val="16C805D0"/>
    <w:rsid w:val="16C83F29"/>
    <w:rsid w:val="16C94348"/>
    <w:rsid w:val="16CA6849"/>
    <w:rsid w:val="16CB00C0"/>
    <w:rsid w:val="16CB1E6E"/>
    <w:rsid w:val="16CB5FEC"/>
    <w:rsid w:val="16CC55AB"/>
    <w:rsid w:val="16CD19B0"/>
    <w:rsid w:val="16CD1E05"/>
    <w:rsid w:val="16CD2A5C"/>
    <w:rsid w:val="16CD3E38"/>
    <w:rsid w:val="16CE195E"/>
    <w:rsid w:val="16CE3704"/>
    <w:rsid w:val="16CF7BB0"/>
    <w:rsid w:val="16D0552F"/>
    <w:rsid w:val="16D24FDB"/>
    <w:rsid w:val="16D34916"/>
    <w:rsid w:val="16D36F75"/>
    <w:rsid w:val="16D50F3F"/>
    <w:rsid w:val="16D52CED"/>
    <w:rsid w:val="16D57191"/>
    <w:rsid w:val="16D60924"/>
    <w:rsid w:val="16D70554"/>
    <w:rsid w:val="16D7256D"/>
    <w:rsid w:val="16D74CB7"/>
    <w:rsid w:val="16D76A65"/>
    <w:rsid w:val="16D90A2F"/>
    <w:rsid w:val="16D94EAE"/>
    <w:rsid w:val="16DA0303"/>
    <w:rsid w:val="16DA6555"/>
    <w:rsid w:val="16DB7346"/>
    <w:rsid w:val="16DC051F"/>
    <w:rsid w:val="16DD0041"/>
    <w:rsid w:val="16DE4297"/>
    <w:rsid w:val="16DE7DF3"/>
    <w:rsid w:val="16E01DBD"/>
    <w:rsid w:val="16E11692"/>
    <w:rsid w:val="16E15B36"/>
    <w:rsid w:val="16E178E4"/>
    <w:rsid w:val="16E24019"/>
    <w:rsid w:val="16E25A95"/>
    <w:rsid w:val="16E318AE"/>
    <w:rsid w:val="16E3540A"/>
    <w:rsid w:val="16E41182"/>
    <w:rsid w:val="16E50DE2"/>
    <w:rsid w:val="16E56387"/>
    <w:rsid w:val="16E573D4"/>
    <w:rsid w:val="16E65EED"/>
    <w:rsid w:val="16E66022"/>
    <w:rsid w:val="16E86EC4"/>
    <w:rsid w:val="16EA49EA"/>
    <w:rsid w:val="16EB0762"/>
    <w:rsid w:val="16EB2510"/>
    <w:rsid w:val="16EB42BE"/>
    <w:rsid w:val="16ED1BE3"/>
    <w:rsid w:val="16ED44DA"/>
    <w:rsid w:val="16EE4A97"/>
    <w:rsid w:val="16EE5C44"/>
    <w:rsid w:val="16EF2001"/>
    <w:rsid w:val="16F06BB2"/>
    <w:rsid w:val="16F130B9"/>
    <w:rsid w:val="16F13FCB"/>
    <w:rsid w:val="16F23185"/>
    <w:rsid w:val="16F413C5"/>
    <w:rsid w:val="16F43B64"/>
    <w:rsid w:val="16F46EE5"/>
    <w:rsid w:val="16F623E9"/>
    <w:rsid w:val="16F73963"/>
    <w:rsid w:val="16F92E7F"/>
    <w:rsid w:val="16FB6BF7"/>
    <w:rsid w:val="16FD42A8"/>
    <w:rsid w:val="16FE3FF2"/>
    <w:rsid w:val="16FF5829"/>
    <w:rsid w:val="16FF7D6A"/>
    <w:rsid w:val="17033CFE"/>
    <w:rsid w:val="17053DCF"/>
    <w:rsid w:val="1705751F"/>
    <w:rsid w:val="170610F8"/>
    <w:rsid w:val="17066ADD"/>
    <w:rsid w:val="1706734A"/>
    <w:rsid w:val="17092996"/>
    <w:rsid w:val="170A508C"/>
    <w:rsid w:val="170D2487"/>
    <w:rsid w:val="170F26A3"/>
    <w:rsid w:val="171001C9"/>
    <w:rsid w:val="17101F77"/>
    <w:rsid w:val="17115961"/>
    <w:rsid w:val="17116F26"/>
    <w:rsid w:val="17123F41"/>
    <w:rsid w:val="1712503E"/>
    <w:rsid w:val="17125CEF"/>
    <w:rsid w:val="1715252F"/>
    <w:rsid w:val="1715758D"/>
    <w:rsid w:val="17163A31"/>
    <w:rsid w:val="171657DF"/>
    <w:rsid w:val="17165F83"/>
    <w:rsid w:val="17173305"/>
    <w:rsid w:val="17187709"/>
    <w:rsid w:val="17191730"/>
    <w:rsid w:val="171B1048"/>
    <w:rsid w:val="171C091C"/>
    <w:rsid w:val="171C4A3E"/>
    <w:rsid w:val="171C6B6E"/>
    <w:rsid w:val="171E6442"/>
    <w:rsid w:val="171F1269"/>
    <w:rsid w:val="171F21BA"/>
    <w:rsid w:val="171F4A71"/>
    <w:rsid w:val="17200C8C"/>
    <w:rsid w:val="172029B7"/>
    <w:rsid w:val="17203C32"/>
    <w:rsid w:val="172123D6"/>
    <w:rsid w:val="1722468F"/>
    <w:rsid w:val="17233A58"/>
    <w:rsid w:val="17235FC3"/>
    <w:rsid w:val="172367BD"/>
    <w:rsid w:val="172634B4"/>
    <w:rsid w:val="17263548"/>
    <w:rsid w:val="172972FF"/>
    <w:rsid w:val="172979D7"/>
    <w:rsid w:val="172A3039"/>
    <w:rsid w:val="172B3A97"/>
    <w:rsid w:val="172D2B29"/>
    <w:rsid w:val="172D56A7"/>
    <w:rsid w:val="172F68A1"/>
    <w:rsid w:val="173008D1"/>
    <w:rsid w:val="173043C7"/>
    <w:rsid w:val="17312619"/>
    <w:rsid w:val="17312E8B"/>
    <w:rsid w:val="17336352"/>
    <w:rsid w:val="17341AE6"/>
    <w:rsid w:val="17343EB7"/>
    <w:rsid w:val="1734764F"/>
    <w:rsid w:val="173619DD"/>
    <w:rsid w:val="17381396"/>
    <w:rsid w:val="17382691"/>
    <w:rsid w:val="17387FAC"/>
    <w:rsid w:val="173914CE"/>
    <w:rsid w:val="1739327C"/>
    <w:rsid w:val="173955E0"/>
    <w:rsid w:val="1739719B"/>
    <w:rsid w:val="173B11CC"/>
    <w:rsid w:val="173B3498"/>
    <w:rsid w:val="173D173B"/>
    <w:rsid w:val="173D64F5"/>
    <w:rsid w:val="173D7210"/>
    <w:rsid w:val="173E6AE4"/>
    <w:rsid w:val="1740285C"/>
    <w:rsid w:val="17410382"/>
    <w:rsid w:val="174114CB"/>
    <w:rsid w:val="17425967"/>
    <w:rsid w:val="17427E0B"/>
    <w:rsid w:val="1743234C"/>
    <w:rsid w:val="174329DC"/>
    <w:rsid w:val="174340FA"/>
    <w:rsid w:val="17435EA8"/>
    <w:rsid w:val="17446CFA"/>
    <w:rsid w:val="174510D4"/>
    <w:rsid w:val="17451C21"/>
    <w:rsid w:val="174560C4"/>
    <w:rsid w:val="17457ECD"/>
    <w:rsid w:val="17457EE8"/>
    <w:rsid w:val="17463BEB"/>
    <w:rsid w:val="17464176"/>
    <w:rsid w:val="17471E3D"/>
    <w:rsid w:val="17473108"/>
    <w:rsid w:val="17481711"/>
    <w:rsid w:val="174930AC"/>
    <w:rsid w:val="174A0545"/>
    <w:rsid w:val="174A36DB"/>
    <w:rsid w:val="174A5489"/>
    <w:rsid w:val="174C1201"/>
    <w:rsid w:val="174C3A8E"/>
    <w:rsid w:val="174D4F79"/>
    <w:rsid w:val="174D665F"/>
    <w:rsid w:val="174D6D27"/>
    <w:rsid w:val="174E3EFD"/>
    <w:rsid w:val="174F1A82"/>
    <w:rsid w:val="174F2BCE"/>
    <w:rsid w:val="174F6F43"/>
    <w:rsid w:val="174F751D"/>
    <w:rsid w:val="17500E49"/>
    <w:rsid w:val="17501C69"/>
    <w:rsid w:val="17516011"/>
    <w:rsid w:val="17516817"/>
    <w:rsid w:val="17524D0D"/>
    <w:rsid w:val="17540E83"/>
    <w:rsid w:val="175575F1"/>
    <w:rsid w:val="17562080"/>
    <w:rsid w:val="17563165"/>
    <w:rsid w:val="17563E2E"/>
    <w:rsid w:val="17570BA1"/>
    <w:rsid w:val="17571954"/>
    <w:rsid w:val="17577BA6"/>
    <w:rsid w:val="17580455"/>
    <w:rsid w:val="17591B70"/>
    <w:rsid w:val="1759391E"/>
    <w:rsid w:val="17593CC9"/>
    <w:rsid w:val="175A2E1A"/>
    <w:rsid w:val="175A5936"/>
    <w:rsid w:val="175B03A6"/>
    <w:rsid w:val="175B0957"/>
    <w:rsid w:val="175B1444"/>
    <w:rsid w:val="175B37E4"/>
    <w:rsid w:val="175D7952"/>
    <w:rsid w:val="175E0F34"/>
    <w:rsid w:val="175F2B33"/>
    <w:rsid w:val="17603394"/>
    <w:rsid w:val="17606A5A"/>
    <w:rsid w:val="176127D3"/>
    <w:rsid w:val="17624EE1"/>
    <w:rsid w:val="176321B8"/>
    <w:rsid w:val="1763654B"/>
    <w:rsid w:val="17643773"/>
    <w:rsid w:val="17650515"/>
    <w:rsid w:val="176522C3"/>
    <w:rsid w:val="17654071"/>
    <w:rsid w:val="17667DE9"/>
    <w:rsid w:val="17671DD7"/>
    <w:rsid w:val="1767603B"/>
    <w:rsid w:val="17680005"/>
    <w:rsid w:val="176A0F3A"/>
    <w:rsid w:val="176A78D9"/>
    <w:rsid w:val="176B7AB8"/>
    <w:rsid w:val="176D2A12"/>
    <w:rsid w:val="176D36C6"/>
    <w:rsid w:val="17702E89"/>
    <w:rsid w:val="17710C68"/>
    <w:rsid w:val="17716EB9"/>
    <w:rsid w:val="17720584"/>
    <w:rsid w:val="177249E0"/>
    <w:rsid w:val="1772678E"/>
    <w:rsid w:val="1773037A"/>
    <w:rsid w:val="17737AB5"/>
    <w:rsid w:val="17742506"/>
    <w:rsid w:val="17742C5A"/>
    <w:rsid w:val="177469AA"/>
    <w:rsid w:val="17757C3C"/>
    <w:rsid w:val="177644D0"/>
    <w:rsid w:val="17771FF6"/>
    <w:rsid w:val="17793BB0"/>
    <w:rsid w:val="17793FC0"/>
    <w:rsid w:val="17795811"/>
    <w:rsid w:val="177B1AE6"/>
    <w:rsid w:val="177B5642"/>
    <w:rsid w:val="177B7D38"/>
    <w:rsid w:val="177C13BA"/>
    <w:rsid w:val="177C621C"/>
    <w:rsid w:val="177C7F0A"/>
    <w:rsid w:val="177F5569"/>
    <w:rsid w:val="177F74FC"/>
    <w:rsid w:val="177F76BF"/>
    <w:rsid w:val="17800EAB"/>
    <w:rsid w:val="1780297E"/>
    <w:rsid w:val="178063D9"/>
    <w:rsid w:val="17811B75"/>
    <w:rsid w:val="17812A49"/>
    <w:rsid w:val="1782289D"/>
    <w:rsid w:val="178264C1"/>
    <w:rsid w:val="17832749"/>
    <w:rsid w:val="17836BED"/>
    <w:rsid w:val="17851110"/>
    <w:rsid w:val="1785372B"/>
    <w:rsid w:val="178817D2"/>
    <w:rsid w:val="1788408B"/>
    <w:rsid w:val="17884203"/>
    <w:rsid w:val="1788553B"/>
    <w:rsid w:val="17887DF1"/>
    <w:rsid w:val="178A3A30"/>
    <w:rsid w:val="178C3CF3"/>
    <w:rsid w:val="178C5AA1"/>
    <w:rsid w:val="178C648E"/>
    <w:rsid w:val="178C784F"/>
    <w:rsid w:val="178D1819"/>
    <w:rsid w:val="178D35C8"/>
    <w:rsid w:val="178D643A"/>
    <w:rsid w:val="178E34EB"/>
    <w:rsid w:val="178F42A5"/>
    <w:rsid w:val="178F5592"/>
    <w:rsid w:val="17902473"/>
    <w:rsid w:val="179123E3"/>
    <w:rsid w:val="17914E66"/>
    <w:rsid w:val="17935082"/>
    <w:rsid w:val="17936E30"/>
    <w:rsid w:val="17942BA8"/>
    <w:rsid w:val="1796247C"/>
    <w:rsid w:val="17966920"/>
    <w:rsid w:val="179705F3"/>
    <w:rsid w:val="17984446"/>
    <w:rsid w:val="17996785"/>
    <w:rsid w:val="179B5CE4"/>
    <w:rsid w:val="179C380B"/>
    <w:rsid w:val="179E3A27"/>
    <w:rsid w:val="179E46BB"/>
    <w:rsid w:val="17A133F8"/>
    <w:rsid w:val="17A242EE"/>
    <w:rsid w:val="17A252C5"/>
    <w:rsid w:val="17A27073"/>
    <w:rsid w:val="17A4103D"/>
    <w:rsid w:val="17A50911"/>
    <w:rsid w:val="17A54DB5"/>
    <w:rsid w:val="17A64126"/>
    <w:rsid w:val="17A6605C"/>
    <w:rsid w:val="17A74689"/>
    <w:rsid w:val="17A75B29"/>
    <w:rsid w:val="17A80401"/>
    <w:rsid w:val="17A806FA"/>
    <w:rsid w:val="17A821AF"/>
    <w:rsid w:val="17A94056"/>
    <w:rsid w:val="17A96653"/>
    <w:rsid w:val="17AA3337"/>
    <w:rsid w:val="17AA34B4"/>
    <w:rsid w:val="17AA4179"/>
    <w:rsid w:val="17AA59C5"/>
    <w:rsid w:val="17AA5F28"/>
    <w:rsid w:val="17AB593A"/>
    <w:rsid w:val="17AC0409"/>
    <w:rsid w:val="17AC5F9D"/>
    <w:rsid w:val="17AD5A18"/>
    <w:rsid w:val="17AE2326"/>
    <w:rsid w:val="17AF1790"/>
    <w:rsid w:val="17B02C67"/>
    <w:rsid w:val="17B1030C"/>
    <w:rsid w:val="17B15508"/>
    <w:rsid w:val="17B2302E"/>
    <w:rsid w:val="17B24F63"/>
    <w:rsid w:val="17B33B8E"/>
    <w:rsid w:val="17B33EF9"/>
    <w:rsid w:val="17B3580D"/>
    <w:rsid w:val="17B374D2"/>
    <w:rsid w:val="17B46DA6"/>
    <w:rsid w:val="17B52FAD"/>
    <w:rsid w:val="17B54E42"/>
    <w:rsid w:val="17B60BE2"/>
    <w:rsid w:val="17B61722"/>
    <w:rsid w:val="17B635A4"/>
    <w:rsid w:val="17B73663"/>
    <w:rsid w:val="17B754EB"/>
    <w:rsid w:val="17B86896"/>
    <w:rsid w:val="17B97123"/>
    <w:rsid w:val="17BA0860"/>
    <w:rsid w:val="17BB1EE3"/>
    <w:rsid w:val="17BE19D3"/>
    <w:rsid w:val="17BF67CD"/>
    <w:rsid w:val="17C10C6C"/>
    <w:rsid w:val="17C1575E"/>
    <w:rsid w:val="17C214C3"/>
    <w:rsid w:val="17C23271"/>
    <w:rsid w:val="17C42121"/>
    <w:rsid w:val="17C4348D"/>
    <w:rsid w:val="17C62542"/>
    <w:rsid w:val="17C63C83"/>
    <w:rsid w:val="17C70888"/>
    <w:rsid w:val="17C84600"/>
    <w:rsid w:val="17C97A33"/>
    <w:rsid w:val="17CA0EC3"/>
    <w:rsid w:val="17CA65CA"/>
    <w:rsid w:val="17CC40F0"/>
    <w:rsid w:val="17CE60BA"/>
    <w:rsid w:val="17CE7E68"/>
    <w:rsid w:val="17CF3BE0"/>
    <w:rsid w:val="17CF519D"/>
    <w:rsid w:val="17CF598E"/>
    <w:rsid w:val="17CF6476"/>
    <w:rsid w:val="17D11706"/>
    <w:rsid w:val="17D15BAA"/>
    <w:rsid w:val="17D16426"/>
    <w:rsid w:val="17D2722C"/>
    <w:rsid w:val="17D336D0"/>
    <w:rsid w:val="17D34DF7"/>
    <w:rsid w:val="17D411F6"/>
    <w:rsid w:val="17D42FA4"/>
    <w:rsid w:val="17D43738"/>
    <w:rsid w:val="17D47448"/>
    <w:rsid w:val="17D56B4D"/>
    <w:rsid w:val="17D631C0"/>
    <w:rsid w:val="17D63778"/>
    <w:rsid w:val="17D64587"/>
    <w:rsid w:val="17D70B81"/>
    <w:rsid w:val="17D7545E"/>
    <w:rsid w:val="17D82A95"/>
    <w:rsid w:val="17D86098"/>
    <w:rsid w:val="17D86F39"/>
    <w:rsid w:val="17D905BB"/>
    <w:rsid w:val="17D9363D"/>
    <w:rsid w:val="17D9680D"/>
    <w:rsid w:val="17D96D26"/>
    <w:rsid w:val="17DA624F"/>
    <w:rsid w:val="17DA7247"/>
    <w:rsid w:val="17DB4333"/>
    <w:rsid w:val="17DD09DC"/>
    <w:rsid w:val="17DD3B90"/>
    <w:rsid w:val="17DF02C7"/>
    <w:rsid w:val="17E12729"/>
    <w:rsid w:val="17E4768B"/>
    <w:rsid w:val="17E551B2"/>
    <w:rsid w:val="17E70F2A"/>
    <w:rsid w:val="17E86A50"/>
    <w:rsid w:val="17E92DC9"/>
    <w:rsid w:val="17E93A92"/>
    <w:rsid w:val="17EA65DF"/>
    <w:rsid w:val="17EB22CD"/>
    <w:rsid w:val="17EB26E6"/>
    <w:rsid w:val="17EB6C6C"/>
    <w:rsid w:val="17EC7BE6"/>
    <w:rsid w:val="17EE050A"/>
    <w:rsid w:val="17EE22B8"/>
    <w:rsid w:val="17EF6030"/>
    <w:rsid w:val="17EF7D81"/>
    <w:rsid w:val="17F026A5"/>
    <w:rsid w:val="17F04282"/>
    <w:rsid w:val="17F13B56"/>
    <w:rsid w:val="17F23AAF"/>
    <w:rsid w:val="17F27BCF"/>
    <w:rsid w:val="17F32385"/>
    <w:rsid w:val="17F40733"/>
    <w:rsid w:val="17F43647"/>
    <w:rsid w:val="17F5251C"/>
    <w:rsid w:val="17F6116D"/>
    <w:rsid w:val="17F673BF"/>
    <w:rsid w:val="17F84EE5"/>
    <w:rsid w:val="17F900FF"/>
    <w:rsid w:val="17FB2C27"/>
    <w:rsid w:val="17FC5F97"/>
    <w:rsid w:val="17FE5302"/>
    <w:rsid w:val="17FF3174"/>
    <w:rsid w:val="17FF44C5"/>
    <w:rsid w:val="17FF4C2C"/>
    <w:rsid w:val="18003D99"/>
    <w:rsid w:val="18023FB5"/>
    <w:rsid w:val="18024BDD"/>
    <w:rsid w:val="18027B0E"/>
    <w:rsid w:val="18041ADC"/>
    <w:rsid w:val="18047D2E"/>
    <w:rsid w:val="180513B0"/>
    <w:rsid w:val="180552F7"/>
    <w:rsid w:val="18055854"/>
    <w:rsid w:val="1806208F"/>
    <w:rsid w:val="1806734E"/>
    <w:rsid w:val="1807337A"/>
    <w:rsid w:val="180A1D0F"/>
    <w:rsid w:val="180A2E6A"/>
    <w:rsid w:val="180A4C18"/>
    <w:rsid w:val="180A6356"/>
    <w:rsid w:val="180C06D4"/>
    <w:rsid w:val="180C2454"/>
    <w:rsid w:val="180C273E"/>
    <w:rsid w:val="180C4AA7"/>
    <w:rsid w:val="180E2019"/>
    <w:rsid w:val="180E295A"/>
    <w:rsid w:val="180E4708"/>
    <w:rsid w:val="180F222F"/>
    <w:rsid w:val="180F3786"/>
    <w:rsid w:val="180F3C0B"/>
    <w:rsid w:val="1811244B"/>
    <w:rsid w:val="181141F9"/>
    <w:rsid w:val="18115FA7"/>
    <w:rsid w:val="18117072"/>
    <w:rsid w:val="18117CF4"/>
    <w:rsid w:val="18117D55"/>
    <w:rsid w:val="18130349"/>
    <w:rsid w:val="1813168A"/>
    <w:rsid w:val="1815582B"/>
    <w:rsid w:val="18167CD7"/>
    <w:rsid w:val="181730A4"/>
    <w:rsid w:val="18181DEA"/>
    <w:rsid w:val="18185587"/>
    <w:rsid w:val="18187C96"/>
    <w:rsid w:val="18193641"/>
    <w:rsid w:val="181B092C"/>
    <w:rsid w:val="181B0C49"/>
    <w:rsid w:val="181B1FDA"/>
    <w:rsid w:val="181B5077"/>
    <w:rsid w:val="181C076B"/>
    <w:rsid w:val="181C5917"/>
    <w:rsid w:val="181F06C4"/>
    <w:rsid w:val="182039AF"/>
    <w:rsid w:val="182061EA"/>
    <w:rsid w:val="1821268E"/>
    <w:rsid w:val="18226406"/>
    <w:rsid w:val="18247EA8"/>
    <w:rsid w:val="18251A52"/>
    <w:rsid w:val="18252F5E"/>
    <w:rsid w:val="18273A1C"/>
    <w:rsid w:val="18273B81"/>
    <w:rsid w:val="18292D6F"/>
    <w:rsid w:val="18293C25"/>
    <w:rsid w:val="182A0E16"/>
    <w:rsid w:val="182A6A3F"/>
    <w:rsid w:val="182B008D"/>
    <w:rsid w:val="182B52BA"/>
    <w:rsid w:val="182B6B76"/>
    <w:rsid w:val="182C1032"/>
    <w:rsid w:val="182C12FC"/>
    <w:rsid w:val="182C69C5"/>
    <w:rsid w:val="182E0504"/>
    <w:rsid w:val="182E09AD"/>
    <w:rsid w:val="182F0322"/>
    <w:rsid w:val="182F5251"/>
    <w:rsid w:val="18300B23"/>
    <w:rsid w:val="18301906"/>
    <w:rsid w:val="18306F8D"/>
    <w:rsid w:val="1833416F"/>
    <w:rsid w:val="18340258"/>
    <w:rsid w:val="18351C95"/>
    <w:rsid w:val="183608AF"/>
    <w:rsid w:val="18381785"/>
    <w:rsid w:val="1839615F"/>
    <w:rsid w:val="183A374F"/>
    <w:rsid w:val="183B1275"/>
    <w:rsid w:val="183B3024"/>
    <w:rsid w:val="183C74C7"/>
    <w:rsid w:val="183D3DB6"/>
    <w:rsid w:val="183E3E7C"/>
    <w:rsid w:val="183F14D8"/>
    <w:rsid w:val="183F48C2"/>
    <w:rsid w:val="18402737"/>
    <w:rsid w:val="18407B66"/>
    <w:rsid w:val="18412583"/>
    <w:rsid w:val="184374FD"/>
    <w:rsid w:val="18460AB1"/>
    <w:rsid w:val="184617E8"/>
    <w:rsid w:val="18467B6E"/>
    <w:rsid w:val="184805D1"/>
    <w:rsid w:val="18481DFF"/>
    <w:rsid w:val="18491263"/>
    <w:rsid w:val="18491BE4"/>
    <w:rsid w:val="184B47D6"/>
    <w:rsid w:val="184B770B"/>
    <w:rsid w:val="184B784A"/>
    <w:rsid w:val="184C2897"/>
    <w:rsid w:val="184E71FB"/>
    <w:rsid w:val="184F409A"/>
    <w:rsid w:val="184F4A8A"/>
    <w:rsid w:val="18506ACF"/>
    <w:rsid w:val="18510A99"/>
    <w:rsid w:val="185116BA"/>
    <w:rsid w:val="18512847"/>
    <w:rsid w:val="18522621"/>
    <w:rsid w:val="18532A8C"/>
    <w:rsid w:val="18535FDC"/>
    <w:rsid w:val="18542E34"/>
    <w:rsid w:val="18550589"/>
    <w:rsid w:val="18552337"/>
    <w:rsid w:val="185524C1"/>
    <w:rsid w:val="185534CD"/>
    <w:rsid w:val="1855658C"/>
    <w:rsid w:val="1856268D"/>
    <w:rsid w:val="18567E5D"/>
    <w:rsid w:val="18575CB1"/>
    <w:rsid w:val="18583BD5"/>
    <w:rsid w:val="18594186"/>
    <w:rsid w:val="185A5BA0"/>
    <w:rsid w:val="185A794E"/>
    <w:rsid w:val="185C1918"/>
    <w:rsid w:val="185C2AFF"/>
    <w:rsid w:val="185C36C6"/>
    <w:rsid w:val="185D2F9A"/>
    <w:rsid w:val="185D707D"/>
    <w:rsid w:val="185D708E"/>
    <w:rsid w:val="185F3DFA"/>
    <w:rsid w:val="18602A8A"/>
    <w:rsid w:val="18605EAA"/>
    <w:rsid w:val="1860737A"/>
    <w:rsid w:val="18610CDC"/>
    <w:rsid w:val="18622CA6"/>
    <w:rsid w:val="18624A54"/>
    <w:rsid w:val="18626802"/>
    <w:rsid w:val="186355A0"/>
    <w:rsid w:val="18635AD1"/>
    <w:rsid w:val="18636CAE"/>
    <w:rsid w:val="186474C4"/>
    <w:rsid w:val="18650063"/>
    <w:rsid w:val="18657A1C"/>
    <w:rsid w:val="18661A3B"/>
    <w:rsid w:val="18664544"/>
    <w:rsid w:val="18666594"/>
    <w:rsid w:val="186715DB"/>
    <w:rsid w:val="18672039"/>
    <w:rsid w:val="1869193F"/>
    <w:rsid w:val="18695477"/>
    <w:rsid w:val="18697B91"/>
    <w:rsid w:val="186A70DC"/>
    <w:rsid w:val="186A7A63"/>
    <w:rsid w:val="186B3030"/>
    <w:rsid w:val="186C73C8"/>
    <w:rsid w:val="186D58D3"/>
    <w:rsid w:val="186E164B"/>
    <w:rsid w:val="186E340E"/>
    <w:rsid w:val="186F002B"/>
    <w:rsid w:val="186F609A"/>
    <w:rsid w:val="18700DCC"/>
    <w:rsid w:val="18700F1F"/>
    <w:rsid w:val="18702526"/>
    <w:rsid w:val="18702CCD"/>
    <w:rsid w:val="1870769A"/>
    <w:rsid w:val="18710A57"/>
    <w:rsid w:val="18714C97"/>
    <w:rsid w:val="1872095F"/>
    <w:rsid w:val="18730A0F"/>
    <w:rsid w:val="18733E84"/>
    <w:rsid w:val="18736C61"/>
    <w:rsid w:val="18745BFF"/>
    <w:rsid w:val="18756535"/>
    <w:rsid w:val="187A08AD"/>
    <w:rsid w:val="187A6D18"/>
    <w:rsid w:val="187A7FF0"/>
    <w:rsid w:val="187C76E2"/>
    <w:rsid w:val="187F35D5"/>
    <w:rsid w:val="187F48D7"/>
    <w:rsid w:val="187F5606"/>
    <w:rsid w:val="187F73B4"/>
    <w:rsid w:val="1881137E"/>
    <w:rsid w:val="18834AC3"/>
    <w:rsid w:val="188449CB"/>
    <w:rsid w:val="18853C5B"/>
    <w:rsid w:val="18856A20"/>
    <w:rsid w:val="188579DA"/>
    <w:rsid w:val="18860743"/>
    <w:rsid w:val="188624F1"/>
    <w:rsid w:val="18871757"/>
    <w:rsid w:val="1888635B"/>
    <w:rsid w:val="18893D8F"/>
    <w:rsid w:val="188B5CF6"/>
    <w:rsid w:val="188B7B07"/>
    <w:rsid w:val="188C359B"/>
    <w:rsid w:val="188C387F"/>
    <w:rsid w:val="188D329C"/>
    <w:rsid w:val="188D6271"/>
    <w:rsid w:val="188D6D66"/>
    <w:rsid w:val="188D7D23"/>
    <w:rsid w:val="188E3A9B"/>
    <w:rsid w:val="188F5710"/>
    <w:rsid w:val="18901263"/>
    <w:rsid w:val="189015C1"/>
    <w:rsid w:val="1890511D"/>
    <w:rsid w:val="18925339"/>
    <w:rsid w:val="189270E7"/>
    <w:rsid w:val="18932E60"/>
    <w:rsid w:val="1895095F"/>
    <w:rsid w:val="18952734"/>
    <w:rsid w:val="18970E35"/>
    <w:rsid w:val="18972950"/>
    <w:rsid w:val="1897327F"/>
    <w:rsid w:val="18975246"/>
    <w:rsid w:val="189832D7"/>
    <w:rsid w:val="18985DE5"/>
    <w:rsid w:val="189866C8"/>
    <w:rsid w:val="189936EA"/>
    <w:rsid w:val="189A0770"/>
    <w:rsid w:val="189A41EE"/>
    <w:rsid w:val="189C08D6"/>
    <w:rsid w:val="189C1059"/>
    <w:rsid w:val="189D5A8C"/>
    <w:rsid w:val="189D783A"/>
    <w:rsid w:val="189E0858"/>
    <w:rsid w:val="189E3CDE"/>
    <w:rsid w:val="18A0100D"/>
    <w:rsid w:val="18A175A8"/>
    <w:rsid w:val="18A230A3"/>
    <w:rsid w:val="18A24E51"/>
    <w:rsid w:val="18A425DC"/>
    <w:rsid w:val="18A46E1B"/>
    <w:rsid w:val="18A47BC7"/>
    <w:rsid w:val="18A9301C"/>
    <w:rsid w:val="18A95E47"/>
    <w:rsid w:val="18AA7FD0"/>
    <w:rsid w:val="18AB3826"/>
    <w:rsid w:val="18AB63FB"/>
    <w:rsid w:val="18AC1EF0"/>
    <w:rsid w:val="18AC4D9F"/>
    <w:rsid w:val="18AD129B"/>
    <w:rsid w:val="18AD3F21"/>
    <w:rsid w:val="18AD6BE6"/>
    <w:rsid w:val="18AE37F5"/>
    <w:rsid w:val="18AF2982"/>
    <w:rsid w:val="18AF5EEB"/>
    <w:rsid w:val="18B01AA0"/>
    <w:rsid w:val="18B057C0"/>
    <w:rsid w:val="18B132CA"/>
    <w:rsid w:val="18B16FBC"/>
    <w:rsid w:val="18B2778A"/>
    <w:rsid w:val="18B30F81"/>
    <w:rsid w:val="18B3705E"/>
    <w:rsid w:val="18B43502"/>
    <w:rsid w:val="18B44318"/>
    <w:rsid w:val="18B45502"/>
    <w:rsid w:val="18B613D9"/>
    <w:rsid w:val="18B623EC"/>
    <w:rsid w:val="18B705C1"/>
    <w:rsid w:val="18B721DC"/>
    <w:rsid w:val="18B72FDA"/>
    <w:rsid w:val="18B74136"/>
    <w:rsid w:val="18B83CF9"/>
    <w:rsid w:val="18B90B18"/>
    <w:rsid w:val="18B95189"/>
    <w:rsid w:val="18B9693B"/>
    <w:rsid w:val="18BA03EC"/>
    <w:rsid w:val="18BA4F2C"/>
    <w:rsid w:val="18BC174E"/>
    <w:rsid w:val="18BD3BFF"/>
    <w:rsid w:val="18BE54B4"/>
    <w:rsid w:val="18BE642A"/>
    <w:rsid w:val="18BF5A03"/>
    <w:rsid w:val="18C03380"/>
    <w:rsid w:val="18C043E4"/>
    <w:rsid w:val="18C13529"/>
    <w:rsid w:val="18C15C1F"/>
    <w:rsid w:val="18C25BBF"/>
    <w:rsid w:val="18C30DC4"/>
    <w:rsid w:val="18C474BD"/>
    <w:rsid w:val="18C5372C"/>
    <w:rsid w:val="18C634C4"/>
    <w:rsid w:val="18C66D91"/>
    <w:rsid w:val="18C7778D"/>
    <w:rsid w:val="18C816C6"/>
    <w:rsid w:val="18C82B09"/>
    <w:rsid w:val="18C94AD3"/>
    <w:rsid w:val="18C95C1A"/>
    <w:rsid w:val="18CA5EEA"/>
    <w:rsid w:val="18CA607D"/>
    <w:rsid w:val="18CB084B"/>
    <w:rsid w:val="18CC56EC"/>
    <w:rsid w:val="18CE5C46"/>
    <w:rsid w:val="18D019BE"/>
    <w:rsid w:val="18D036C2"/>
    <w:rsid w:val="18D06E9B"/>
    <w:rsid w:val="18D25736"/>
    <w:rsid w:val="18D3325C"/>
    <w:rsid w:val="18D3392B"/>
    <w:rsid w:val="18D4004C"/>
    <w:rsid w:val="18D47700"/>
    <w:rsid w:val="18D524FF"/>
    <w:rsid w:val="18D55226"/>
    <w:rsid w:val="18D56924"/>
    <w:rsid w:val="18D70F9E"/>
    <w:rsid w:val="18D75B41"/>
    <w:rsid w:val="18D801A6"/>
    <w:rsid w:val="18DA44C2"/>
    <w:rsid w:val="18DA46C1"/>
    <w:rsid w:val="18DB75E5"/>
    <w:rsid w:val="18DC0363"/>
    <w:rsid w:val="18DC039C"/>
    <w:rsid w:val="18DC448B"/>
    <w:rsid w:val="18DD4153"/>
    <w:rsid w:val="18DE057F"/>
    <w:rsid w:val="18DE232D"/>
    <w:rsid w:val="18DE36FC"/>
    <w:rsid w:val="18DF60A5"/>
    <w:rsid w:val="18E012D2"/>
    <w:rsid w:val="18E11E1D"/>
    <w:rsid w:val="18E13BCB"/>
    <w:rsid w:val="18E16A7D"/>
    <w:rsid w:val="18E17775"/>
    <w:rsid w:val="18E44F8A"/>
    <w:rsid w:val="18E45469"/>
    <w:rsid w:val="18E54327"/>
    <w:rsid w:val="18E65685"/>
    <w:rsid w:val="18E81697"/>
    <w:rsid w:val="18E816E3"/>
    <w:rsid w:val="18E91C8E"/>
    <w:rsid w:val="18E92A80"/>
    <w:rsid w:val="18E9476E"/>
    <w:rsid w:val="18E96C96"/>
    <w:rsid w:val="18EB2DBB"/>
    <w:rsid w:val="18EB4A4A"/>
    <w:rsid w:val="18EC0939"/>
    <w:rsid w:val="18ED431E"/>
    <w:rsid w:val="18ED5449"/>
    <w:rsid w:val="18ED735A"/>
    <w:rsid w:val="18EE0096"/>
    <w:rsid w:val="18EF3C42"/>
    <w:rsid w:val="18EF453A"/>
    <w:rsid w:val="18EF5E25"/>
    <w:rsid w:val="18F03E0E"/>
    <w:rsid w:val="18F04206"/>
    <w:rsid w:val="18F10169"/>
    <w:rsid w:val="18F158BE"/>
    <w:rsid w:val="18F315C5"/>
    <w:rsid w:val="18F338FE"/>
    <w:rsid w:val="18F460C2"/>
    <w:rsid w:val="18F46891"/>
    <w:rsid w:val="18F6041B"/>
    <w:rsid w:val="18F6060C"/>
    <w:rsid w:val="18F64A8A"/>
    <w:rsid w:val="18F66DD3"/>
    <w:rsid w:val="18F71640"/>
    <w:rsid w:val="18F7519C"/>
    <w:rsid w:val="18F77CFC"/>
    <w:rsid w:val="18F90F15"/>
    <w:rsid w:val="18F953B8"/>
    <w:rsid w:val="18F96854"/>
    <w:rsid w:val="18FA2EDF"/>
    <w:rsid w:val="18FA6A3B"/>
    <w:rsid w:val="18FC3C76"/>
    <w:rsid w:val="18FD2A3C"/>
    <w:rsid w:val="18FE29CF"/>
    <w:rsid w:val="18FE477D"/>
    <w:rsid w:val="18FE652B"/>
    <w:rsid w:val="18FE6C10"/>
    <w:rsid w:val="19006747"/>
    <w:rsid w:val="1901397F"/>
    <w:rsid w:val="1902112B"/>
    <w:rsid w:val="1903395F"/>
    <w:rsid w:val="19040603"/>
    <w:rsid w:val="19042DBF"/>
    <w:rsid w:val="19045B0B"/>
    <w:rsid w:val="1905134C"/>
    <w:rsid w:val="19053D5D"/>
    <w:rsid w:val="19063790"/>
    <w:rsid w:val="19067AD5"/>
    <w:rsid w:val="19067FF8"/>
    <w:rsid w:val="19073E7B"/>
    <w:rsid w:val="190800BC"/>
    <w:rsid w:val="19080C81"/>
    <w:rsid w:val="190855FC"/>
    <w:rsid w:val="190873AA"/>
    <w:rsid w:val="190A41D3"/>
    <w:rsid w:val="190B6E9A"/>
    <w:rsid w:val="190D676E"/>
    <w:rsid w:val="190E24E6"/>
    <w:rsid w:val="191055EA"/>
    <w:rsid w:val="19107413"/>
    <w:rsid w:val="19112EC7"/>
    <w:rsid w:val="19120228"/>
    <w:rsid w:val="19121FD6"/>
    <w:rsid w:val="1912263B"/>
    <w:rsid w:val="19135D94"/>
    <w:rsid w:val="19137AFC"/>
    <w:rsid w:val="191404B0"/>
    <w:rsid w:val="19140EF5"/>
    <w:rsid w:val="191506B4"/>
    <w:rsid w:val="19153151"/>
    <w:rsid w:val="1918074C"/>
    <w:rsid w:val="19183D6F"/>
    <w:rsid w:val="191923C5"/>
    <w:rsid w:val="19193365"/>
    <w:rsid w:val="191966A3"/>
    <w:rsid w:val="191967D4"/>
    <w:rsid w:val="191A4E8D"/>
    <w:rsid w:val="191C2E55"/>
    <w:rsid w:val="191C4C03"/>
    <w:rsid w:val="191E02D6"/>
    <w:rsid w:val="191E097B"/>
    <w:rsid w:val="191E4E1F"/>
    <w:rsid w:val="191F46F3"/>
    <w:rsid w:val="192166BD"/>
    <w:rsid w:val="19232435"/>
    <w:rsid w:val="19235F91"/>
    <w:rsid w:val="19236420"/>
    <w:rsid w:val="19241D0A"/>
    <w:rsid w:val="1924570B"/>
    <w:rsid w:val="19245A6B"/>
    <w:rsid w:val="192470E6"/>
    <w:rsid w:val="1925034E"/>
    <w:rsid w:val="19257F5C"/>
    <w:rsid w:val="19261639"/>
    <w:rsid w:val="19263CD4"/>
    <w:rsid w:val="19265A82"/>
    <w:rsid w:val="1927569A"/>
    <w:rsid w:val="192835A8"/>
    <w:rsid w:val="19287A4C"/>
    <w:rsid w:val="19295F84"/>
    <w:rsid w:val="192A144A"/>
    <w:rsid w:val="192A37C4"/>
    <w:rsid w:val="192A5572"/>
    <w:rsid w:val="192B12EA"/>
    <w:rsid w:val="192D5062"/>
    <w:rsid w:val="192E299C"/>
    <w:rsid w:val="192F0DDA"/>
    <w:rsid w:val="192F2B88"/>
    <w:rsid w:val="192F64DD"/>
    <w:rsid w:val="193006AE"/>
    <w:rsid w:val="19306900"/>
    <w:rsid w:val="19307228"/>
    <w:rsid w:val="19312D20"/>
    <w:rsid w:val="19324427"/>
    <w:rsid w:val="193261D5"/>
    <w:rsid w:val="19327BDC"/>
    <w:rsid w:val="1934019F"/>
    <w:rsid w:val="19341F4D"/>
    <w:rsid w:val="193447A0"/>
    <w:rsid w:val="19362169"/>
    <w:rsid w:val="19370ACC"/>
    <w:rsid w:val="193769F9"/>
    <w:rsid w:val="19377C8F"/>
    <w:rsid w:val="193840F4"/>
    <w:rsid w:val="19384E71"/>
    <w:rsid w:val="19392E40"/>
    <w:rsid w:val="19393A07"/>
    <w:rsid w:val="19397BA6"/>
    <w:rsid w:val="193A152D"/>
    <w:rsid w:val="193B24A3"/>
    <w:rsid w:val="193B3ABF"/>
    <w:rsid w:val="193B3B10"/>
    <w:rsid w:val="193B777F"/>
    <w:rsid w:val="193C4FA0"/>
    <w:rsid w:val="193C52A5"/>
    <w:rsid w:val="193E101D"/>
    <w:rsid w:val="193E20D2"/>
    <w:rsid w:val="19406B43"/>
    <w:rsid w:val="194276D1"/>
    <w:rsid w:val="194734A4"/>
    <w:rsid w:val="19476AF1"/>
    <w:rsid w:val="19481E9C"/>
    <w:rsid w:val="194849D3"/>
    <w:rsid w:val="194A035E"/>
    <w:rsid w:val="194A79C2"/>
    <w:rsid w:val="194B4765"/>
    <w:rsid w:val="194B7296"/>
    <w:rsid w:val="194D1ADA"/>
    <w:rsid w:val="194D73B5"/>
    <w:rsid w:val="194D74B2"/>
    <w:rsid w:val="194D7F9C"/>
    <w:rsid w:val="194E34EC"/>
    <w:rsid w:val="194E53C8"/>
    <w:rsid w:val="194F322A"/>
    <w:rsid w:val="194F4FD8"/>
    <w:rsid w:val="194F691E"/>
    <w:rsid w:val="194F6D87"/>
    <w:rsid w:val="19510D51"/>
    <w:rsid w:val="19526877"/>
    <w:rsid w:val="19533227"/>
    <w:rsid w:val="19540841"/>
    <w:rsid w:val="19542D89"/>
    <w:rsid w:val="19550115"/>
    <w:rsid w:val="19572FEA"/>
    <w:rsid w:val="19573038"/>
    <w:rsid w:val="19595E57"/>
    <w:rsid w:val="19597C05"/>
    <w:rsid w:val="195A6DE8"/>
    <w:rsid w:val="195C14A3"/>
    <w:rsid w:val="195C265A"/>
    <w:rsid w:val="195C5947"/>
    <w:rsid w:val="195C76F5"/>
    <w:rsid w:val="195E346D"/>
    <w:rsid w:val="195E40FD"/>
    <w:rsid w:val="195F08E7"/>
    <w:rsid w:val="195F2D42"/>
    <w:rsid w:val="195F64E7"/>
    <w:rsid w:val="19603EF5"/>
    <w:rsid w:val="196071E6"/>
    <w:rsid w:val="19612842"/>
    <w:rsid w:val="196273C8"/>
    <w:rsid w:val="19632832"/>
    <w:rsid w:val="19661867"/>
    <w:rsid w:val="196721D6"/>
    <w:rsid w:val="19680E8E"/>
    <w:rsid w:val="196825B4"/>
    <w:rsid w:val="1968609A"/>
    <w:rsid w:val="196874E0"/>
    <w:rsid w:val="19687E48"/>
    <w:rsid w:val="196A7184"/>
    <w:rsid w:val="196A785A"/>
    <w:rsid w:val="196B0D46"/>
    <w:rsid w:val="196B7938"/>
    <w:rsid w:val="196C5B8A"/>
    <w:rsid w:val="196D196F"/>
    <w:rsid w:val="196D3DCE"/>
    <w:rsid w:val="196F11D7"/>
    <w:rsid w:val="196F567B"/>
    <w:rsid w:val="19702986"/>
    <w:rsid w:val="19706CFD"/>
    <w:rsid w:val="197310D0"/>
    <w:rsid w:val="19742C91"/>
    <w:rsid w:val="19744A3F"/>
    <w:rsid w:val="19751A96"/>
    <w:rsid w:val="19756550"/>
    <w:rsid w:val="19766A09"/>
    <w:rsid w:val="1977008B"/>
    <w:rsid w:val="1977452F"/>
    <w:rsid w:val="19780EE1"/>
    <w:rsid w:val="197821ED"/>
    <w:rsid w:val="19783AB2"/>
    <w:rsid w:val="197902A7"/>
    <w:rsid w:val="197908E4"/>
    <w:rsid w:val="197917AB"/>
    <w:rsid w:val="19792055"/>
    <w:rsid w:val="197B5DCD"/>
    <w:rsid w:val="197B7B7C"/>
    <w:rsid w:val="197C1DCA"/>
    <w:rsid w:val="197C64BB"/>
    <w:rsid w:val="197E2869"/>
    <w:rsid w:val="197E58BE"/>
    <w:rsid w:val="197E7D68"/>
    <w:rsid w:val="19801636"/>
    <w:rsid w:val="19805192"/>
    <w:rsid w:val="19810F0A"/>
    <w:rsid w:val="198253AE"/>
    <w:rsid w:val="19832ED4"/>
    <w:rsid w:val="19842D5F"/>
    <w:rsid w:val="198509FA"/>
    <w:rsid w:val="198729C4"/>
    <w:rsid w:val="198738B2"/>
    <w:rsid w:val="19874314"/>
    <w:rsid w:val="1988673C"/>
    <w:rsid w:val="198872E5"/>
    <w:rsid w:val="198A1F75"/>
    <w:rsid w:val="198A6011"/>
    <w:rsid w:val="198A7DBF"/>
    <w:rsid w:val="198B3B37"/>
    <w:rsid w:val="198C1D89"/>
    <w:rsid w:val="198C2773"/>
    <w:rsid w:val="198C7FDB"/>
    <w:rsid w:val="198D3532"/>
    <w:rsid w:val="198D6F2A"/>
    <w:rsid w:val="198F4120"/>
    <w:rsid w:val="198F7ACB"/>
    <w:rsid w:val="19902E8B"/>
    <w:rsid w:val="199131C9"/>
    <w:rsid w:val="199209CD"/>
    <w:rsid w:val="19923117"/>
    <w:rsid w:val="19924659"/>
    <w:rsid w:val="19924EC5"/>
    <w:rsid w:val="19930790"/>
    <w:rsid w:val="19941B4A"/>
    <w:rsid w:val="19943DAE"/>
    <w:rsid w:val="1995149E"/>
    <w:rsid w:val="19960E59"/>
    <w:rsid w:val="19964762"/>
    <w:rsid w:val="199724DC"/>
    <w:rsid w:val="19972971"/>
    <w:rsid w:val="199944A6"/>
    <w:rsid w:val="19996254"/>
    <w:rsid w:val="199A59BC"/>
    <w:rsid w:val="19A03A86"/>
    <w:rsid w:val="19A075E2"/>
    <w:rsid w:val="19A12CBE"/>
    <w:rsid w:val="19A277FE"/>
    <w:rsid w:val="19A30E80"/>
    <w:rsid w:val="19A31984"/>
    <w:rsid w:val="19A32B32"/>
    <w:rsid w:val="19A33251"/>
    <w:rsid w:val="19A4086C"/>
    <w:rsid w:val="19A5109C"/>
    <w:rsid w:val="19A54BF8"/>
    <w:rsid w:val="19A76508"/>
    <w:rsid w:val="19A76BC3"/>
    <w:rsid w:val="19A822A4"/>
    <w:rsid w:val="19A846E9"/>
    <w:rsid w:val="19A867CC"/>
    <w:rsid w:val="19A8687F"/>
    <w:rsid w:val="19AB0CF0"/>
    <w:rsid w:val="19AB3A8D"/>
    <w:rsid w:val="19AC5F87"/>
    <w:rsid w:val="19AF1F1B"/>
    <w:rsid w:val="19AF5F9D"/>
    <w:rsid w:val="19AF6752"/>
    <w:rsid w:val="19B012E6"/>
    <w:rsid w:val="19B117EF"/>
    <w:rsid w:val="19B1359D"/>
    <w:rsid w:val="19B17A41"/>
    <w:rsid w:val="19B27315"/>
    <w:rsid w:val="19B41272"/>
    <w:rsid w:val="19B412DF"/>
    <w:rsid w:val="19B45968"/>
    <w:rsid w:val="19B60BB4"/>
    <w:rsid w:val="19B65058"/>
    <w:rsid w:val="19B66E9A"/>
    <w:rsid w:val="19B7207B"/>
    <w:rsid w:val="19B72B7E"/>
    <w:rsid w:val="19B7492C"/>
    <w:rsid w:val="19B807B4"/>
    <w:rsid w:val="19B80DD0"/>
    <w:rsid w:val="19B83258"/>
    <w:rsid w:val="19B906A4"/>
    <w:rsid w:val="19B968F6"/>
    <w:rsid w:val="19BA177B"/>
    <w:rsid w:val="19BB3F5D"/>
    <w:rsid w:val="19BB41EB"/>
    <w:rsid w:val="19BB441C"/>
    <w:rsid w:val="19BC1FCD"/>
    <w:rsid w:val="19BD0D56"/>
    <w:rsid w:val="19BD2548"/>
    <w:rsid w:val="19BD31DA"/>
    <w:rsid w:val="19BD7252"/>
    <w:rsid w:val="19BE5D1C"/>
    <w:rsid w:val="19BE7FB1"/>
    <w:rsid w:val="19C05ED6"/>
    <w:rsid w:val="19C07C84"/>
    <w:rsid w:val="19C21FF7"/>
    <w:rsid w:val="19C239FC"/>
    <w:rsid w:val="19C36058"/>
    <w:rsid w:val="19C366C3"/>
    <w:rsid w:val="19C417BB"/>
    <w:rsid w:val="19C534ED"/>
    <w:rsid w:val="19C5529B"/>
    <w:rsid w:val="19C57049"/>
    <w:rsid w:val="19C60FFB"/>
    <w:rsid w:val="19C62BCB"/>
    <w:rsid w:val="19C63549"/>
    <w:rsid w:val="19C72899"/>
    <w:rsid w:val="19C72DC1"/>
    <w:rsid w:val="19C84D8B"/>
    <w:rsid w:val="19CA0B03"/>
    <w:rsid w:val="19CA28B1"/>
    <w:rsid w:val="19CA3193"/>
    <w:rsid w:val="19CA465F"/>
    <w:rsid w:val="19CC487B"/>
    <w:rsid w:val="19CC6629"/>
    <w:rsid w:val="19CD2DCB"/>
    <w:rsid w:val="19CD34D9"/>
    <w:rsid w:val="19CD414F"/>
    <w:rsid w:val="19CD45E1"/>
    <w:rsid w:val="19CE05F3"/>
    <w:rsid w:val="19CE111B"/>
    <w:rsid w:val="19CE1487"/>
    <w:rsid w:val="19CE6C41"/>
    <w:rsid w:val="19CF2D83"/>
    <w:rsid w:val="19CF7EC7"/>
    <w:rsid w:val="19D1065C"/>
    <w:rsid w:val="19D13C3F"/>
    <w:rsid w:val="19D1712E"/>
    <w:rsid w:val="19D27929"/>
    <w:rsid w:val="19D35C0A"/>
    <w:rsid w:val="19D379B8"/>
    <w:rsid w:val="19D43730"/>
    <w:rsid w:val="19D61256"/>
    <w:rsid w:val="19D73071"/>
    <w:rsid w:val="19D8421D"/>
    <w:rsid w:val="19D90D46"/>
    <w:rsid w:val="19D96F98"/>
    <w:rsid w:val="19DB061A"/>
    <w:rsid w:val="19DB367A"/>
    <w:rsid w:val="19DD0836"/>
    <w:rsid w:val="19DF35BA"/>
    <w:rsid w:val="19DF5008"/>
    <w:rsid w:val="19E03E83"/>
    <w:rsid w:val="19E10151"/>
    <w:rsid w:val="19E219A9"/>
    <w:rsid w:val="19E27BFB"/>
    <w:rsid w:val="19E373D0"/>
    <w:rsid w:val="19E67CB1"/>
    <w:rsid w:val="19E72882"/>
    <w:rsid w:val="19E73463"/>
    <w:rsid w:val="19E74B26"/>
    <w:rsid w:val="19E75211"/>
    <w:rsid w:val="19E7558B"/>
    <w:rsid w:val="19E80F89"/>
    <w:rsid w:val="19E873D4"/>
    <w:rsid w:val="19EA4D01"/>
    <w:rsid w:val="19EA6CD0"/>
    <w:rsid w:val="19EB0503"/>
    <w:rsid w:val="19EB0EF4"/>
    <w:rsid w:val="19EC0249"/>
    <w:rsid w:val="19EC0A79"/>
    <w:rsid w:val="19EC6CCB"/>
    <w:rsid w:val="19ED659F"/>
    <w:rsid w:val="19EE5FDA"/>
    <w:rsid w:val="19EF1A1D"/>
    <w:rsid w:val="19EF40C6"/>
    <w:rsid w:val="19F10699"/>
    <w:rsid w:val="19F1171D"/>
    <w:rsid w:val="19F12404"/>
    <w:rsid w:val="19F13E9B"/>
    <w:rsid w:val="19F16090"/>
    <w:rsid w:val="19F416DC"/>
    <w:rsid w:val="19F41833"/>
    <w:rsid w:val="19F42FD0"/>
    <w:rsid w:val="19F53DD2"/>
    <w:rsid w:val="19F60EE6"/>
    <w:rsid w:val="19F618F8"/>
    <w:rsid w:val="19F636A6"/>
    <w:rsid w:val="19F65454"/>
    <w:rsid w:val="19F677A5"/>
    <w:rsid w:val="19F81A90"/>
    <w:rsid w:val="19FA5EB6"/>
    <w:rsid w:val="19FA6B34"/>
    <w:rsid w:val="19FB69EE"/>
    <w:rsid w:val="19FB6F0E"/>
    <w:rsid w:val="19FD25EA"/>
    <w:rsid w:val="19FE07AD"/>
    <w:rsid w:val="19FE0B08"/>
    <w:rsid w:val="19FE1A69"/>
    <w:rsid w:val="19FE1BFF"/>
    <w:rsid w:val="19FE255B"/>
    <w:rsid w:val="19FE7926"/>
    <w:rsid w:val="19FF69FF"/>
    <w:rsid w:val="1A037B71"/>
    <w:rsid w:val="1A0538E9"/>
    <w:rsid w:val="1A06729A"/>
    <w:rsid w:val="1A073B05"/>
    <w:rsid w:val="1A082EDA"/>
    <w:rsid w:val="1A0916EC"/>
    <w:rsid w:val="1A0933D9"/>
    <w:rsid w:val="1A09400F"/>
    <w:rsid w:val="1A094882"/>
    <w:rsid w:val="1A096DC4"/>
    <w:rsid w:val="1A0A093F"/>
    <w:rsid w:val="1A0A0EFF"/>
    <w:rsid w:val="1A0D1AEE"/>
    <w:rsid w:val="1A0E3358"/>
    <w:rsid w:val="1A0E6AEB"/>
    <w:rsid w:val="1A0F433F"/>
    <w:rsid w:val="1A0F4768"/>
    <w:rsid w:val="1A0F6516"/>
    <w:rsid w:val="1A102296"/>
    <w:rsid w:val="1A102EB7"/>
    <w:rsid w:val="1A11228E"/>
    <w:rsid w:val="1A122630"/>
    <w:rsid w:val="1A135B85"/>
    <w:rsid w:val="1A141D7E"/>
    <w:rsid w:val="1A152D2E"/>
    <w:rsid w:val="1A152E94"/>
    <w:rsid w:val="1A1678A4"/>
    <w:rsid w:val="1A176155"/>
    <w:rsid w:val="1A18186E"/>
    <w:rsid w:val="1A18361C"/>
    <w:rsid w:val="1A1917B3"/>
    <w:rsid w:val="1A1957DA"/>
    <w:rsid w:val="1A196694"/>
    <w:rsid w:val="1A1A55E6"/>
    <w:rsid w:val="1A1B0E48"/>
    <w:rsid w:val="1A1B6FF0"/>
    <w:rsid w:val="1A1E49AB"/>
    <w:rsid w:val="1A1E7EFB"/>
    <w:rsid w:val="1A204BC7"/>
    <w:rsid w:val="1A2063CC"/>
    <w:rsid w:val="1A2069E9"/>
    <w:rsid w:val="1A2226ED"/>
    <w:rsid w:val="1A226249"/>
    <w:rsid w:val="1A240D2C"/>
    <w:rsid w:val="1A241393"/>
    <w:rsid w:val="1A246465"/>
    <w:rsid w:val="1A2470E5"/>
    <w:rsid w:val="1A252036"/>
    <w:rsid w:val="1A252CB2"/>
    <w:rsid w:val="1A2553F4"/>
    <w:rsid w:val="1A25729D"/>
    <w:rsid w:val="1A266B0D"/>
    <w:rsid w:val="1A271AB1"/>
    <w:rsid w:val="1A275E1A"/>
    <w:rsid w:val="1A277D03"/>
    <w:rsid w:val="1A2811A4"/>
    <w:rsid w:val="1A28414D"/>
    <w:rsid w:val="1A2926C4"/>
    <w:rsid w:val="1A293A7B"/>
    <w:rsid w:val="1A295829"/>
    <w:rsid w:val="1A2975D8"/>
    <w:rsid w:val="1A2B5589"/>
    <w:rsid w:val="1A2C0FB5"/>
    <w:rsid w:val="1A2C531A"/>
    <w:rsid w:val="1A2D490A"/>
    <w:rsid w:val="1A2D7A44"/>
    <w:rsid w:val="1A2E2E40"/>
    <w:rsid w:val="1A300161"/>
    <w:rsid w:val="1A313033"/>
    <w:rsid w:val="1A313997"/>
    <w:rsid w:val="1A323D3E"/>
    <w:rsid w:val="1A3441CE"/>
    <w:rsid w:val="1A345F7C"/>
    <w:rsid w:val="1A352420"/>
    <w:rsid w:val="1A361CF4"/>
    <w:rsid w:val="1A366198"/>
    <w:rsid w:val="1A3760C8"/>
    <w:rsid w:val="1A377809"/>
    <w:rsid w:val="1A39185D"/>
    <w:rsid w:val="1A393593"/>
    <w:rsid w:val="1A3A0E9F"/>
    <w:rsid w:val="1A3A618A"/>
    <w:rsid w:val="1A3A7A37"/>
    <w:rsid w:val="1A3B7F48"/>
    <w:rsid w:val="1A3C637F"/>
    <w:rsid w:val="1A3D7527"/>
    <w:rsid w:val="1A3F329F"/>
    <w:rsid w:val="1A3F6DFB"/>
    <w:rsid w:val="1A402B73"/>
    <w:rsid w:val="1A404921"/>
    <w:rsid w:val="1A416EBE"/>
    <w:rsid w:val="1A4406CD"/>
    <w:rsid w:val="1A442663"/>
    <w:rsid w:val="1A444411"/>
    <w:rsid w:val="1A450189"/>
    <w:rsid w:val="1A472154"/>
    <w:rsid w:val="1A482DFE"/>
    <w:rsid w:val="1A48394A"/>
    <w:rsid w:val="1A49204C"/>
    <w:rsid w:val="1A4A5842"/>
    <w:rsid w:val="1A4B1C44"/>
    <w:rsid w:val="1A4B59CE"/>
    <w:rsid w:val="1A4C32C6"/>
    <w:rsid w:val="1A4C68B1"/>
    <w:rsid w:val="1A4C776A"/>
    <w:rsid w:val="1A4D7795"/>
    <w:rsid w:val="1A4D79EA"/>
    <w:rsid w:val="1A4E1AB7"/>
    <w:rsid w:val="1A4E34E2"/>
    <w:rsid w:val="1A4E37B0"/>
    <w:rsid w:val="1A4E5290"/>
    <w:rsid w:val="1A4E703E"/>
    <w:rsid w:val="1A4F538E"/>
    <w:rsid w:val="1A511840"/>
    <w:rsid w:val="1A512967"/>
    <w:rsid w:val="1A5227B6"/>
    <w:rsid w:val="1A522CD0"/>
    <w:rsid w:val="1A5328A6"/>
    <w:rsid w:val="1A534499"/>
    <w:rsid w:val="1A536020"/>
    <w:rsid w:val="1A55661F"/>
    <w:rsid w:val="1A5605E9"/>
    <w:rsid w:val="1A561796"/>
    <w:rsid w:val="1A562000"/>
    <w:rsid w:val="1A564A3A"/>
    <w:rsid w:val="1A572B81"/>
    <w:rsid w:val="1A5856F7"/>
    <w:rsid w:val="1A586B67"/>
    <w:rsid w:val="1A587EBD"/>
    <w:rsid w:val="1A5B175B"/>
    <w:rsid w:val="1A5B3D8C"/>
    <w:rsid w:val="1A5B65AF"/>
    <w:rsid w:val="1A5C7701"/>
    <w:rsid w:val="1A5D1977"/>
    <w:rsid w:val="1A5D3725"/>
    <w:rsid w:val="1A5E5887"/>
    <w:rsid w:val="1A5F061A"/>
    <w:rsid w:val="1A5F0EA6"/>
    <w:rsid w:val="1A5F2FF9"/>
    <w:rsid w:val="1A606D71"/>
    <w:rsid w:val="1A615D75"/>
    <w:rsid w:val="1A622137"/>
    <w:rsid w:val="1A622AE9"/>
    <w:rsid w:val="1A632C63"/>
    <w:rsid w:val="1A644AB4"/>
    <w:rsid w:val="1A64664A"/>
    <w:rsid w:val="1A654388"/>
    <w:rsid w:val="1A66082C"/>
    <w:rsid w:val="1A6702DA"/>
    <w:rsid w:val="1A6920CA"/>
    <w:rsid w:val="1A692746"/>
    <w:rsid w:val="1A69558A"/>
    <w:rsid w:val="1A697A4B"/>
    <w:rsid w:val="1A6C1BBA"/>
    <w:rsid w:val="1A6D736B"/>
    <w:rsid w:val="1A6E148E"/>
    <w:rsid w:val="1A6E5932"/>
    <w:rsid w:val="1A6F3939"/>
    <w:rsid w:val="1A6F528E"/>
    <w:rsid w:val="1A700D7D"/>
    <w:rsid w:val="1A70129E"/>
    <w:rsid w:val="1A7016AA"/>
    <w:rsid w:val="1A704183"/>
    <w:rsid w:val="1A70503C"/>
    <w:rsid w:val="1A705206"/>
    <w:rsid w:val="1A705757"/>
    <w:rsid w:val="1A710F7F"/>
    <w:rsid w:val="1A721C0D"/>
    <w:rsid w:val="1A725422"/>
    <w:rsid w:val="1A72564F"/>
    <w:rsid w:val="1A736AA5"/>
    <w:rsid w:val="1A742B0A"/>
    <w:rsid w:val="1A742D3C"/>
    <w:rsid w:val="1A750A6F"/>
    <w:rsid w:val="1A754EF4"/>
    <w:rsid w:val="1A772A39"/>
    <w:rsid w:val="1A77355B"/>
    <w:rsid w:val="1A78055F"/>
    <w:rsid w:val="1A7840BB"/>
    <w:rsid w:val="1A7871D0"/>
    <w:rsid w:val="1A7A0A4C"/>
    <w:rsid w:val="1A7A361D"/>
    <w:rsid w:val="1A7B1DFD"/>
    <w:rsid w:val="1A7B5A61"/>
    <w:rsid w:val="1A7C2E51"/>
    <w:rsid w:val="1A7D3400"/>
    <w:rsid w:val="1A7E157C"/>
    <w:rsid w:val="1A7E1F9E"/>
    <w:rsid w:val="1A7E45B1"/>
    <w:rsid w:val="1A7F18ED"/>
    <w:rsid w:val="1A7F26F8"/>
    <w:rsid w:val="1A7F4978"/>
    <w:rsid w:val="1A7F5449"/>
    <w:rsid w:val="1A807414"/>
    <w:rsid w:val="1A82066E"/>
    <w:rsid w:val="1A83323F"/>
    <w:rsid w:val="1A840538"/>
    <w:rsid w:val="1A840CB2"/>
    <w:rsid w:val="1A8446CF"/>
    <w:rsid w:val="1A844F17"/>
    <w:rsid w:val="1A846F04"/>
    <w:rsid w:val="1A8526D3"/>
    <w:rsid w:val="1A861BC0"/>
    <w:rsid w:val="1A862C7C"/>
    <w:rsid w:val="1A864A2A"/>
    <w:rsid w:val="1A89451A"/>
    <w:rsid w:val="1A8955B8"/>
    <w:rsid w:val="1A8962C8"/>
    <w:rsid w:val="1A897DC1"/>
    <w:rsid w:val="1A8B0292"/>
    <w:rsid w:val="1A8B64E4"/>
    <w:rsid w:val="1A8C0E12"/>
    <w:rsid w:val="1A8C3F1F"/>
    <w:rsid w:val="1A8C5DB8"/>
    <w:rsid w:val="1A8C7B66"/>
    <w:rsid w:val="1A8D5527"/>
    <w:rsid w:val="1A8E7D82"/>
    <w:rsid w:val="1A8F1969"/>
    <w:rsid w:val="1A8F1FB0"/>
    <w:rsid w:val="1A905E0F"/>
    <w:rsid w:val="1A912570"/>
    <w:rsid w:val="1A91517D"/>
    <w:rsid w:val="1A915468"/>
    <w:rsid w:val="1A930EF5"/>
    <w:rsid w:val="1A932D0E"/>
    <w:rsid w:val="1A947260"/>
    <w:rsid w:val="1A950225"/>
    <w:rsid w:val="1A951111"/>
    <w:rsid w:val="1A9549D0"/>
    <w:rsid w:val="1A954C6D"/>
    <w:rsid w:val="1A9609E5"/>
    <w:rsid w:val="1A96278C"/>
    <w:rsid w:val="1A971989"/>
    <w:rsid w:val="1A9832CF"/>
    <w:rsid w:val="1A98475D"/>
    <w:rsid w:val="1A9A2283"/>
    <w:rsid w:val="1A9A6727"/>
    <w:rsid w:val="1A9C1EA4"/>
    <w:rsid w:val="1A9C249F"/>
    <w:rsid w:val="1A9C424D"/>
    <w:rsid w:val="1A9E73D9"/>
    <w:rsid w:val="1A9F433E"/>
    <w:rsid w:val="1A9F789A"/>
    <w:rsid w:val="1AA03F6C"/>
    <w:rsid w:val="1AA04930"/>
    <w:rsid w:val="1AA11864"/>
    <w:rsid w:val="1AA17AB6"/>
    <w:rsid w:val="1AA2382E"/>
    <w:rsid w:val="1AA329F9"/>
    <w:rsid w:val="1AA41354"/>
    <w:rsid w:val="1AA46171"/>
    <w:rsid w:val="1AA475A6"/>
    <w:rsid w:val="1AA66D1C"/>
    <w:rsid w:val="1AA66E7A"/>
    <w:rsid w:val="1AA82AC5"/>
    <w:rsid w:val="1AA9696A"/>
    <w:rsid w:val="1AAA2465"/>
    <w:rsid w:val="1AAB4490"/>
    <w:rsid w:val="1AAB4BCA"/>
    <w:rsid w:val="1AAB623F"/>
    <w:rsid w:val="1AAC0209"/>
    <w:rsid w:val="1AAC1FB7"/>
    <w:rsid w:val="1AAC4DC1"/>
    <w:rsid w:val="1AAC65AB"/>
    <w:rsid w:val="1AAF0A6E"/>
    <w:rsid w:val="1AB0025A"/>
    <w:rsid w:val="1AB01AA7"/>
    <w:rsid w:val="1AB07CF9"/>
    <w:rsid w:val="1AB23A71"/>
    <w:rsid w:val="1AB31597"/>
    <w:rsid w:val="1AB63364"/>
    <w:rsid w:val="1AB644F0"/>
    <w:rsid w:val="1AB75BA5"/>
    <w:rsid w:val="1AB7629C"/>
    <w:rsid w:val="1AB772D9"/>
    <w:rsid w:val="1AB817F2"/>
    <w:rsid w:val="1AB84A8D"/>
    <w:rsid w:val="1AB84DFF"/>
    <w:rsid w:val="1AB86BAD"/>
    <w:rsid w:val="1AB958E3"/>
    <w:rsid w:val="1ABA160A"/>
    <w:rsid w:val="1ABA2925"/>
    <w:rsid w:val="1ABA3364"/>
    <w:rsid w:val="1ABA359C"/>
    <w:rsid w:val="1ABA46D4"/>
    <w:rsid w:val="1ABC0E34"/>
    <w:rsid w:val="1ABC6868"/>
    <w:rsid w:val="1ABD2416"/>
    <w:rsid w:val="1ABD41C4"/>
    <w:rsid w:val="1ABD4724"/>
    <w:rsid w:val="1ABD4860"/>
    <w:rsid w:val="1ABD6CF4"/>
    <w:rsid w:val="1ABF51C7"/>
    <w:rsid w:val="1ABF618E"/>
    <w:rsid w:val="1AC055CF"/>
    <w:rsid w:val="1AC11F06"/>
    <w:rsid w:val="1AC1475F"/>
    <w:rsid w:val="1AC15A62"/>
    <w:rsid w:val="1AC22ED4"/>
    <w:rsid w:val="1AC27242"/>
    <w:rsid w:val="1AC27A2C"/>
    <w:rsid w:val="1AC415CD"/>
    <w:rsid w:val="1AC43DFA"/>
    <w:rsid w:val="1AC44728"/>
    <w:rsid w:val="1AC517B9"/>
    <w:rsid w:val="1AC63078"/>
    <w:rsid w:val="1AC6384D"/>
    <w:rsid w:val="1AC6751C"/>
    <w:rsid w:val="1AC67AF6"/>
    <w:rsid w:val="1AC71042"/>
    <w:rsid w:val="1AC75E8C"/>
    <w:rsid w:val="1AC81973"/>
    <w:rsid w:val="1AC83294"/>
    <w:rsid w:val="1AC86BCA"/>
    <w:rsid w:val="1AC92B69"/>
    <w:rsid w:val="1ACB7F93"/>
    <w:rsid w:val="1ACC4EA4"/>
    <w:rsid w:val="1ACD2659"/>
    <w:rsid w:val="1ACE4623"/>
    <w:rsid w:val="1ACF03B6"/>
    <w:rsid w:val="1ACF1F63"/>
    <w:rsid w:val="1AD11A1D"/>
    <w:rsid w:val="1AD21275"/>
    <w:rsid w:val="1AD244C0"/>
    <w:rsid w:val="1AD25C0C"/>
    <w:rsid w:val="1AD31C39"/>
    <w:rsid w:val="1AD67034"/>
    <w:rsid w:val="1AD734D7"/>
    <w:rsid w:val="1AD8031F"/>
    <w:rsid w:val="1AD86E83"/>
    <w:rsid w:val="1AD87EF5"/>
    <w:rsid w:val="1AD96DDF"/>
    <w:rsid w:val="1ADA4D76"/>
    <w:rsid w:val="1ADA6B24"/>
    <w:rsid w:val="1ADB10C1"/>
    <w:rsid w:val="1ADC4B9E"/>
    <w:rsid w:val="1ADC6D40"/>
    <w:rsid w:val="1ADD0464"/>
    <w:rsid w:val="1ADD6614"/>
    <w:rsid w:val="1ADE4866"/>
    <w:rsid w:val="1ADE5342"/>
    <w:rsid w:val="1ADF238C"/>
    <w:rsid w:val="1ADF413A"/>
    <w:rsid w:val="1AE07BFA"/>
    <w:rsid w:val="1AE1108A"/>
    <w:rsid w:val="1AE16104"/>
    <w:rsid w:val="1AE23C2A"/>
    <w:rsid w:val="1AE259D8"/>
    <w:rsid w:val="1AE31E7C"/>
    <w:rsid w:val="1AE31FB1"/>
    <w:rsid w:val="1AE343DA"/>
    <w:rsid w:val="1AE60328"/>
    <w:rsid w:val="1AE649FA"/>
    <w:rsid w:val="1AE709B1"/>
    <w:rsid w:val="1AE8166C"/>
    <w:rsid w:val="1AE856E5"/>
    <w:rsid w:val="1AE9220B"/>
    <w:rsid w:val="1AE9320B"/>
    <w:rsid w:val="1AE937B0"/>
    <w:rsid w:val="1AE96D67"/>
    <w:rsid w:val="1AEA2A58"/>
    <w:rsid w:val="1AEB1B73"/>
    <w:rsid w:val="1AEB1D63"/>
    <w:rsid w:val="1AEB2ADF"/>
    <w:rsid w:val="1AEB6F83"/>
    <w:rsid w:val="1AEC2F60"/>
    <w:rsid w:val="1AED2CFB"/>
    <w:rsid w:val="1AED657B"/>
    <w:rsid w:val="1AED66AD"/>
    <w:rsid w:val="1AEE0821"/>
    <w:rsid w:val="1AEE111D"/>
    <w:rsid w:val="1AEE25CF"/>
    <w:rsid w:val="1AEE3A0B"/>
    <w:rsid w:val="1AEE4A81"/>
    <w:rsid w:val="1AEF6A73"/>
    <w:rsid w:val="1AF04185"/>
    <w:rsid w:val="1AF04599"/>
    <w:rsid w:val="1AF11DCA"/>
    <w:rsid w:val="1AF128F9"/>
    <w:rsid w:val="1AF220BF"/>
    <w:rsid w:val="1AF243D5"/>
    <w:rsid w:val="1AF35A11"/>
    <w:rsid w:val="1AF42245"/>
    <w:rsid w:val="1AF44089"/>
    <w:rsid w:val="1AF54BED"/>
    <w:rsid w:val="1AF57E02"/>
    <w:rsid w:val="1AF775C2"/>
    <w:rsid w:val="1AF8344E"/>
    <w:rsid w:val="1AF907A1"/>
    <w:rsid w:val="1AF916A0"/>
    <w:rsid w:val="1AFA0F74"/>
    <w:rsid w:val="1AFA37CB"/>
    <w:rsid w:val="1AFC2F3E"/>
    <w:rsid w:val="1AFE6CB6"/>
    <w:rsid w:val="1AFE7D01"/>
    <w:rsid w:val="1AFF1FBE"/>
    <w:rsid w:val="1AFF2A2E"/>
    <w:rsid w:val="1AFF47DC"/>
    <w:rsid w:val="1B0011DE"/>
    <w:rsid w:val="1B012302"/>
    <w:rsid w:val="1B027F11"/>
    <w:rsid w:val="1B034424"/>
    <w:rsid w:val="1B040045"/>
    <w:rsid w:val="1B056B32"/>
    <w:rsid w:val="1B065B6B"/>
    <w:rsid w:val="1B067919"/>
    <w:rsid w:val="1B070D6D"/>
    <w:rsid w:val="1B072DA5"/>
    <w:rsid w:val="1B080547"/>
    <w:rsid w:val="1B087B35"/>
    <w:rsid w:val="1B09565B"/>
    <w:rsid w:val="1B097409"/>
    <w:rsid w:val="1B0A0E01"/>
    <w:rsid w:val="1B0B13D3"/>
    <w:rsid w:val="1B0C5787"/>
    <w:rsid w:val="1B0C76C4"/>
    <w:rsid w:val="1B0C78EB"/>
    <w:rsid w:val="1B0D17E8"/>
    <w:rsid w:val="1B0D514B"/>
    <w:rsid w:val="1B0D6EF9"/>
    <w:rsid w:val="1B0E1D56"/>
    <w:rsid w:val="1B0E2C71"/>
    <w:rsid w:val="1B0E4A1F"/>
    <w:rsid w:val="1B0F3B71"/>
    <w:rsid w:val="1B100797"/>
    <w:rsid w:val="1B102545"/>
    <w:rsid w:val="1B1069E9"/>
    <w:rsid w:val="1B1262BE"/>
    <w:rsid w:val="1B130845"/>
    <w:rsid w:val="1B132036"/>
    <w:rsid w:val="1B140288"/>
    <w:rsid w:val="1B14193F"/>
    <w:rsid w:val="1B1437C1"/>
    <w:rsid w:val="1B16799C"/>
    <w:rsid w:val="1B174F9D"/>
    <w:rsid w:val="1B177D78"/>
    <w:rsid w:val="1B187D89"/>
    <w:rsid w:val="1B191E86"/>
    <w:rsid w:val="1B195AED"/>
    <w:rsid w:val="1B197D8B"/>
    <w:rsid w:val="1B1A295C"/>
    <w:rsid w:val="1B1A33C4"/>
    <w:rsid w:val="1B1C538E"/>
    <w:rsid w:val="1B1C72B0"/>
    <w:rsid w:val="1B1D4C62"/>
    <w:rsid w:val="1B1D634E"/>
    <w:rsid w:val="1B1E1106"/>
    <w:rsid w:val="1B1F4E7E"/>
    <w:rsid w:val="1B214753"/>
    <w:rsid w:val="1B216501"/>
    <w:rsid w:val="1B21651D"/>
    <w:rsid w:val="1B223077"/>
    <w:rsid w:val="1B230D7B"/>
    <w:rsid w:val="1B235571"/>
    <w:rsid w:val="1B244243"/>
    <w:rsid w:val="1B244E9E"/>
    <w:rsid w:val="1B25083B"/>
    <w:rsid w:val="1B2613A8"/>
    <w:rsid w:val="1B26156C"/>
    <w:rsid w:val="1B285AE1"/>
    <w:rsid w:val="1B28788F"/>
    <w:rsid w:val="1B291859"/>
    <w:rsid w:val="1B293607"/>
    <w:rsid w:val="1B293816"/>
    <w:rsid w:val="1B2A66FE"/>
    <w:rsid w:val="1B2A7AAB"/>
    <w:rsid w:val="1B2B3823"/>
    <w:rsid w:val="1B2B7CFB"/>
    <w:rsid w:val="1B2C79B8"/>
    <w:rsid w:val="1B2D1349"/>
    <w:rsid w:val="1B2D20A4"/>
    <w:rsid w:val="1B2D30F7"/>
    <w:rsid w:val="1B2F1FB1"/>
    <w:rsid w:val="1B300E3A"/>
    <w:rsid w:val="1B30132A"/>
    <w:rsid w:val="1B31271E"/>
    <w:rsid w:val="1B316012"/>
    <w:rsid w:val="1B317922"/>
    <w:rsid w:val="1B32070E"/>
    <w:rsid w:val="1B335045"/>
    <w:rsid w:val="1B343090"/>
    <w:rsid w:val="1B344993"/>
    <w:rsid w:val="1B3501FE"/>
    <w:rsid w:val="1B351FAC"/>
    <w:rsid w:val="1B356450"/>
    <w:rsid w:val="1B3609F4"/>
    <w:rsid w:val="1B375D24"/>
    <w:rsid w:val="1B383A35"/>
    <w:rsid w:val="1B3846F0"/>
    <w:rsid w:val="1B39262C"/>
    <w:rsid w:val="1B397C3B"/>
    <w:rsid w:val="1B3A5814"/>
    <w:rsid w:val="1B3B291C"/>
    <w:rsid w:val="1B3B2C45"/>
    <w:rsid w:val="1B3B4866"/>
    <w:rsid w:val="1B3C284E"/>
    <w:rsid w:val="1B3C4A90"/>
    <w:rsid w:val="1B3C5CF6"/>
    <w:rsid w:val="1B3E70B3"/>
    <w:rsid w:val="1B3F3D39"/>
    <w:rsid w:val="1B415B07"/>
    <w:rsid w:val="1B416F97"/>
    <w:rsid w:val="1B422E5C"/>
    <w:rsid w:val="1B423DEB"/>
    <w:rsid w:val="1B434B57"/>
    <w:rsid w:val="1B446693"/>
    <w:rsid w:val="1B4548E5"/>
    <w:rsid w:val="1B46240B"/>
    <w:rsid w:val="1B464787"/>
    <w:rsid w:val="1B466DA8"/>
    <w:rsid w:val="1B467DB8"/>
    <w:rsid w:val="1B48552F"/>
    <w:rsid w:val="1B485BA7"/>
    <w:rsid w:val="1B495729"/>
    <w:rsid w:val="1B4A1EFB"/>
    <w:rsid w:val="1B4A6BB9"/>
    <w:rsid w:val="1B4B797A"/>
    <w:rsid w:val="1B4C6011"/>
    <w:rsid w:val="1B4D379A"/>
    <w:rsid w:val="1B4D4110"/>
    <w:rsid w:val="1B4D5548"/>
    <w:rsid w:val="1B4D5D6A"/>
    <w:rsid w:val="1B4D72F6"/>
    <w:rsid w:val="1B4E674A"/>
    <w:rsid w:val="1B4F12C0"/>
    <w:rsid w:val="1B5002CC"/>
    <w:rsid w:val="1B5077BA"/>
    <w:rsid w:val="1B522929"/>
    <w:rsid w:val="1B527F1C"/>
    <w:rsid w:val="1B533DB3"/>
    <w:rsid w:val="1B545B26"/>
    <w:rsid w:val="1B5477AC"/>
    <w:rsid w:val="1B5508A0"/>
    <w:rsid w:val="1B55264E"/>
    <w:rsid w:val="1B5543FC"/>
    <w:rsid w:val="1B5612AE"/>
    <w:rsid w:val="1B561AC5"/>
    <w:rsid w:val="1B5865B3"/>
    <w:rsid w:val="1B59213E"/>
    <w:rsid w:val="1B5B127F"/>
    <w:rsid w:val="1B5B5A5C"/>
    <w:rsid w:val="1B5B7B3E"/>
    <w:rsid w:val="1B5C096F"/>
    <w:rsid w:val="1B5C39DD"/>
    <w:rsid w:val="1B5E59A7"/>
    <w:rsid w:val="1B5E7754"/>
    <w:rsid w:val="1B5F527B"/>
    <w:rsid w:val="1B600AE0"/>
    <w:rsid w:val="1B60171F"/>
    <w:rsid w:val="1B602520"/>
    <w:rsid w:val="1B611B7A"/>
    <w:rsid w:val="1B612DA1"/>
    <w:rsid w:val="1B634C1A"/>
    <w:rsid w:val="1B650AE3"/>
    <w:rsid w:val="1B650AF3"/>
    <w:rsid w:val="1B651D72"/>
    <w:rsid w:val="1B65521C"/>
    <w:rsid w:val="1B662AAD"/>
    <w:rsid w:val="1B665A66"/>
    <w:rsid w:val="1B665D46"/>
    <w:rsid w:val="1B672442"/>
    <w:rsid w:val="1B6955D7"/>
    <w:rsid w:val="1B697EA8"/>
    <w:rsid w:val="1B6A43FF"/>
    <w:rsid w:val="1B6B1E72"/>
    <w:rsid w:val="1B6D5BEA"/>
    <w:rsid w:val="1B6D7998"/>
    <w:rsid w:val="1B6E6DDD"/>
    <w:rsid w:val="1B6F1962"/>
    <w:rsid w:val="1B6F3710"/>
    <w:rsid w:val="1B701236"/>
    <w:rsid w:val="1B724FAE"/>
    <w:rsid w:val="1B730995"/>
    <w:rsid w:val="1B740D26"/>
    <w:rsid w:val="1B746F78"/>
    <w:rsid w:val="1B753723"/>
    <w:rsid w:val="1B75684C"/>
    <w:rsid w:val="1B762CF0"/>
    <w:rsid w:val="1B776A68"/>
    <w:rsid w:val="1B776F9B"/>
    <w:rsid w:val="1B784A1C"/>
    <w:rsid w:val="1B78606C"/>
    <w:rsid w:val="1B7900EB"/>
    <w:rsid w:val="1B7927E1"/>
    <w:rsid w:val="1B7A77EC"/>
    <w:rsid w:val="1B7B5BD7"/>
    <w:rsid w:val="1B7B74D4"/>
    <w:rsid w:val="1B7C5E2D"/>
    <w:rsid w:val="1B7C7BDB"/>
    <w:rsid w:val="1B7D32AC"/>
    <w:rsid w:val="1B7D3571"/>
    <w:rsid w:val="1B7F388B"/>
    <w:rsid w:val="1B801268"/>
    <w:rsid w:val="1B801B09"/>
    <w:rsid w:val="1B8054EF"/>
    <w:rsid w:val="1B8076CB"/>
    <w:rsid w:val="1B822873"/>
    <w:rsid w:val="1B826E63"/>
    <w:rsid w:val="1B830F69"/>
    <w:rsid w:val="1B83540D"/>
    <w:rsid w:val="1B854C33"/>
    <w:rsid w:val="1B854CE1"/>
    <w:rsid w:val="1B870C9E"/>
    <w:rsid w:val="1B872A58"/>
    <w:rsid w:val="1B874F74"/>
    <w:rsid w:val="1B8847D2"/>
    <w:rsid w:val="1B89176D"/>
    <w:rsid w:val="1B8A4442"/>
    <w:rsid w:val="1B8A578C"/>
    <w:rsid w:val="1B8A66C7"/>
    <w:rsid w:val="1B8B06FB"/>
    <w:rsid w:val="1B8C2514"/>
    <w:rsid w:val="1B8D003A"/>
    <w:rsid w:val="1B8D1DE8"/>
    <w:rsid w:val="1B8D410D"/>
    <w:rsid w:val="1B8F3DB2"/>
    <w:rsid w:val="1B8F57B8"/>
    <w:rsid w:val="1B8F5B60"/>
    <w:rsid w:val="1B912D51"/>
    <w:rsid w:val="1B915731"/>
    <w:rsid w:val="1B9211AC"/>
    <w:rsid w:val="1B9227DD"/>
    <w:rsid w:val="1B9238A2"/>
    <w:rsid w:val="1B9262CF"/>
    <w:rsid w:val="1B9267F1"/>
    <w:rsid w:val="1B9273FE"/>
    <w:rsid w:val="1B9413C8"/>
    <w:rsid w:val="1B947CCE"/>
    <w:rsid w:val="1B950C9D"/>
    <w:rsid w:val="1B95115E"/>
    <w:rsid w:val="1B965141"/>
    <w:rsid w:val="1B9722F7"/>
    <w:rsid w:val="1B972C67"/>
    <w:rsid w:val="1B99253B"/>
    <w:rsid w:val="1B9951C3"/>
    <w:rsid w:val="1B9969DF"/>
    <w:rsid w:val="1B9B05B3"/>
    <w:rsid w:val="1B9B4505"/>
    <w:rsid w:val="1B9C202B"/>
    <w:rsid w:val="1B9C3EBD"/>
    <w:rsid w:val="1B9C7BA1"/>
    <w:rsid w:val="1B9E3FF5"/>
    <w:rsid w:val="1B9E5DA3"/>
    <w:rsid w:val="1B9F706E"/>
    <w:rsid w:val="1BA13A13"/>
    <w:rsid w:val="1BA20DA5"/>
    <w:rsid w:val="1BA23989"/>
    <w:rsid w:val="1BA23AE5"/>
    <w:rsid w:val="1BA26CAB"/>
    <w:rsid w:val="1BA30C16"/>
    <w:rsid w:val="1BA347C8"/>
    <w:rsid w:val="1BA36333"/>
    <w:rsid w:val="1BA3709D"/>
    <w:rsid w:val="1BA86144"/>
    <w:rsid w:val="1BA87B32"/>
    <w:rsid w:val="1BA97566"/>
    <w:rsid w:val="1BAA299A"/>
    <w:rsid w:val="1BAA4281"/>
    <w:rsid w:val="1BAA4748"/>
    <w:rsid w:val="1BAB04C0"/>
    <w:rsid w:val="1BAB6F18"/>
    <w:rsid w:val="1BAC6712"/>
    <w:rsid w:val="1BAD248A"/>
    <w:rsid w:val="1BAE08BF"/>
    <w:rsid w:val="1BB00B22"/>
    <w:rsid w:val="1BB05AD7"/>
    <w:rsid w:val="1BB11AF5"/>
    <w:rsid w:val="1BB11F7A"/>
    <w:rsid w:val="1BB35E28"/>
    <w:rsid w:val="1BB455C7"/>
    <w:rsid w:val="1BB45F46"/>
    <w:rsid w:val="1BB47375"/>
    <w:rsid w:val="1BB5667C"/>
    <w:rsid w:val="1BB63D80"/>
    <w:rsid w:val="1BB6663F"/>
    <w:rsid w:val="1BB750B7"/>
    <w:rsid w:val="1BB90E2F"/>
    <w:rsid w:val="1BB92BDD"/>
    <w:rsid w:val="1BB94852"/>
    <w:rsid w:val="1BB9498B"/>
    <w:rsid w:val="1BBB0703"/>
    <w:rsid w:val="1BBD091F"/>
    <w:rsid w:val="1BBD66E5"/>
    <w:rsid w:val="1BBE5D89"/>
    <w:rsid w:val="1BC021BE"/>
    <w:rsid w:val="1BC111D7"/>
    <w:rsid w:val="1BC11A92"/>
    <w:rsid w:val="1BC15576"/>
    <w:rsid w:val="1BC25F36"/>
    <w:rsid w:val="1BC31CAE"/>
    <w:rsid w:val="1BC3580A"/>
    <w:rsid w:val="1BC53330"/>
    <w:rsid w:val="1BC54A29"/>
    <w:rsid w:val="1BC577D4"/>
    <w:rsid w:val="1BC7572E"/>
    <w:rsid w:val="1BC81072"/>
    <w:rsid w:val="1BC8528B"/>
    <w:rsid w:val="1BC86542"/>
    <w:rsid w:val="1BC94852"/>
    <w:rsid w:val="1BCA303C"/>
    <w:rsid w:val="1BCA4DEA"/>
    <w:rsid w:val="1BCA6B98"/>
    <w:rsid w:val="1BCB296E"/>
    <w:rsid w:val="1BCB40AF"/>
    <w:rsid w:val="1BCB46BE"/>
    <w:rsid w:val="1BCD0AF8"/>
    <w:rsid w:val="1BCD12C5"/>
    <w:rsid w:val="1BCD3855"/>
    <w:rsid w:val="1BCD48DA"/>
    <w:rsid w:val="1BCD6688"/>
    <w:rsid w:val="1BCF2401"/>
    <w:rsid w:val="1BCF41AF"/>
    <w:rsid w:val="1BCF6550"/>
    <w:rsid w:val="1BD143CB"/>
    <w:rsid w:val="1BD17F21"/>
    <w:rsid w:val="1BD20669"/>
    <w:rsid w:val="1BD23C9F"/>
    <w:rsid w:val="1BD3271C"/>
    <w:rsid w:val="1BD417C5"/>
    <w:rsid w:val="1BD46080"/>
    <w:rsid w:val="1BD60E8A"/>
    <w:rsid w:val="1BD64E0B"/>
    <w:rsid w:val="1BD73063"/>
    <w:rsid w:val="1BD75BDF"/>
    <w:rsid w:val="1BD83AE2"/>
    <w:rsid w:val="1BD87507"/>
    <w:rsid w:val="1BD96DDB"/>
    <w:rsid w:val="1BDA0FD3"/>
    <w:rsid w:val="1BDB37F6"/>
    <w:rsid w:val="1BDB3BA4"/>
    <w:rsid w:val="1BDB4E6F"/>
    <w:rsid w:val="1BDC2202"/>
    <w:rsid w:val="1BDD2D6F"/>
    <w:rsid w:val="1BDD4B1E"/>
    <w:rsid w:val="1BDE0896"/>
    <w:rsid w:val="1BDF58CE"/>
    <w:rsid w:val="1BE04E45"/>
    <w:rsid w:val="1BE063BC"/>
    <w:rsid w:val="1BE13EE2"/>
    <w:rsid w:val="1BE20386"/>
    <w:rsid w:val="1BE26808"/>
    <w:rsid w:val="1BE340FE"/>
    <w:rsid w:val="1BE55780"/>
    <w:rsid w:val="1BE723A2"/>
    <w:rsid w:val="1BE7370A"/>
    <w:rsid w:val="1BE7774A"/>
    <w:rsid w:val="1BE834C2"/>
    <w:rsid w:val="1BE85270"/>
    <w:rsid w:val="1BE96A15"/>
    <w:rsid w:val="1BEA0AC8"/>
    <w:rsid w:val="1BEA0FE8"/>
    <w:rsid w:val="1BEA548C"/>
    <w:rsid w:val="1BEA685E"/>
    <w:rsid w:val="1BEA6CF6"/>
    <w:rsid w:val="1BEA723A"/>
    <w:rsid w:val="1BEB0238"/>
    <w:rsid w:val="1BEC12B2"/>
    <w:rsid w:val="1BEC25C7"/>
    <w:rsid w:val="1BEC6B0F"/>
    <w:rsid w:val="1BED2887"/>
    <w:rsid w:val="1BED7449"/>
    <w:rsid w:val="1BEF3233"/>
    <w:rsid w:val="1BF12377"/>
    <w:rsid w:val="1BF14125"/>
    <w:rsid w:val="1BF15DCA"/>
    <w:rsid w:val="1BF27E9D"/>
    <w:rsid w:val="1BF50F77"/>
    <w:rsid w:val="1BF5546B"/>
    <w:rsid w:val="1BF6315E"/>
    <w:rsid w:val="1BF6798D"/>
    <w:rsid w:val="1BF754B3"/>
    <w:rsid w:val="1BF87D6F"/>
    <w:rsid w:val="1BF9024B"/>
    <w:rsid w:val="1BF91AF2"/>
    <w:rsid w:val="1BF956CF"/>
    <w:rsid w:val="1BF97698"/>
    <w:rsid w:val="1BFA05BD"/>
    <w:rsid w:val="1BFB1448"/>
    <w:rsid w:val="1BFC2ACA"/>
    <w:rsid w:val="1BFD0D1C"/>
    <w:rsid w:val="1BFD6F3E"/>
    <w:rsid w:val="1BFE6842"/>
    <w:rsid w:val="1BFF2731"/>
    <w:rsid w:val="1C015471"/>
    <w:rsid w:val="1C026332"/>
    <w:rsid w:val="1C026A4E"/>
    <w:rsid w:val="1C0276FB"/>
    <w:rsid w:val="1C03166F"/>
    <w:rsid w:val="1C032003"/>
    <w:rsid w:val="1C03671F"/>
    <w:rsid w:val="1C044240"/>
    <w:rsid w:val="1C047473"/>
    <w:rsid w:val="1C057BD0"/>
    <w:rsid w:val="1C065801"/>
    <w:rsid w:val="1C072701"/>
    <w:rsid w:val="1C07361D"/>
    <w:rsid w:val="1C073948"/>
    <w:rsid w:val="1C085913"/>
    <w:rsid w:val="1C0A00B2"/>
    <w:rsid w:val="1C0A168B"/>
    <w:rsid w:val="1C0A3439"/>
    <w:rsid w:val="1C0B7E01"/>
    <w:rsid w:val="1C0C1291"/>
    <w:rsid w:val="1C0C5403"/>
    <w:rsid w:val="1C0C71B1"/>
    <w:rsid w:val="1C0D477B"/>
    <w:rsid w:val="1C0E3F4C"/>
    <w:rsid w:val="1C0E4336"/>
    <w:rsid w:val="1C0E5104"/>
    <w:rsid w:val="1C0F0A4F"/>
    <w:rsid w:val="1C0F165D"/>
    <w:rsid w:val="1C0F6CA1"/>
    <w:rsid w:val="1C0F7C12"/>
    <w:rsid w:val="1C112A19"/>
    <w:rsid w:val="1C1157B4"/>
    <w:rsid w:val="1C1222ED"/>
    <w:rsid w:val="1C125F5C"/>
    <w:rsid w:val="1C1354D4"/>
    <w:rsid w:val="1C1425F4"/>
    <w:rsid w:val="1C146065"/>
    <w:rsid w:val="1C147350"/>
    <w:rsid w:val="1C163B8C"/>
    <w:rsid w:val="1C166EA4"/>
    <w:rsid w:val="1C183DA8"/>
    <w:rsid w:val="1C185858"/>
    <w:rsid w:val="1C185B56"/>
    <w:rsid w:val="1C1904A6"/>
    <w:rsid w:val="1C19367C"/>
    <w:rsid w:val="1C197B20"/>
    <w:rsid w:val="1C1B5646"/>
    <w:rsid w:val="1C1C789B"/>
    <w:rsid w:val="1C1D13BE"/>
    <w:rsid w:val="1C1D2216"/>
    <w:rsid w:val="1C1F0E48"/>
    <w:rsid w:val="1C1F5136"/>
    <w:rsid w:val="1C202C5C"/>
    <w:rsid w:val="1C204A0A"/>
    <w:rsid w:val="1C220782"/>
    <w:rsid w:val="1C224C26"/>
    <w:rsid w:val="1C2312C1"/>
    <w:rsid w:val="1C2362A8"/>
    <w:rsid w:val="1C2644D5"/>
    <w:rsid w:val="1C275E99"/>
    <w:rsid w:val="1C280A24"/>
    <w:rsid w:val="1C281B11"/>
    <w:rsid w:val="1C28295C"/>
    <w:rsid w:val="1C284013"/>
    <w:rsid w:val="1C2A5889"/>
    <w:rsid w:val="1C2A6D83"/>
    <w:rsid w:val="1C2A7FE2"/>
    <w:rsid w:val="1C2B73EB"/>
    <w:rsid w:val="1C2D0B81"/>
    <w:rsid w:val="1C2D2B60"/>
    <w:rsid w:val="1C2D48DC"/>
    <w:rsid w:val="1C2D7127"/>
    <w:rsid w:val="1C2E59F1"/>
    <w:rsid w:val="1C2F06C6"/>
    <w:rsid w:val="1C2F4C4D"/>
    <w:rsid w:val="1C314E69"/>
    <w:rsid w:val="1C316C17"/>
    <w:rsid w:val="1C321C74"/>
    <w:rsid w:val="1C33298F"/>
    <w:rsid w:val="1C334F74"/>
    <w:rsid w:val="1C34700D"/>
    <w:rsid w:val="1C370605"/>
    <w:rsid w:val="1C376994"/>
    <w:rsid w:val="1C381D54"/>
    <w:rsid w:val="1C391B7E"/>
    <w:rsid w:val="1C394EA9"/>
    <w:rsid w:val="1C3A1F70"/>
    <w:rsid w:val="1C3A430F"/>
    <w:rsid w:val="1C3B1844"/>
    <w:rsid w:val="1C3B504B"/>
    <w:rsid w:val="1C3B5D67"/>
    <w:rsid w:val="1C3B7A09"/>
    <w:rsid w:val="1C3C0370"/>
    <w:rsid w:val="1C3D380E"/>
    <w:rsid w:val="1C3D464A"/>
    <w:rsid w:val="1C3E2C90"/>
    <w:rsid w:val="1C3E30E2"/>
    <w:rsid w:val="1C3F10E2"/>
    <w:rsid w:val="1C3F5497"/>
    <w:rsid w:val="1C4126F3"/>
    <w:rsid w:val="1C412D52"/>
    <w:rsid w:val="1C4241E2"/>
    <w:rsid w:val="1C4328FA"/>
    <w:rsid w:val="1C444B9D"/>
    <w:rsid w:val="1C454471"/>
    <w:rsid w:val="1C461E9E"/>
    <w:rsid w:val="1C491B43"/>
    <w:rsid w:val="1C4921B3"/>
    <w:rsid w:val="1C4A1A87"/>
    <w:rsid w:val="1C4A3E04"/>
    <w:rsid w:val="1C4B5CD8"/>
    <w:rsid w:val="1C4C3A51"/>
    <w:rsid w:val="1C4C57FF"/>
    <w:rsid w:val="1C4C5CF9"/>
    <w:rsid w:val="1C4D377B"/>
    <w:rsid w:val="1C4E1577"/>
    <w:rsid w:val="1C4E2785"/>
    <w:rsid w:val="1C4E389F"/>
    <w:rsid w:val="1C5109C5"/>
    <w:rsid w:val="1C512E16"/>
    <w:rsid w:val="1C5172BA"/>
    <w:rsid w:val="1C5237EF"/>
    <w:rsid w:val="1C523CD7"/>
    <w:rsid w:val="1C5241B6"/>
    <w:rsid w:val="1C5347F6"/>
    <w:rsid w:val="1C5446A2"/>
    <w:rsid w:val="1C550B58"/>
    <w:rsid w:val="1C5618DF"/>
    <w:rsid w:val="1C56210D"/>
    <w:rsid w:val="1C56667E"/>
    <w:rsid w:val="1C592F71"/>
    <w:rsid w:val="1C596E32"/>
    <w:rsid w:val="1C5A67D2"/>
    <w:rsid w:val="1C5B1EE6"/>
    <w:rsid w:val="1C5C1D06"/>
    <w:rsid w:val="1C5D7A0C"/>
    <w:rsid w:val="1C5E0187"/>
    <w:rsid w:val="1C5F5476"/>
    <w:rsid w:val="1C6012AB"/>
    <w:rsid w:val="1C606903"/>
    <w:rsid w:val="1C610073"/>
    <w:rsid w:val="1C626DD1"/>
    <w:rsid w:val="1C632B49"/>
    <w:rsid w:val="1C640D9B"/>
    <w:rsid w:val="1C6473B4"/>
    <w:rsid w:val="1C6568C1"/>
    <w:rsid w:val="1C661253"/>
    <w:rsid w:val="1C67088B"/>
    <w:rsid w:val="1C683D33"/>
    <w:rsid w:val="1C685860"/>
    <w:rsid w:val="1C6860FB"/>
    <w:rsid w:val="1C695EAA"/>
    <w:rsid w:val="1C6B037B"/>
    <w:rsid w:val="1C6C5D0E"/>
    <w:rsid w:val="1C6D1AB1"/>
    <w:rsid w:val="1C6E086E"/>
    <w:rsid w:val="1C6E0CB4"/>
    <w:rsid w:val="1C6E1534"/>
    <w:rsid w:val="1C6E3704"/>
    <w:rsid w:val="1C6E4A14"/>
    <w:rsid w:val="1C6F14EE"/>
    <w:rsid w:val="1C6F3C35"/>
    <w:rsid w:val="1C705992"/>
    <w:rsid w:val="1C716FE3"/>
    <w:rsid w:val="1C730FDE"/>
    <w:rsid w:val="1C746345"/>
    <w:rsid w:val="1C751F64"/>
    <w:rsid w:val="1C761991"/>
    <w:rsid w:val="1C76287C"/>
    <w:rsid w:val="1C7731D5"/>
    <w:rsid w:val="1C77618C"/>
    <w:rsid w:val="1C782A98"/>
    <w:rsid w:val="1C7865F4"/>
    <w:rsid w:val="1C792141"/>
    <w:rsid w:val="1C7A05BE"/>
    <w:rsid w:val="1C7A236C"/>
    <w:rsid w:val="1C7A2EE3"/>
    <w:rsid w:val="1C7D5549"/>
    <w:rsid w:val="1C7F3E27"/>
    <w:rsid w:val="1C80194D"/>
    <w:rsid w:val="1C813265"/>
    <w:rsid w:val="1C816AA4"/>
    <w:rsid w:val="1C821221"/>
    <w:rsid w:val="1C856F63"/>
    <w:rsid w:val="1C8651B5"/>
    <w:rsid w:val="1C86610F"/>
    <w:rsid w:val="1C872CDB"/>
    <w:rsid w:val="1C8804E6"/>
    <w:rsid w:val="1C890385"/>
    <w:rsid w:val="1C890801"/>
    <w:rsid w:val="1C89612E"/>
    <w:rsid w:val="1C8A6328"/>
    <w:rsid w:val="1C8A77B6"/>
    <w:rsid w:val="1C8B1335"/>
    <w:rsid w:val="1C8B30EB"/>
    <w:rsid w:val="1C8B457A"/>
    <w:rsid w:val="1C8B4B75"/>
    <w:rsid w:val="1C8B785C"/>
    <w:rsid w:val="1C8C6544"/>
    <w:rsid w:val="1C8D195D"/>
    <w:rsid w:val="1C8E406A"/>
    <w:rsid w:val="1C8E5E18"/>
    <w:rsid w:val="1C8E7C18"/>
    <w:rsid w:val="1C8F1FD2"/>
    <w:rsid w:val="1C913B5A"/>
    <w:rsid w:val="1C922D83"/>
    <w:rsid w:val="1C931680"/>
    <w:rsid w:val="1C93342E"/>
    <w:rsid w:val="1C933922"/>
    <w:rsid w:val="1C94535D"/>
    <w:rsid w:val="1C9553F8"/>
    <w:rsid w:val="1C960592"/>
    <w:rsid w:val="1C961170"/>
    <w:rsid w:val="1C962276"/>
    <w:rsid w:val="1C963AC5"/>
    <w:rsid w:val="1C986179"/>
    <w:rsid w:val="1C986C96"/>
    <w:rsid w:val="1C9A61BB"/>
    <w:rsid w:val="1C9B0535"/>
    <w:rsid w:val="1C9B22E3"/>
    <w:rsid w:val="1C9B764B"/>
    <w:rsid w:val="1C9C2A66"/>
    <w:rsid w:val="1C9C2FB9"/>
    <w:rsid w:val="1C9C4DED"/>
    <w:rsid w:val="1C9E580B"/>
    <w:rsid w:val="1C9F4F6C"/>
    <w:rsid w:val="1CA078F9"/>
    <w:rsid w:val="1CA13D9D"/>
    <w:rsid w:val="1CA23671"/>
    <w:rsid w:val="1CA3450A"/>
    <w:rsid w:val="1CA4388D"/>
    <w:rsid w:val="1CA53161"/>
    <w:rsid w:val="1CA70C88"/>
    <w:rsid w:val="1CA90E1B"/>
    <w:rsid w:val="1CA90EA4"/>
    <w:rsid w:val="1CAA0778"/>
    <w:rsid w:val="1CAA4126"/>
    <w:rsid w:val="1CAC44F0"/>
    <w:rsid w:val="1CAC629E"/>
    <w:rsid w:val="1CAC7710"/>
    <w:rsid w:val="1CAE76AA"/>
    <w:rsid w:val="1CB02232"/>
    <w:rsid w:val="1CB11B06"/>
    <w:rsid w:val="1CB33AD0"/>
    <w:rsid w:val="1CB3587E"/>
    <w:rsid w:val="1CB3762C"/>
    <w:rsid w:val="1CB44504"/>
    <w:rsid w:val="1CB46B6F"/>
    <w:rsid w:val="1CB533A4"/>
    <w:rsid w:val="1CB57848"/>
    <w:rsid w:val="1CB64A31"/>
    <w:rsid w:val="1CB65E0D"/>
    <w:rsid w:val="1CB82E95"/>
    <w:rsid w:val="1CB86F6A"/>
    <w:rsid w:val="1CB87339"/>
    <w:rsid w:val="1CB95C9F"/>
    <w:rsid w:val="1CBA04E3"/>
    <w:rsid w:val="1CBA4E5F"/>
    <w:rsid w:val="1CBB00C5"/>
    <w:rsid w:val="1CBB2985"/>
    <w:rsid w:val="1CBD04AB"/>
    <w:rsid w:val="1CBD66FD"/>
    <w:rsid w:val="1CBE178D"/>
    <w:rsid w:val="1CBF2475"/>
    <w:rsid w:val="1CBF4223"/>
    <w:rsid w:val="1CC01D49"/>
    <w:rsid w:val="1CC13F37"/>
    <w:rsid w:val="1CC161ED"/>
    <w:rsid w:val="1CC21F65"/>
    <w:rsid w:val="1CC22665"/>
    <w:rsid w:val="1CC41428"/>
    <w:rsid w:val="1CC45CDD"/>
    <w:rsid w:val="1CC47693"/>
    <w:rsid w:val="1CC47A8B"/>
    <w:rsid w:val="1CC61A56"/>
    <w:rsid w:val="1CC63804"/>
    <w:rsid w:val="1CC655B2"/>
    <w:rsid w:val="1CC7132A"/>
    <w:rsid w:val="1CC75363"/>
    <w:rsid w:val="1CC764AB"/>
    <w:rsid w:val="1CC7757C"/>
    <w:rsid w:val="1CC80EC6"/>
    <w:rsid w:val="1CC81239"/>
    <w:rsid w:val="1CC926C9"/>
    <w:rsid w:val="1CC932F4"/>
    <w:rsid w:val="1CC93433"/>
    <w:rsid w:val="1CCB2BC8"/>
    <w:rsid w:val="1CCC104A"/>
    <w:rsid w:val="1CCC29D8"/>
    <w:rsid w:val="1CCC2BD1"/>
    <w:rsid w:val="1CCC64DC"/>
    <w:rsid w:val="1CCC6940"/>
    <w:rsid w:val="1CCD24DA"/>
    <w:rsid w:val="1CCD5791"/>
    <w:rsid w:val="1CCE090A"/>
    <w:rsid w:val="1CCE25A8"/>
    <w:rsid w:val="1CCE26B8"/>
    <w:rsid w:val="1CD001DE"/>
    <w:rsid w:val="1CD01DC6"/>
    <w:rsid w:val="1CD04682"/>
    <w:rsid w:val="1CD06430"/>
    <w:rsid w:val="1CD3634C"/>
    <w:rsid w:val="1CD37A8D"/>
    <w:rsid w:val="1CD516F6"/>
    <w:rsid w:val="1CD52E4F"/>
    <w:rsid w:val="1CD759A8"/>
    <w:rsid w:val="1CD75A11"/>
    <w:rsid w:val="1CD7615D"/>
    <w:rsid w:val="1CD94D8F"/>
    <w:rsid w:val="1CDB6B83"/>
    <w:rsid w:val="1CDD0B4D"/>
    <w:rsid w:val="1CDD1E28"/>
    <w:rsid w:val="1CDF0421"/>
    <w:rsid w:val="1CDF48C5"/>
    <w:rsid w:val="1CE00EEA"/>
    <w:rsid w:val="1CE0472A"/>
    <w:rsid w:val="1CE05910"/>
    <w:rsid w:val="1CE0619C"/>
    <w:rsid w:val="1CE25C42"/>
    <w:rsid w:val="1CE26164"/>
    <w:rsid w:val="1CE27F12"/>
    <w:rsid w:val="1CE35E40"/>
    <w:rsid w:val="1CE367E1"/>
    <w:rsid w:val="1CE4012E"/>
    <w:rsid w:val="1CE43C8A"/>
    <w:rsid w:val="1CE472D0"/>
    <w:rsid w:val="1CE57D5A"/>
    <w:rsid w:val="1CE617B0"/>
    <w:rsid w:val="1CE76161"/>
    <w:rsid w:val="1CE91CB2"/>
    <w:rsid w:val="1CEB326A"/>
    <w:rsid w:val="1CEB4B27"/>
    <w:rsid w:val="1CEC0633"/>
    <w:rsid w:val="1CEC0D90"/>
    <w:rsid w:val="1CEE68B6"/>
    <w:rsid w:val="1CEF68E8"/>
    <w:rsid w:val="1CF00444"/>
    <w:rsid w:val="1CF0262F"/>
    <w:rsid w:val="1CF10155"/>
    <w:rsid w:val="1CF2284B"/>
    <w:rsid w:val="1CF30371"/>
    <w:rsid w:val="1CF33ECD"/>
    <w:rsid w:val="1CF377EB"/>
    <w:rsid w:val="1CF47387"/>
    <w:rsid w:val="1CF540E9"/>
    <w:rsid w:val="1CF55EA2"/>
    <w:rsid w:val="1CF56657"/>
    <w:rsid w:val="1CF716BE"/>
    <w:rsid w:val="1CF928A3"/>
    <w:rsid w:val="1CF94D1C"/>
    <w:rsid w:val="1CFA160F"/>
    <w:rsid w:val="1CFA16FF"/>
    <w:rsid w:val="1CFC5477"/>
    <w:rsid w:val="1CFC69E7"/>
    <w:rsid w:val="1CFC7225"/>
    <w:rsid w:val="1CFD2499"/>
    <w:rsid w:val="1CFD2714"/>
    <w:rsid w:val="1CFD28CA"/>
    <w:rsid w:val="1CFE1CD3"/>
    <w:rsid w:val="1CFF2872"/>
    <w:rsid w:val="1CFF6AA9"/>
    <w:rsid w:val="1D002415"/>
    <w:rsid w:val="1D012AE3"/>
    <w:rsid w:val="1D016123"/>
    <w:rsid w:val="1D0205B4"/>
    <w:rsid w:val="1D022362"/>
    <w:rsid w:val="1D035432"/>
    <w:rsid w:val="1D036806"/>
    <w:rsid w:val="1D0457CE"/>
    <w:rsid w:val="1D063C00"/>
    <w:rsid w:val="1D08652F"/>
    <w:rsid w:val="1D0936F0"/>
    <w:rsid w:val="1D0956F7"/>
    <w:rsid w:val="1D0A3220"/>
    <w:rsid w:val="1D0A3BBC"/>
    <w:rsid w:val="1D0B56BA"/>
    <w:rsid w:val="1D0B7468"/>
    <w:rsid w:val="1D0D3703"/>
    <w:rsid w:val="1D0E01EE"/>
    <w:rsid w:val="1D0E51AB"/>
    <w:rsid w:val="1D102CD1"/>
    <w:rsid w:val="1D1207F7"/>
    <w:rsid w:val="1D120D0E"/>
    <w:rsid w:val="1D126A49"/>
    <w:rsid w:val="1D13223F"/>
    <w:rsid w:val="1D132287"/>
    <w:rsid w:val="1D1502E7"/>
    <w:rsid w:val="1D151300"/>
    <w:rsid w:val="1D152095"/>
    <w:rsid w:val="1D156C52"/>
    <w:rsid w:val="1D1722B1"/>
    <w:rsid w:val="1D17405F"/>
    <w:rsid w:val="1D174D78"/>
    <w:rsid w:val="1D1754FC"/>
    <w:rsid w:val="1D175E0D"/>
    <w:rsid w:val="1D182FE8"/>
    <w:rsid w:val="1D1A58FD"/>
    <w:rsid w:val="1D1A76AB"/>
    <w:rsid w:val="1D1A7A3A"/>
    <w:rsid w:val="1D1B1576"/>
    <w:rsid w:val="1D1B624C"/>
    <w:rsid w:val="1D1B6401"/>
    <w:rsid w:val="1D1C1676"/>
    <w:rsid w:val="1D1E53EE"/>
    <w:rsid w:val="1D1F3284"/>
    <w:rsid w:val="1D207523"/>
    <w:rsid w:val="1D230C56"/>
    <w:rsid w:val="1D232A04"/>
    <w:rsid w:val="1D242378"/>
    <w:rsid w:val="1D255BF3"/>
    <w:rsid w:val="1D2610E3"/>
    <w:rsid w:val="1D2642A2"/>
    <w:rsid w:val="1D267083"/>
    <w:rsid w:val="1D271DC8"/>
    <w:rsid w:val="1D28001A"/>
    <w:rsid w:val="1D28626C"/>
    <w:rsid w:val="1D291620"/>
    <w:rsid w:val="1D291FE4"/>
    <w:rsid w:val="1D2971B2"/>
    <w:rsid w:val="1D2A359E"/>
    <w:rsid w:val="1D2B2EF5"/>
    <w:rsid w:val="1D2D73DF"/>
    <w:rsid w:val="1D2E3157"/>
    <w:rsid w:val="1D2F4FC5"/>
    <w:rsid w:val="1D306ECF"/>
    <w:rsid w:val="1D31536E"/>
    <w:rsid w:val="1D320E99"/>
    <w:rsid w:val="1D322C47"/>
    <w:rsid w:val="1D327895"/>
    <w:rsid w:val="1D327DC6"/>
    <w:rsid w:val="1D354602"/>
    <w:rsid w:val="1D37025D"/>
    <w:rsid w:val="1D373AAF"/>
    <w:rsid w:val="1D382E9A"/>
    <w:rsid w:val="1D385130"/>
    <w:rsid w:val="1D39273E"/>
    <w:rsid w:val="1D3977B1"/>
    <w:rsid w:val="1D3A1AFC"/>
    <w:rsid w:val="1D3B7AD6"/>
    <w:rsid w:val="1D3C1D18"/>
    <w:rsid w:val="1D3C248F"/>
    <w:rsid w:val="1D3C3AC6"/>
    <w:rsid w:val="1D3C5874"/>
    <w:rsid w:val="1D3D2092"/>
    <w:rsid w:val="1D3D6A4B"/>
    <w:rsid w:val="1D3F35B6"/>
    <w:rsid w:val="1D3F5364"/>
    <w:rsid w:val="1D3F7112"/>
    <w:rsid w:val="1D403D49"/>
    <w:rsid w:val="1D4110DC"/>
    <w:rsid w:val="1D41310E"/>
    <w:rsid w:val="1D41732E"/>
    <w:rsid w:val="1D4328BD"/>
    <w:rsid w:val="1D434E54"/>
    <w:rsid w:val="1D441BB2"/>
    <w:rsid w:val="1D445D2D"/>
    <w:rsid w:val="1D4604A0"/>
    <w:rsid w:val="1D465D4E"/>
    <w:rsid w:val="1D465E9C"/>
    <w:rsid w:val="1D4666F2"/>
    <w:rsid w:val="1D480FB9"/>
    <w:rsid w:val="1D4812AE"/>
    <w:rsid w:val="1D48246B"/>
    <w:rsid w:val="1D49525F"/>
    <w:rsid w:val="1D4A4435"/>
    <w:rsid w:val="1D4B1F5B"/>
    <w:rsid w:val="1D4C396F"/>
    <w:rsid w:val="1D4C4D36"/>
    <w:rsid w:val="1D4D182F"/>
    <w:rsid w:val="1D4D4DFF"/>
    <w:rsid w:val="1D4D6540"/>
    <w:rsid w:val="1D4E21B3"/>
    <w:rsid w:val="1D4E2AE9"/>
    <w:rsid w:val="1D4E6DE5"/>
    <w:rsid w:val="1D4F1BC1"/>
    <w:rsid w:val="1D500702"/>
    <w:rsid w:val="1D5030CD"/>
    <w:rsid w:val="1D504EC1"/>
    <w:rsid w:val="1D507571"/>
    <w:rsid w:val="1D507FCA"/>
    <w:rsid w:val="1D5201B5"/>
    <w:rsid w:val="1D523031"/>
    <w:rsid w:val="1D530A41"/>
    <w:rsid w:val="1D554B87"/>
    <w:rsid w:val="1D554CD2"/>
    <w:rsid w:val="1D557C9F"/>
    <w:rsid w:val="1D570A82"/>
    <w:rsid w:val="1D5721C3"/>
    <w:rsid w:val="1D57445C"/>
    <w:rsid w:val="1D58523B"/>
    <w:rsid w:val="1D594AE3"/>
    <w:rsid w:val="1D5B44A2"/>
    <w:rsid w:val="1D5B7A7C"/>
    <w:rsid w:val="1D5C0F1B"/>
    <w:rsid w:val="1D5C4168"/>
    <w:rsid w:val="1D5C66EB"/>
    <w:rsid w:val="1D5C6BFE"/>
    <w:rsid w:val="1D5C7CC4"/>
    <w:rsid w:val="1D5E1C8E"/>
    <w:rsid w:val="1D5E74C5"/>
    <w:rsid w:val="1D5F1562"/>
    <w:rsid w:val="1D5F5A06"/>
    <w:rsid w:val="1D60094F"/>
    <w:rsid w:val="1D6261D0"/>
    <w:rsid w:val="1D653086"/>
    <w:rsid w:val="1D655CE4"/>
    <w:rsid w:val="1D6628F1"/>
    <w:rsid w:val="1D666D95"/>
    <w:rsid w:val="1D672AC0"/>
    <w:rsid w:val="1D6848BB"/>
    <w:rsid w:val="1D68634B"/>
    <w:rsid w:val="1D691375"/>
    <w:rsid w:val="1D6923E1"/>
    <w:rsid w:val="1D6951CC"/>
    <w:rsid w:val="1D6955CE"/>
    <w:rsid w:val="1D6A0633"/>
    <w:rsid w:val="1D6A702F"/>
    <w:rsid w:val="1D6B43AB"/>
    <w:rsid w:val="1D6B7F07"/>
    <w:rsid w:val="1D6C0388"/>
    <w:rsid w:val="1D6C7919"/>
    <w:rsid w:val="1D6D1ED1"/>
    <w:rsid w:val="1D6E79F7"/>
    <w:rsid w:val="1D6F3E9B"/>
    <w:rsid w:val="1D700199"/>
    <w:rsid w:val="1D7019C1"/>
    <w:rsid w:val="1D70376F"/>
    <w:rsid w:val="1D724D04"/>
    <w:rsid w:val="1D75574C"/>
    <w:rsid w:val="1D761A91"/>
    <w:rsid w:val="1D792624"/>
    <w:rsid w:val="1D7B1589"/>
    <w:rsid w:val="1D7C0366"/>
    <w:rsid w:val="1D7C2114"/>
    <w:rsid w:val="1D7D279D"/>
    <w:rsid w:val="1D7E5E8C"/>
    <w:rsid w:val="1D7E7C3A"/>
    <w:rsid w:val="1D7F08B9"/>
    <w:rsid w:val="1D7F13CF"/>
    <w:rsid w:val="1D7F1C04"/>
    <w:rsid w:val="1D80285F"/>
    <w:rsid w:val="1D807E56"/>
    <w:rsid w:val="1D81772B"/>
    <w:rsid w:val="1D825C8B"/>
    <w:rsid w:val="1D840FC9"/>
    <w:rsid w:val="1D85423B"/>
    <w:rsid w:val="1D85546D"/>
    <w:rsid w:val="1D86179B"/>
    <w:rsid w:val="1D862F93"/>
    <w:rsid w:val="1D874F90"/>
    <w:rsid w:val="1D880AB9"/>
    <w:rsid w:val="1D882867"/>
    <w:rsid w:val="1D89443E"/>
    <w:rsid w:val="1D896B92"/>
    <w:rsid w:val="1D8A14F0"/>
    <w:rsid w:val="1D8A2A83"/>
    <w:rsid w:val="1D8B2F12"/>
    <w:rsid w:val="1D8B67FB"/>
    <w:rsid w:val="1D8C30F4"/>
    <w:rsid w:val="1D8D39D3"/>
    <w:rsid w:val="1D8E3BF5"/>
    <w:rsid w:val="1D8E7FD9"/>
    <w:rsid w:val="1D8F418E"/>
    <w:rsid w:val="1D8F4942"/>
    <w:rsid w:val="1D903E12"/>
    <w:rsid w:val="1D905BC0"/>
    <w:rsid w:val="1D920BFF"/>
    <w:rsid w:val="1D9236E6"/>
    <w:rsid w:val="1D927B8A"/>
    <w:rsid w:val="1D952165"/>
    <w:rsid w:val="1D9531D6"/>
    <w:rsid w:val="1D970CFC"/>
    <w:rsid w:val="1D974A1C"/>
    <w:rsid w:val="1D9751A0"/>
    <w:rsid w:val="1D976FC5"/>
    <w:rsid w:val="1D980AE6"/>
    <w:rsid w:val="1D992CC6"/>
    <w:rsid w:val="1D994440"/>
    <w:rsid w:val="1D9A121F"/>
    <w:rsid w:val="1D9C5EFA"/>
    <w:rsid w:val="1D9D7AD1"/>
    <w:rsid w:val="1D9E3644"/>
    <w:rsid w:val="1D9F1A8B"/>
    <w:rsid w:val="1DA022A7"/>
    <w:rsid w:val="1DA07636"/>
    <w:rsid w:val="1DA10708"/>
    <w:rsid w:val="1DA10BA9"/>
    <w:rsid w:val="1DA11B7B"/>
    <w:rsid w:val="1DA33B45"/>
    <w:rsid w:val="1DA5114C"/>
    <w:rsid w:val="1DA51BFB"/>
    <w:rsid w:val="1DA62C80"/>
    <w:rsid w:val="1DA63635"/>
    <w:rsid w:val="1DA82F09"/>
    <w:rsid w:val="1DAA4ED3"/>
    <w:rsid w:val="1DAB4610"/>
    <w:rsid w:val="1DAB47A7"/>
    <w:rsid w:val="1DAC1F34"/>
    <w:rsid w:val="1DAC357D"/>
    <w:rsid w:val="1DAC4170"/>
    <w:rsid w:val="1DAD0520"/>
    <w:rsid w:val="1DAD7F37"/>
    <w:rsid w:val="1DAE4992"/>
    <w:rsid w:val="1DB001FD"/>
    <w:rsid w:val="1DB16B56"/>
    <w:rsid w:val="1DB25B36"/>
    <w:rsid w:val="1DB41BFA"/>
    <w:rsid w:val="1DB4365C"/>
    <w:rsid w:val="1DB573D4"/>
    <w:rsid w:val="1DB7139E"/>
    <w:rsid w:val="1DB775F0"/>
    <w:rsid w:val="1DBA2C3C"/>
    <w:rsid w:val="1DBA49EB"/>
    <w:rsid w:val="1DBC0763"/>
    <w:rsid w:val="1DBD1371"/>
    <w:rsid w:val="1DBD1493"/>
    <w:rsid w:val="1DBE1DF0"/>
    <w:rsid w:val="1DBE272D"/>
    <w:rsid w:val="1DBE44DB"/>
    <w:rsid w:val="1DC31AF1"/>
    <w:rsid w:val="1DC53ABB"/>
    <w:rsid w:val="1DC55869"/>
    <w:rsid w:val="1DC615E1"/>
    <w:rsid w:val="1DC753DA"/>
    <w:rsid w:val="1DC75A85"/>
    <w:rsid w:val="1DC835AB"/>
    <w:rsid w:val="1DC83EF3"/>
    <w:rsid w:val="1DC91D6E"/>
    <w:rsid w:val="1DCA2E80"/>
    <w:rsid w:val="1DCF0496"/>
    <w:rsid w:val="1DD06E3C"/>
    <w:rsid w:val="1DD106B2"/>
    <w:rsid w:val="1DD2442A"/>
    <w:rsid w:val="1DD4119A"/>
    <w:rsid w:val="1DD412D3"/>
    <w:rsid w:val="1DD41F50"/>
    <w:rsid w:val="1DD526A6"/>
    <w:rsid w:val="1DD5401E"/>
    <w:rsid w:val="1DD63BEF"/>
    <w:rsid w:val="1DD67B31"/>
    <w:rsid w:val="1DD73294"/>
    <w:rsid w:val="1DD81A08"/>
    <w:rsid w:val="1DD844A0"/>
    <w:rsid w:val="1DD91315"/>
    <w:rsid w:val="1DD957B9"/>
    <w:rsid w:val="1DDA409F"/>
    <w:rsid w:val="1DDA6E3B"/>
    <w:rsid w:val="1DDC2BB3"/>
    <w:rsid w:val="1DDC31B9"/>
    <w:rsid w:val="1DDC3F62"/>
    <w:rsid w:val="1DDC5928"/>
    <w:rsid w:val="1DDE1CF1"/>
    <w:rsid w:val="1DDE2608"/>
    <w:rsid w:val="1DDF4451"/>
    <w:rsid w:val="1DE026A3"/>
    <w:rsid w:val="1DE04254"/>
    <w:rsid w:val="1DE101C9"/>
    <w:rsid w:val="1DE1641B"/>
    <w:rsid w:val="1DE303E5"/>
    <w:rsid w:val="1DE31ACB"/>
    <w:rsid w:val="1DE32193"/>
    <w:rsid w:val="1DE559AC"/>
    <w:rsid w:val="1DE63A32"/>
    <w:rsid w:val="1DE67AD5"/>
    <w:rsid w:val="1DE702CC"/>
    <w:rsid w:val="1DE81558"/>
    <w:rsid w:val="1DE81A69"/>
    <w:rsid w:val="1DE877AA"/>
    <w:rsid w:val="1DEA3522"/>
    <w:rsid w:val="1DEB1048"/>
    <w:rsid w:val="1DED4DC0"/>
    <w:rsid w:val="1DED790D"/>
    <w:rsid w:val="1DEF0BFB"/>
    <w:rsid w:val="1DEF40CD"/>
    <w:rsid w:val="1DEF71C7"/>
    <w:rsid w:val="1DF0665E"/>
    <w:rsid w:val="1DF1311D"/>
    <w:rsid w:val="1DF334D5"/>
    <w:rsid w:val="1DF3368A"/>
    <w:rsid w:val="1DF443A0"/>
    <w:rsid w:val="1DF47EFC"/>
    <w:rsid w:val="1DF61EC7"/>
    <w:rsid w:val="1DF71283"/>
    <w:rsid w:val="1DF715B8"/>
    <w:rsid w:val="1DF75C3F"/>
    <w:rsid w:val="1DF81302"/>
    <w:rsid w:val="1DFB6AD0"/>
    <w:rsid w:val="1DFB7BD2"/>
    <w:rsid w:val="1DFC5003"/>
    <w:rsid w:val="1DFD14A7"/>
    <w:rsid w:val="1DFD50C3"/>
    <w:rsid w:val="1DFE5056"/>
    <w:rsid w:val="1DFE521F"/>
    <w:rsid w:val="1DFE55B6"/>
    <w:rsid w:val="1DFE6FCD"/>
    <w:rsid w:val="1DFE7C94"/>
    <w:rsid w:val="1DFF720A"/>
    <w:rsid w:val="1E0008A6"/>
    <w:rsid w:val="1E002D45"/>
    <w:rsid w:val="1E0068A1"/>
    <w:rsid w:val="1E011134"/>
    <w:rsid w:val="1E0213EE"/>
    <w:rsid w:val="1E0345E3"/>
    <w:rsid w:val="1E042DA4"/>
    <w:rsid w:val="1E050C27"/>
    <w:rsid w:val="1E0565AE"/>
    <w:rsid w:val="1E086AA1"/>
    <w:rsid w:val="1E087E4C"/>
    <w:rsid w:val="1E091A60"/>
    <w:rsid w:val="1E0A586C"/>
    <w:rsid w:val="1E0A5972"/>
    <w:rsid w:val="1E0A7720"/>
    <w:rsid w:val="1E0B6F5A"/>
    <w:rsid w:val="1E0C0B57"/>
    <w:rsid w:val="1E0C3498"/>
    <w:rsid w:val="1E0D1857"/>
    <w:rsid w:val="1E0D344F"/>
    <w:rsid w:val="1E0D54B0"/>
    <w:rsid w:val="1E0D7210"/>
    <w:rsid w:val="1E0D7E9F"/>
    <w:rsid w:val="1E114F52"/>
    <w:rsid w:val="1E14059F"/>
    <w:rsid w:val="1E14234D"/>
    <w:rsid w:val="1E177425"/>
    <w:rsid w:val="1E18008F"/>
    <w:rsid w:val="1E1862E1"/>
    <w:rsid w:val="1E195BB5"/>
    <w:rsid w:val="1E1A743E"/>
    <w:rsid w:val="1E1B36DB"/>
    <w:rsid w:val="1E1B7B7F"/>
    <w:rsid w:val="1E1C3A65"/>
    <w:rsid w:val="1E1C7453"/>
    <w:rsid w:val="1E1E31CB"/>
    <w:rsid w:val="1E1E37AF"/>
    <w:rsid w:val="1E1E4F79"/>
    <w:rsid w:val="1E1E766F"/>
    <w:rsid w:val="1E1F0B6E"/>
    <w:rsid w:val="1E200CF1"/>
    <w:rsid w:val="1E213AAA"/>
    <w:rsid w:val="1E214C14"/>
    <w:rsid w:val="1E220056"/>
    <w:rsid w:val="1E2307E2"/>
    <w:rsid w:val="1E234B00"/>
    <w:rsid w:val="1E234C86"/>
    <w:rsid w:val="1E24026E"/>
    <w:rsid w:val="1E244D35"/>
    <w:rsid w:val="1E2527AC"/>
    <w:rsid w:val="1E262080"/>
    <w:rsid w:val="1E2702D2"/>
    <w:rsid w:val="1E28321C"/>
    <w:rsid w:val="1E2834BA"/>
    <w:rsid w:val="1E28404A"/>
    <w:rsid w:val="1E2B385A"/>
    <w:rsid w:val="1E2B4D65"/>
    <w:rsid w:val="1E2D340E"/>
    <w:rsid w:val="1E2D4852"/>
    <w:rsid w:val="1E2F362A"/>
    <w:rsid w:val="1E3065B9"/>
    <w:rsid w:val="1E314FD6"/>
    <w:rsid w:val="1E320A25"/>
    <w:rsid w:val="1E334EC9"/>
    <w:rsid w:val="1E3410FF"/>
    <w:rsid w:val="1E34469A"/>
    <w:rsid w:val="1E3511F3"/>
    <w:rsid w:val="1E352934"/>
    <w:rsid w:val="1E35780D"/>
    <w:rsid w:val="1E36042F"/>
    <w:rsid w:val="1E371371"/>
    <w:rsid w:val="1E37428D"/>
    <w:rsid w:val="1E37603B"/>
    <w:rsid w:val="1E380731"/>
    <w:rsid w:val="1E390005"/>
    <w:rsid w:val="1E391DB3"/>
    <w:rsid w:val="1E396257"/>
    <w:rsid w:val="1E3A5567"/>
    <w:rsid w:val="1E3B1FCF"/>
    <w:rsid w:val="1E3B6724"/>
    <w:rsid w:val="1E3D7AF5"/>
    <w:rsid w:val="1E3E561C"/>
    <w:rsid w:val="1E3E73CA"/>
    <w:rsid w:val="1E3F4E76"/>
    <w:rsid w:val="1E403142"/>
    <w:rsid w:val="1E41206F"/>
    <w:rsid w:val="1E426EBA"/>
    <w:rsid w:val="1E430E84"/>
    <w:rsid w:val="1E432C32"/>
    <w:rsid w:val="1E4337F7"/>
    <w:rsid w:val="1E4363C8"/>
    <w:rsid w:val="1E452429"/>
    <w:rsid w:val="1E462178"/>
    <w:rsid w:val="1E4638B9"/>
    <w:rsid w:val="1E4644BB"/>
    <w:rsid w:val="1E4757E9"/>
    <w:rsid w:val="1E493605"/>
    <w:rsid w:val="1E4946EC"/>
    <w:rsid w:val="1E4A377C"/>
    <w:rsid w:val="1E4C0BBB"/>
    <w:rsid w:val="1E4C576E"/>
    <w:rsid w:val="1E4C57CB"/>
    <w:rsid w:val="1E4C5F8A"/>
    <w:rsid w:val="1E4C7D38"/>
    <w:rsid w:val="1E4C7F89"/>
    <w:rsid w:val="1E4D204B"/>
    <w:rsid w:val="1E4E3233"/>
    <w:rsid w:val="1E4E5E0A"/>
    <w:rsid w:val="1E5135A1"/>
    <w:rsid w:val="1E517EC1"/>
    <w:rsid w:val="1E522E75"/>
    <w:rsid w:val="1E5310C7"/>
    <w:rsid w:val="1E535EBD"/>
    <w:rsid w:val="1E543091"/>
    <w:rsid w:val="1E544E3F"/>
    <w:rsid w:val="1E556C82"/>
    <w:rsid w:val="1E556CC1"/>
    <w:rsid w:val="1E564243"/>
    <w:rsid w:val="1E566E09"/>
    <w:rsid w:val="1E57048B"/>
    <w:rsid w:val="1E5778B2"/>
    <w:rsid w:val="1E586391"/>
    <w:rsid w:val="1E5A0E67"/>
    <w:rsid w:val="1E5B2EFF"/>
    <w:rsid w:val="1E5D0198"/>
    <w:rsid w:val="1E5D3CF4"/>
    <w:rsid w:val="1E5D6F6E"/>
    <w:rsid w:val="1E5F5CBE"/>
    <w:rsid w:val="1E6257AE"/>
    <w:rsid w:val="1E62755C"/>
    <w:rsid w:val="1E632DE0"/>
    <w:rsid w:val="1E6432D4"/>
    <w:rsid w:val="1E643BE9"/>
    <w:rsid w:val="1E65237B"/>
    <w:rsid w:val="1E652BA8"/>
    <w:rsid w:val="1E656859"/>
    <w:rsid w:val="1E660F62"/>
    <w:rsid w:val="1E672BF1"/>
    <w:rsid w:val="1E674B72"/>
    <w:rsid w:val="1E6828C2"/>
    <w:rsid w:val="1E6854F8"/>
    <w:rsid w:val="1E690C4B"/>
    <w:rsid w:val="1E696B3C"/>
    <w:rsid w:val="1E6A01BF"/>
    <w:rsid w:val="1E6A59E3"/>
    <w:rsid w:val="1E6C0104"/>
    <w:rsid w:val="1E6C03DB"/>
    <w:rsid w:val="1E6D3818"/>
    <w:rsid w:val="1E6F664F"/>
    <w:rsid w:val="1E7159F1"/>
    <w:rsid w:val="1E72251E"/>
    <w:rsid w:val="1E727D04"/>
    <w:rsid w:val="1E7352C5"/>
    <w:rsid w:val="1E7456E8"/>
    <w:rsid w:val="1E75085E"/>
    <w:rsid w:val="1E751D9B"/>
    <w:rsid w:val="1E757DC6"/>
    <w:rsid w:val="1E761259"/>
    <w:rsid w:val="1E763007"/>
    <w:rsid w:val="1E7679C4"/>
    <w:rsid w:val="1E7808DC"/>
    <w:rsid w:val="1E787412"/>
    <w:rsid w:val="1E795AA6"/>
    <w:rsid w:val="1E797BD7"/>
    <w:rsid w:val="1E7B061E"/>
    <w:rsid w:val="1E7B17A7"/>
    <w:rsid w:val="1E7D0CBE"/>
    <w:rsid w:val="1E7E1EBC"/>
    <w:rsid w:val="1E7E3C6A"/>
    <w:rsid w:val="1E805C34"/>
    <w:rsid w:val="1E81001B"/>
    <w:rsid w:val="1E811B28"/>
    <w:rsid w:val="1E8219AC"/>
    <w:rsid w:val="1E830C89"/>
    <w:rsid w:val="1E8370E6"/>
    <w:rsid w:val="1E84024F"/>
    <w:rsid w:val="1E8429D3"/>
    <w:rsid w:val="1E8524B3"/>
    <w:rsid w:val="1E85324A"/>
    <w:rsid w:val="1E8700CD"/>
    <w:rsid w:val="1E870D71"/>
    <w:rsid w:val="1E876FC3"/>
    <w:rsid w:val="1E881DFD"/>
    <w:rsid w:val="1E894A6C"/>
    <w:rsid w:val="1E8A0861"/>
    <w:rsid w:val="1E8A0B5C"/>
    <w:rsid w:val="1E8A30BB"/>
    <w:rsid w:val="1E8A3D5D"/>
    <w:rsid w:val="1E8B6EE0"/>
    <w:rsid w:val="1E8C22B2"/>
    <w:rsid w:val="1E8C282B"/>
    <w:rsid w:val="1E8C6387"/>
    <w:rsid w:val="1E8D7E54"/>
    <w:rsid w:val="1E8E0351"/>
    <w:rsid w:val="1E8F0731"/>
    <w:rsid w:val="1E90231B"/>
    <w:rsid w:val="1E911BEF"/>
    <w:rsid w:val="1E911D7D"/>
    <w:rsid w:val="1E91399D"/>
    <w:rsid w:val="1E9227DA"/>
    <w:rsid w:val="1E926896"/>
    <w:rsid w:val="1E955C6F"/>
    <w:rsid w:val="1E967206"/>
    <w:rsid w:val="1E975EC3"/>
    <w:rsid w:val="1E9811D0"/>
    <w:rsid w:val="1E99461F"/>
    <w:rsid w:val="1E9951E4"/>
    <w:rsid w:val="1E9A4645"/>
    <w:rsid w:val="1E9A6CF6"/>
    <w:rsid w:val="1E9B2A6E"/>
    <w:rsid w:val="1E9E4585"/>
    <w:rsid w:val="1E9E60BA"/>
    <w:rsid w:val="1E9F255E"/>
    <w:rsid w:val="1EA13272"/>
    <w:rsid w:val="1EA14482"/>
    <w:rsid w:val="1EA31DE5"/>
    <w:rsid w:val="1EA32E44"/>
    <w:rsid w:val="1EA41923"/>
    <w:rsid w:val="1EA461F6"/>
    <w:rsid w:val="1EA529D6"/>
    <w:rsid w:val="1EA55764"/>
    <w:rsid w:val="1EA71413"/>
    <w:rsid w:val="1EAA2312"/>
    <w:rsid w:val="1EAA2CB1"/>
    <w:rsid w:val="1EAB0F03"/>
    <w:rsid w:val="1EAB15D6"/>
    <w:rsid w:val="1EAB2010"/>
    <w:rsid w:val="1EAC2A66"/>
    <w:rsid w:val="1EAD1969"/>
    <w:rsid w:val="1EB00803"/>
    <w:rsid w:val="1EB13D07"/>
    <w:rsid w:val="1EB311F8"/>
    <w:rsid w:val="1EB31B66"/>
    <w:rsid w:val="1EB37DB8"/>
    <w:rsid w:val="1EB42688"/>
    <w:rsid w:val="1EB47B61"/>
    <w:rsid w:val="1EB83EEE"/>
    <w:rsid w:val="1EB853CE"/>
    <w:rsid w:val="1EB8717C"/>
    <w:rsid w:val="1EB9340A"/>
    <w:rsid w:val="1EB96CAC"/>
    <w:rsid w:val="1EBB4EBE"/>
    <w:rsid w:val="1EBC3110"/>
    <w:rsid w:val="1EBD29E4"/>
    <w:rsid w:val="1EBD7CCE"/>
    <w:rsid w:val="1EBF050A"/>
    <w:rsid w:val="1EBF49AE"/>
    <w:rsid w:val="1EBF675C"/>
    <w:rsid w:val="1EC04283"/>
    <w:rsid w:val="1EC11CD6"/>
    <w:rsid w:val="1EC137FC"/>
    <w:rsid w:val="1EC148CD"/>
    <w:rsid w:val="1EC21DA9"/>
    <w:rsid w:val="1EC338C4"/>
    <w:rsid w:val="1EC45B21"/>
    <w:rsid w:val="1EC52FAE"/>
    <w:rsid w:val="1EC53464"/>
    <w:rsid w:val="1EC55367"/>
    <w:rsid w:val="1EC56DA6"/>
    <w:rsid w:val="1EC65D3D"/>
    <w:rsid w:val="1EC661DE"/>
    <w:rsid w:val="1EC66636"/>
    <w:rsid w:val="1EC66FC4"/>
    <w:rsid w:val="1EC700F8"/>
    <w:rsid w:val="1EC75611"/>
    <w:rsid w:val="1EC87687"/>
    <w:rsid w:val="1EC967AD"/>
    <w:rsid w:val="1EC975DB"/>
    <w:rsid w:val="1ECA6EAF"/>
    <w:rsid w:val="1ECB3353"/>
    <w:rsid w:val="1ECB5F13"/>
    <w:rsid w:val="1ECC0E79"/>
    <w:rsid w:val="1ECC2C27"/>
    <w:rsid w:val="1ECC6AB2"/>
    <w:rsid w:val="1ECD1D9F"/>
    <w:rsid w:val="1ECE074D"/>
    <w:rsid w:val="1ECE699F"/>
    <w:rsid w:val="1ECF226A"/>
    <w:rsid w:val="1ECF44C6"/>
    <w:rsid w:val="1ED02718"/>
    <w:rsid w:val="1ED05EB7"/>
    <w:rsid w:val="1ED11BB0"/>
    <w:rsid w:val="1ED146E2"/>
    <w:rsid w:val="1ED16490"/>
    <w:rsid w:val="1ED17F52"/>
    <w:rsid w:val="1ED20C1F"/>
    <w:rsid w:val="1ED25E8A"/>
    <w:rsid w:val="1ED30297"/>
    <w:rsid w:val="1ED3045A"/>
    <w:rsid w:val="1ED32208"/>
    <w:rsid w:val="1ED460EB"/>
    <w:rsid w:val="1ED50531"/>
    <w:rsid w:val="1ED63AA6"/>
    <w:rsid w:val="1ED65854"/>
    <w:rsid w:val="1ED67D6B"/>
    <w:rsid w:val="1ED7415E"/>
    <w:rsid w:val="1ED805F3"/>
    <w:rsid w:val="1ED80FA6"/>
    <w:rsid w:val="1ED82DF4"/>
    <w:rsid w:val="1ED85A70"/>
    <w:rsid w:val="1ED8781E"/>
    <w:rsid w:val="1EDA17E8"/>
    <w:rsid w:val="1EDA324A"/>
    <w:rsid w:val="1EDA3596"/>
    <w:rsid w:val="1EDA5344"/>
    <w:rsid w:val="1EDA6AC9"/>
    <w:rsid w:val="1EDB6B05"/>
    <w:rsid w:val="1EDC3211"/>
    <w:rsid w:val="1EDC6F10"/>
    <w:rsid w:val="1EDC730E"/>
    <w:rsid w:val="1EDE09B3"/>
    <w:rsid w:val="1EDE3C7F"/>
    <w:rsid w:val="1EDF0E6C"/>
    <w:rsid w:val="1EDF295B"/>
    <w:rsid w:val="1EDF6DFF"/>
    <w:rsid w:val="1EE21BD8"/>
    <w:rsid w:val="1EE4017B"/>
    <w:rsid w:val="1EE47D48"/>
    <w:rsid w:val="1EE53CE9"/>
    <w:rsid w:val="1EE6018D"/>
    <w:rsid w:val="1EE753C6"/>
    <w:rsid w:val="1EE75CB3"/>
    <w:rsid w:val="1EE77A61"/>
    <w:rsid w:val="1EEA3E98"/>
    <w:rsid w:val="1EEA4952"/>
    <w:rsid w:val="1EEB7551"/>
    <w:rsid w:val="1EED151B"/>
    <w:rsid w:val="1EED3883"/>
    <w:rsid w:val="1EEE0DF0"/>
    <w:rsid w:val="1EEE3317"/>
    <w:rsid w:val="1EEE7042"/>
    <w:rsid w:val="1EF02DBA"/>
    <w:rsid w:val="1EF06916"/>
    <w:rsid w:val="1EF1268E"/>
    <w:rsid w:val="1EF155E9"/>
    <w:rsid w:val="1EF222C1"/>
    <w:rsid w:val="1EF34658"/>
    <w:rsid w:val="1EF503D0"/>
    <w:rsid w:val="1EF5217E"/>
    <w:rsid w:val="1EF53F2C"/>
    <w:rsid w:val="1EF55F6D"/>
    <w:rsid w:val="1EF617A2"/>
    <w:rsid w:val="1EF6243B"/>
    <w:rsid w:val="1EF67CA4"/>
    <w:rsid w:val="1EF74148"/>
    <w:rsid w:val="1EF8106D"/>
    <w:rsid w:val="1EF81C6E"/>
    <w:rsid w:val="1EF83A1C"/>
    <w:rsid w:val="1EF84A4F"/>
    <w:rsid w:val="1EF87EC0"/>
    <w:rsid w:val="1EF950CE"/>
    <w:rsid w:val="1EFA1543"/>
    <w:rsid w:val="1EFA398D"/>
    <w:rsid w:val="1EFA44D7"/>
    <w:rsid w:val="1EFA468C"/>
    <w:rsid w:val="1EFA7794"/>
    <w:rsid w:val="1EFB52BB"/>
    <w:rsid w:val="1EFC322B"/>
    <w:rsid w:val="1EFC62AD"/>
    <w:rsid w:val="1EFD0E7E"/>
    <w:rsid w:val="1EFD52D1"/>
    <w:rsid w:val="1EFD54D7"/>
    <w:rsid w:val="1EFE128D"/>
    <w:rsid w:val="1EFE4562"/>
    <w:rsid w:val="1EFE78EA"/>
    <w:rsid w:val="1EFF124F"/>
    <w:rsid w:val="1F013E94"/>
    <w:rsid w:val="1F01666F"/>
    <w:rsid w:val="1F0233D4"/>
    <w:rsid w:val="1F031241"/>
    <w:rsid w:val="1F036180"/>
    <w:rsid w:val="1F04329E"/>
    <w:rsid w:val="1F047610"/>
    <w:rsid w:val="1F047B3B"/>
    <w:rsid w:val="1F0623B8"/>
    <w:rsid w:val="1F0813C6"/>
    <w:rsid w:val="1F086CB4"/>
    <w:rsid w:val="1F095C2A"/>
    <w:rsid w:val="1F0975D8"/>
    <w:rsid w:val="1F0A1D41"/>
    <w:rsid w:val="1F0D246D"/>
    <w:rsid w:val="1F0D7232"/>
    <w:rsid w:val="1F0E1492"/>
    <w:rsid w:val="1F0E3240"/>
    <w:rsid w:val="1F1010AA"/>
    <w:rsid w:val="1F107622"/>
    <w:rsid w:val="1F107A68"/>
    <w:rsid w:val="1F1107BA"/>
    <w:rsid w:val="1F120F82"/>
    <w:rsid w:val="1F122D30"/>
    <w:rsid w:val="1F132604"/>
    <w:rsid w:val="1F1545CE"/>
    <w:rsid w:val="1F1619B2"/>
    <w:rsid w:val="1F170346"/>
    <w:rsid w:val="1F17089A"/>
    <w:rsid w:val="1F170DBA"/>
    <w:rsid w:val="1F172EB5"/>
    <w:rsid w:val="1F173705"/>
    <w:rsid w:val="1F174ED4"/>
    <w:rsid w:val="1F175179"/>
    <w:rsid w:val="1F176598"/>
    <w:rsid w:val="1F182311"/>
    <w:rsid w:val="1F1840BF"/>
    <w:rsid w:val="1F197261"/>
    <w:rsid w:val="1F1A6864"/>
    <w:rsid w:val="1F1A7E37"/>
    <w:rsid w:val="1F1B770B"/>
    <w:rsid w:val="1F1C4344"/>
    <w:rsid w:val="1F1C595D"/>
    <w:rsid w:val="1F1C7CAE"/>
    <w:rsid w:val="1F1D3483"/>
    <w:rsid w:val="1F1D4332"/>
    <w:rsid w:val="1F1F1B7F"/>
    <w:rsid w:val="1F1F2E59"/>
    <w:rsid w:val="1F1F544D"/>
    <w:rsid w:val="1F1F71FB"/>
    <w:rsid w:val="1F204D21"/>
    <w:rsid w:val="1F220A99"/>
    <w:rsid w:val="1F2241D7"/>
    <w:rsid w:val="1F2667DB"/>
    <w:rsid w:val="1F272F1E"/>
    <w:rsid w:val="1F2760B0"/>
    <w:rsid w:val="1F286623"/>
    <w:rsid w:val="1F29007A"/>
    <w:rsid w:val="1F2A3C2A"/>
    <w:rsid w:val="1F2C580E"/>
    <w:rsid w:val="1F2E1684"/>
    <w:rsid w:val="1F2E4862"/>
    <w:rsid w:val="1F2E743E"/>
    <w:rsid w:val="1F2F60A0"/>
    <w:rsid w:val="1F2F7577"/>
    <w:rsid w:val="1F301408"/>
    <w:rsid w:val="1F3031B6"/>
    <w:rsid w:val="1F311B9F"/>
    <w:rsid w:val="1F327C96"/>
    <w:rsid w:val="1F334A54"/>
    <w:rsid w:val="1F345BBF"/>
    <w:rsid w:val="1F354AA7"/>
    <w:rsid w:val="1F354C71"/>
    <w:rsid w:val="1F382E3D"/>
    <w:rsid w:val="1F3843F0"/>
    <w:rsid w:val="1F38517B"/>
    <w:rsid w:val="1F3965AA"/>
    <w:rsid w:val="1F396E36"/>
    <w:rsid w:val="1F3A08CF"/>
    <w:rsid w:val="1F3A2287"/>
    <w:rsid w:val="1F3B22B0"/>
    <w:rsid w:val="1F3C5FFF"/>
    <w:rsid w:val="1F3C6039"/>
    <w:rsid w:val="1F3E18CF"/>
    <w:rsid w:val="1F3E28AA"/>
    <w:rsid w:val="1F3F164B"/>
    <w:rsid w:val="1F3F789D"/>
    <w:rsid w:val="1F401883"/>
    <w:rsid w:val="1F405D72"/>
    <w:rsid w:val="1F406C1C"/>
    <w:rsid w:val="1F417171"/>
    <w:rsid w:val="1F422EEA"/>
    <w:rsid w:val="1F425383"/>
    <w:rsid w:val="1F433613"/>
    <w:rsid w:val="1F446C62"/>
    <w:rsid w:val="1F446D63"/>
    <w:rsid w:val="1F453D88"/>
    <w:rsid w:val="1F4673C3"/>
    <w:rsid w:val="1F470500"/>
    <w:rsid w:val="1F477CC3"/>
    <w:rsid w:val="1F4849A4"/>
    <w:rsid w:val="1F492760"/>
    <w:rsid w:val="1F495552"/>
    <w:rsid w:val="1F4B20D2"/>
    <w:rsid w:val="1F4C6F1D"/>
    <w:rsid w:val="1F4D0C27"/>
    <w:rsid w:val="1F4D3D68"/>
    <w:rsid w:val="1F4E4143"/>
    <w:rsid w:val="1F4F1BB6"/>
    <w:rsid w:val="1F501AAA"/>
    <w:rsid w:val="1F503858"/>
    <w:rsid w:val="1F505606"/>
    <w:rsid w:val="1F511DCC"/>
    <w:rsid w:val="1F525399"/>
    <w:rsid w:val="1F526BE4"/>
    <w:rsid w:val="1F550E6F"/>
    <w:rsid w:val="1F57358B"/>
    <w:rsid w:val="1F58270D"/>
    <w:rsid w:val="1F583DDE"/>
    <w:rsid w:val="1F585875"/>
    <w:rsid w:val="1F586CEC"/>
    <w:rsid w:val="1F590858"/>
    <w:rsid w:val="1F59095F"/>
    <w:rsid w:val="1F5A6485"/>
    <w:rsid w:val="1F5B189A"/>
    <w:rsid w:val="1F5B2C0D"/>
    <w:rsid w:val="1F5C044F"/>
    <w:rsid w:val="1F5C3FAB"/>
    <w:rsid w:val="1F5C654D"/>
    <w:rsid w:val="1F5E70A8"/>
    <w:rsid w:val="1F5F3A9B"/>
    <w:rsid w:val="1F5F56C1"/>
    <w:rsid w:val="1F5F64CF"/>
    <w:rsid w:val="1F6045A9"/>
    <w:rsid w:val="1F617814"/>
    <w:rsid w:val="1F62533A"/>
    <w:rsid w:val="1F642E60"/>
    <w:rsid w:val="1F645556"/>
    <w:rsid w:val="1F647304"/>
    <w:rsid w:val="1F66526C"/>
    <w:rsid w:val="1F687347"/>
    <w:rsid w:val="1F696490"/>
    <w:rsid w:val="1F6A01BE"/>
    <w:rsid w:val="1F6A799F"/>
    <w:rsid w:val="1F6B55A0"/>
    <w:rsid w:val="1F6C45AE"/>
    <w:rsid w:val="1F6D77C8"/>
    <w:rsid w:val="1F6E1F30"/>
    <w:rsid w:val="1F6E1F58"/>
    <w:rsid w:val="1F705CA9"/>
    <w:rsid w:val="1F72081D"/>
    <w:rsid w:val="1F7237CF"/>
    <w:rsid w:val="1F73253F"/>
    <w:rsid w:val="1F74286E"/>
    <w:rsid w:val="1F751511"/>
    <w:rsid w:val="1F7664A2"/>
    <w:rsid w:val="1F770DE5"/>
    <w:rsid w:val="1F775289"/>
    <w:rsid w:val="1F780DC2"/>
    <w:rsid w:val="1F784B5D"/>
    <w:rsid w:val="1F784E52"/>
    <w:rsid w:val="1F792E1F"/>
    <w:rsid w:val="1F79683E"/>
    <w:rsid w:val="1F797D37"/>
    <w:rsid w:val="1F7B0539"/>
    <w:rsid w:val="1F7B4B72"/>
    <w:rsid w:val="1F7B5217"/>
    <w:rsid w:val="1F7B7743"/>
    <w:rsid w:val="1F7C0EE3"/>
    <w:rsid w:val="1F7C1FA5"/>
    <w:rsid w:val="1F7C464D"/>
    <w:rsid w:val="1F7D07B7"/>
    <w:rsid w:val="1F7E2174"/>
    <w:rsid w:val="1F7F058E"/>
    <w:rsid w:val="1F7F413E"/>
    <w:rsid w:val="1F7F7C9A"/>
    <w:rsid w:val="1F803391"/>
    <w:rsid w:val="1F807554"/>
    <w:rsid w:val="1F807700"/>
    <w:rsid w:val="1F8134AD"/>
    <w:rsid w:val="1F841754"/>
    <w:rsid w:val="1F843502"/>
    <w:rsid w:val="1F856EC5"/>
    <w:rsid w:val="1F865281"/>
    <w:rsid w:val="1F8654CC"/>
    <w:rsid w:val="1F892353"/>
    <w:rsid w:val="1F8A4FBC"/>
    <w:rsid w:val="1F8B2AE2"/>
    <w:rsid w:val="1F8B4261"/>
    <w:rsid w:val="1F8B663F"/>
    <w:rsid w:val="1F8D1E7C"/>
    <w:rsid w:val="1F8D383C"/>
    <w:rsid w:val="1F8D4EFF"/>
    <w:rsid w:val="1F8E2FE8"/>
    <w:rsid w:val="1F8F1673"/>
    <w:rsid w:val="1F900295"/>
    <w:rsid w:val="1F901EA7"/>
    <w:rsid w:val="1F907FFE"/>
    <w:rsid w:val="1F914040"/>
    <w:rsid w:val="1F9217D0"/>
    <w:rsid w:val="1F925B7B"/>
    <w:rsid w:val="1F925C1F"/>
    <w:rsid w:val="1F9279CD"/>
    <w:rsid w:val="1F933745"/>
    <w:rsid w:val="1F940113"/>
    <w:rsid w:val="1F941997"/>
    <w:rsid w:val="1F947BE9"/>
    <w:rsid w:val="1F95077E"/>
    <w:rsid w:val="1F9574BD"/>
    <w:rsid w:val="1F96320E"/>
    <w:rsid w:val="1F96426F"/>
    <w:rsid w:val="1F973235"/>
    <w:rsid w:val="1F9736CC"/>
    <w:rsid w:val="1F98484F"/>
    <w:rsid w:val="1F9951FF"/>
    <w:rsid w:val="1F9959A8"/>
    <w:rsid w:val="1F996FAD"/>
    <w:rsid w:val="1F9A2D26"/>
    <w:rsid w:val="1F9C084C"/>
    <w:rsid w:val="1F9E2816"/>
    <w:rsid w:val="1F9F033C"/>
    <w:rsid w:val="1F9F20EA"/>
    <w:rsid w:val="1FA053FD"/>
    <w:rsid w:val="1FA0658E"/>
    <w:rsid w:val="1FA147FC"/>
    <w:rsid w:val="1FA15E62"/>
    <w:rsid w:val="1FA35C9A"/>
    <w:rsid w:val="1FA40093"/>
    <w:rsid w:val="1FA45952"/>
    <w:rsid w:val="1FA4694F"/>
    <w:rsid w:val="1FA54A58"/>
    <w:rsid w:val="1FA601CB"/>
    <w:rsid w:val="1FA60799"/>
    <w:rsid w:val="1FA616CA"/>
    <w:rsid w:val="1FA672D2"/>
    <w:rsid w:val="1FA77D62"/>
    <w:rsid w:val="1FA92F69"/>
    <w:rsid w:val="1FA9427F"/>
    <w:rsid w:val="1FA97BF0"/>
    <w:rsid w:val="1FAB1995"/>
    <w:rsid w:val="1FAB6D2F"/>
    <w:rsid w:val="1FAC6B16"/>
    <w:rsid w:val="1FAE696D"/>
    <w:rsid w:val="1FAF1E5F"/>
    <w:rsid w:val="1FAF3F98"/>
    <w:rsid w:val="1FAF5501"/>
    <w:rsid w:val="1FB060A5"/>
    <w:rsid w:val="1FB10F53"/>
    <w:rsid w:val="1FB170D8"/>
    <w:rsid w:val="1FB2006F"/>
    <w:rsid w:val="1FB35D6F"/>
    <w:rsid w:val="1FB40C06"/>
    <w:rsid w:val="1FB42039"/>
    <w:rsid w:val="1FB43DE7"/>
    <w:rsid w:val="1FB45B95"/>
    <w:rsid w:val="1FB5190D"/>
    <w:rsid w:val="1FB62CA9"/>
    <w:rsid w:val="1FB6316D"/>
    <w:rsid w:val="1FB64D60"/>
    <w:rsid w:val="1FB65425"/>
    <w:rsid w:val="1FB65DB1"/>
    <w:rsid w:val="1FB66063"/>
    <w:rsid w:val="1FB77434"/>
    <w:rsid w:val="1FB931AC"/>
    <w:rsid w:val="1FB97650"/>
    <w:rsid w:val="1FBA3C01"/>
    <w:rsid w:val="1FBA5A84"/>
    <w:rsid w:val="1FBA6E18"/>
    <w:rsid w:val="1FBB0020"/>
    <w:rsid w:val="1FBB2005"/>
    <w:rsid w:val="1FBB33C8"/>
    <w:rsid w:val="1FBC0EEE"/>
    <w:rsid w:val="1FBC2C9C"/>
    <w:rsid w:val="1FBC4A4A"/>
    <w:rsid w:val="1FBC4DE6"/>
    <w:rsid w:val="1FBC503E"/>
    <w:rsid w:val="1FBC56A5"/>
    <w:rsid w:val="1FBD191B"/>
    <w:rsid w:val="1FBD4466"/>
    <w:rsid w:val="1FBF453A"/>
    <w:rsid w:val="1FC03C62"/>
    <w:rsid w:val="1FC102B2"/>
    <w:rsid w:val="1FC20049"/>
    <w:rsid w:val="1FC35DD8"/>
    <w:rsid w:val="1FC41032"/>
    <w:rsid w:val="1FC4521F"/>
    <w:rsid w:val="1FC514BB"/>
    <w:rsid w:val="1FC51F1A"/>
    <w:rsid w:val="1FC55273"/>
    <w:rsid w:val="1FC61CE9"/>
    <w:rsid w:val="1FC63C3B"/>
    <w:rsid w:val="1FC654C7"/>
    <w:rsid w:val="1FC67118"/>
    <w:rsid w:val="1FC830ED"/>
    <w:rsid w:val="1FC971DA"/>
    <w:rsid w:val="1FC975FD"/>
    <w:rsid w:val="1FCA360B"/>
    <w:rsid w:val="1FCB7383"/>
    <w:rsid w:val="1FCC2438"/>
    <w:rsid w:val="1FCD6C57"/>
    <w:rsid w:val="1FCF6E73"/>
    <w:rsid w:val="1FD06747"/>
    <w:rsid w:val="1FD10005"/>
    <w:rsid w:val="1FD20711"/>
    <w:rsid w:val="1FD2426D"/>
    <w:rsid w:val="1FD342AB"/>
    <w:rsid w:val="1FD46237"/>
    <w:rsid w:val="1FD465FD"/>
    <w:rsid w:val="1FD61FB0"/>
    <w:rsid w:val="1FD71884"/>
    <w:rsid w:val="1FD75D28"/>
    <w:rsid w:val="1FDA1374"/>
    <w:rsid w:val="1FDA1F5C"/>
    <w:rsid w:val="1FDA2358"/>
    <w:rsid w:val="1FDA60EA"/>
    <w:rsid w:val="1FDB6D51"/>
    <w:rsid w:val="1FDC333E"/>
    <w:rsid w:val="1FDC564F"/>
    <w:rsid w:val="1FDC6BF8"/>
    <w:rsid w:val="1FDD2B0F"/>
    <w:rsid w:val="1FDD539E"/>
    <w:rsid w:val="1FDE7F6F"/>
    <w:rsid w:val="1FDF0FA7"/>
    <w:rsid w:val="1FDF3D58"/>
    <w:rsid w:val="1FE01FA9"/>
    <w:rsid w:val="1FE02E2E"/>
    <w:rsid w:val="1FE04BDC"/>
    <w:rsid w:val="1FE10954"/>
    <w:rsid w:val="1FE13D1F"/>
    <w:rsid w:val="1FE305D3"/>
    <w:rsid w:val="1FE3647B"/>
    <w:rsid w:val="1FE43FA1"/>
    <w:rsid w:val="1FE458E0"/>
    <w:rsid w:val="1FE67D19"/>
    <w:rsid w:val="1FE738CC"/>
    <w:rsid w:val="1FE81CE3"/>
    <w:rsid w:val="1FE829A0"/>
    <w:rsid w:val="1FE83A91"/>
    <w:rsid w:val="1FE9388F"/>
    <w:rsid w:val="1FE93B8D"/>
    <w:rsid w:val="1FEA7809"/>
    <w:rsid w:val="1FEC17D3"/>
    <w:rsid w:val="1FED2FE2"/>
    <w:rsid w:val="1FED554B"/>
    <w:rsid w:val="1FEF3071"/>
    <w:rsid w:val="1FF02946"/>
    <w:rsid w:val="1FF22B62"/>
    <w:rsid w:val="1FF24910"/>
    <w:rsid w:val="1FF24D88"/>
    <w:rsid w:val="1FF468DA"/>
    <w:rsid w:val="1FF561AE"/>
    <w:rsid w:val="1FF70B16"/>
    <w:rsid w:val="1FF73CD4"/>
    <w:rsid w:val="1FF80C7E"/>
    <w:rsid w:val="1FF82F2B"/>
    <w:rsid w:val="1FF94BE6"/>
    <w:rsid w:val="1FF9634F"/>
    <w:rsid w:val="1FF97A4C"/>
    <w:rsid w:val="1FFA6007"/>
    <w:rsid w:val="1FFB1A16"/>
    <w:rsid w:val="1FFB1A76"/>
    <w:rsid w:val="1FFC696B"/>
    <w:rsid w:val="1FFE1506"/>
    <w:rsid w:val="1FFE56A7"/>
    <w:rsid w:val="2000527E"/>
    <w:rsid w:val="20014B53"/>
    <w:rsid w:val="2002736A"/>
    <w:rsid w:val="20033076"/>
    <w:rsid w:val="2003681F"/>
    <w:rsid w:val="20036B1D"/>
    <w:rsid w:val="20040E67"/>
    <w:rsid w:val="20042B04"/>
    <w:rsid w:val="20054154"/>
    <w:rsid w:val="200545EF"/>
    <w:rsid w:val="20054643"/>
    <w:rsid w:val="20055CEB"/>
    <w:rsid w:val="20062169"/>
    <w:rsid w:val="2006518E"/>
    <w:rsid w:val="20073144"/>
    <w:rsid w:val="20074CCE"/>
    <w:rsid w:val="2007660D"/>
    <w:rsid w:val="2009466C"/>
    <w:rsid w:val="200B594D"/>
    <w:rsid w:val="200C18AC"/>
    <w:rsid w:val="200C3C23"/>
    <w:rsid w:val="200D34F7"/>
    <w:rsid w:val="200D4E05"/>
    <w:rsid w:val="200D71B8"/>
    <w:rsid w:val="200F0AA4"/>
    <w:rsid w:val="20104D96"/>
    <w:rsid w:val="2011123A"/>
    <w:rsid w:val="20112C94"/>
    <w:rsid w:val="20112FE8"/>
    <w:rsid w:val="201176A9"/>
    <w:rsid w:val="20124E89"/>
    <w:rsid w:val="20126D60"/>
    <w:rsid w:val="20142AD8"/>
    <w:rsid w:val="20144886"/>
    <w:rsid w:val="201553A4"/>
    <w:rsid w:val="201605FE"/>
    <w:rsid w:val="201648E9"/>
    <w:rsid w:val="201725C8"/>
    <w:rsid w:val="2017552F"/>
    <w:rsid w:val="20177D4F"/>
    <w:rsid w:val="20181E6A"/>
    <w:rsid w:val="201A2AFF"/>
    <w:rsid w:val="201C2430"/>
    <w:rsid w:val="201D018C"/>
    <w:rsid w:val="201D3F72"/>
    <w:rsid w:val="201E15E0"/>
    <w:rsid w:val="201F0C93"/>
    <w:rsid w:val="2020322B"/>
    <w:rsid w:val="202033B2"/>
    <w:rsid w:val="202058FD"/>
    <w:rsid w:val="20216C0A"/>
    <w:rsid w:val="20216FA3"/>
    <w:rsid w:val="2022581D"/>
    <w:rsid w:val="20230F6D"/>
    <w:rsid w:val="20232D1B"/>
    <w:rsid w:val="20246CF3"/>
    <w:rsid w:val="20251903"/>
    <w:rsid w:val="20254CE5"/>
    <w:rsid w:val="20256A93"/>
    <w:rsid w:val="20270A5D"/>
    <w:rsid w:val="2027280B"/>
    <w:rsid w:val="202773F9"/>
    <w:rsid w:val="20281085"/>
    <w:rsid w:val="20291890"/>
    <w:rsid w:val="2029725D"/>
    <w:rsid w:val="202A22FB"/>
    <w:rsid w:val="202A5E57"/>
    <w:rsid w:val="202B56B1"/>
    <w:rsid w:val="202D5948"/>
    <w:rsid w:val="202D76F6"/>
    <w:rsid w:val="202E0AF3"/>
    <w:rsid w:val="202E4B7E"/>
    <w:rsid w:val="202F3E48"/>
    <w:rsid w:val="202F6ECB"/>
    <w:rsid w:val="203023E8"/>
    <w:rsid w:val="203211B0"/>
    <w:rsid w:val="203257C2"/>
    <w:rsid w:val="2033191C"/>
    <w:rsid w:val="203436FB"/>
    <w:rsid w:val="20344F28"/>
    <w:rsid w:val="20345C84"/>
    <w:rsid w:val="20360CA0"/>
    <w:rsid w:val="20364B19"/>
    <w:rsid w:val="203728F9"/>
    <w:rsid w:val="2038288D"/>
    <w:rsid w:val="20384A18"/>
    <w:rsid w:val="20391377"/>
    <w:rsid w:val="20397070"/>
    <w:rsid w:val="203B62B7"/>
    <w:rsid w:val="203E5DA7"/>
    <w:rsid w:val="203F7955"/>
    <w:rsid w:val="20401B1F"/>
    <w:rsid w:val="204038CD"/>
    <w:rsid w:val="2041336D"/>
    <w:rsid w:val="204213F3"/>
    <w:rsid w:val="204333BD"/>
    <w:rsid w:val="20444CF5"/>
    <w:rsid w:val="204505AD"/>
    <w:rsid w:val="20457135"/>
    <w:rsid w:val="20472252"/>
    <w:rsid w:val="20474C5B"/>
    <w:rsid w:val="20476A09"/>
    <w:rsid w:val="204809D3"/>
    <w:rsid w:val="20484530"/>
    <w:rsid w:val="204A13B0"/>
    <w:rsid w:val="204A5568"/>
    <w:rsid w:val="204A64FA"/>
    <w:rsid w:val="204C4020"/>
    <w:rsid w:val="204D1A8C"/>
    <w:rsid w:val="204D7D98"/>
    <w:rsid w:val="204E3C0A"/>
    <w:rsid w:val="204F1D62"/>
    <w:rsid w:val="205058CB"/>
    <w:rsid w:val="20507C20"/>
    <w:rsid w:val="20515ADA"/>
    <w:rsid w:val="20533B65"/>
    <w:rsid w:val="20541126"/>
    <w:rsid w:val="20542ED4"/>
    <w:rsid w:val="20545A28"/>
    <w:rsid w:val="20557672"/>
    <w:rsid w:val="205630F0"/>
    <w:rsid w:val="205660DC"/>
    <w:rsid w:val="20570DB0"/>
    <w:rsid w:val="205729C5"/>
    <w:rsid w:val="2057323A"/>
    <w:rsid w:val="2058272B"/>
    <w:rsid w:val="20585C92"/>
    <w:rsid w:val="20586E69"/>
    <w:rsid w:val="205904EB"/>
    <w:rsid w:val="2059498F"/>
    <w:rsid w:val="2059673D"/>
    <w:rsid w:val="205B24B5"/>
    <w:rsid w:val="205C7FDB"/>
    <w:rsid w:val="205D003D"/>
    <w:rsid w:val="205D622D"/>
    <w:rsid w:val="205D686F"/>
    <w:rsid w:val="205D7CC4"/>
    <w:rsid w:val="20603B46"/>
    <w:rsid w:val="20616F31"/>
    <w:rsid w:val="20633B36"/>
    <w:rsid w:val="2063580D"/>
    <w:rsid w:val="20651585"/>
    <w:rsid w:val="20653333"/>
    <w:rsid w:val="20656A2F"/>
    <w:rsid w:val="20656D9A"/>
    <w:rsid w:val="206671ED"/>
    <w:rsid w:val="20670E5A"/>
    <w:rsid w:val="20670FFE"/>
    <w:rsid w:val="20672C08"/>
    <w:rsid w:val="20685901"/>
    <w:rsid w:val="20685E61"/>
    <w:rsid w:val="2069107C"/>
    <w:rsid w:val="206A1131"/>
    <w:rsid w:val="206A26F8"/>
    <w:rsid w:val="206A3341"/>
    <w:rsid w:val="206A6B9C"/>
    <w:rsid w:val="206C2914"/>
    <w:rsid w:val="206C3F6D"/>
    <w:rsid w:val="206C6329"/>
    <w:rsid w:val="206D21E8"/>
    <w:rsid w:val="206D2EEF"/>
    <w:rsid w:val="206E3463"/>
    <w:rsid w:val="206F1FB7"/>
    <w:rsid w:val="20706A7C"/>
    <w:rsid w:val="20717F2A"/>
    <w:rsid w:val="2073172C"/>
    <w:rsid w:val="2073362B"/>
    <w:rsid w:val="207417C9"/>
    <w:rsid w:val="20743577"/>
    <w:rsid w:val="207505F8"/>
    <w:rsid w:val="2079749D"/>
    <w:rsid w:val="207B4905"/>
    <w:rsid w:val="207D46DD"/>
    <w:rsid w:val="207E61A3"/>
    <w:rsid w:val="20801F1B"/>
    <w:rsid w:val="20803CC9"/>
    <w:rsid w:val="20807D4E"/>
    <w:rsid w:val="20815C2F"/>
    <w:rsid w:val="20820F9A"/>
    <w:rsid w:val="20825B9D"/>
    <w:rsid w:val="20831A0C"/>
    <w:rsid w:val="20842C52"/>
    <w:rsid w:val="20847C5E"/>
    <w:rsid w:val="20857532"/>
    <w:rsid w:val="20872B6B"/>
    <w:rsid w:val="208732AA"/>
    <w:rsid w:val="208903E6"/>
    <w:rsid w:val="20894213"/>
    <w:rsid w:val="20896F92"/>
    <w:rsid w:val="208A159F"/>
    <w:rsid w:val="208A2D9A"/>
    <w:rsid w:val="208B79E5"/>
    <w:rsid w:val="208C08C0"/>
    <w:rsid w:val="208E0233"/>
    <w:rsid w:val="208F53EE"/>
    <w:rsid w:val="2090422C"/>
    <w:rsid w:val="2090637B"/>
    <w:rsid w:val="2091237A"/>
    <w:rsid w:val="209150AE"/>
    <w:rsid w:val="20920044"/>
    <w:rsid w:val="209239FD"/>
    <w:rsid w:val="20931C4F"/>
    <w:rsid w:val="20945682"/>
    <w:rsid w:val="20956EBF"/>
    <w:rsid w:val="20957617"/>
    <w:rsid w:val="20961854"/>
    <w:rsid w:val="20963186"/>
    <w:rsid w:val="20965950"/>
    <w:rsid w:val="20971013"/>
    <w:rsid w:val="2097158A"/>
    <w:rsid w:val="209721BD"/>
    <w:rsid w:val="20977E55"/>
    <w:rsid w:val="20981450"/>
    <w:rsid w:val="20987265"/>
    <w:rsid w:val="209A67D6"/>
    <w:rsid w:val="209C58AE"/>
    <w:rsid w:val="209D2ACD"/>
    <w:rsid w:val="209D6898"/>
    <w:rsid w:val="209E23A2"/>
    <w:rsid w:val="209E23AE"/>
    <w:rsid w:val="209F6845"/>
    <w:rsid w:val="20A02648"/>
    <w:rsid w:val="20A029BE"/>
    <w:rsid w:val="20A16408"/>
    <w:rsid w:val="20A166A9"/>
    <w:rsid w:val="20A200E4"/>
    <w:rsid w:val="20A205DE"/>
    <w:rsid w:val="20A34028"/>
    <w:rsid w:val="20A437BD"/>
    <w:rsid w:val="20A51982"/>
    <w:rsid w:val="20A53730"/>
    <w:rsid w:val="20A53F67"/>
    <w:rsid w:val="20A756FA"/>
    <w:rsid w:val="20A83220"/>
    <w:rsid w:val="20A870AD"/>
    <w:rsid w:val="20A94E3B"/>
    <w:rsid w:val="20AA343C"/>
    <w:rsid w:val="20AA51EA"/>
    <w:rsid w:val="20AA6F98"/>
    <w:rsid w:val="20AB07A1"/>
    <w:rsid w:val="20AD0837"/>
    <w:rsid w:val="20AD23E0"/>
    <w:rsid w:val="20AE4CDA"/>
    <w:rsid w:val="20AF0487"/>
    <w:rsid w:val="20B147CB"/>
    <w:rsid w:val="20B14ECC"/>
    <w:rsid w:val="20B16579"/>
    <w:rsid w:val="20B322F1"/>
    <w:rsid w:val="20B37242"/>
    <w:rsid w:val="20B51A11"/>
    <w:rsid w:val="20B51B38"/>
    <w:rsid w:val="20B51E56"/>
    <w:rsid w:val="20B63958"/>
    <w:rsid w:val="20B6593D"/>
    <w:rsid w:val="20B81D5F"/>
    <w:rsid w:val="20B9542D"/>
    <w:rsid w:val="20BA367F"/>
    <w:rsid w:val="20BA4E79"/>
    <w:rsid w:val="20BB0707"/>
    <w:rsid w:val="20BB0BC7"/>
    <w:rsid w:val="20BB2F53"/>
    <w:rsid w:val="20BB73F7"/>
    <w:rsid w:val="20BC1AAC"/>
    <w:rsid w:val="20BC2078"/>
    <w:rsid w:val="20BC50D1"/>
    <w:rsid w:val="20BC7B42"/>
    <w:rsid w:val="20BD4F1E"/>
    <w:rsid w:val="20BE2A44"/>
    <w:rsid w:val="20BE47F2"/>
    <w:rsid w:val="20BE576C"/>
    <w:rsid w:val="20BF0C96"/>
    <w:rsid w:val="20C04A0E"/>
    <w:rsid w:val="20C067BC"/>
    <w:rsid w:val="20C076C0"/>
    <w:rsid w:val="20C22534"/>
    <w:rsid w:val="20C242E2"/>
    <w:rsid w:val="20C52024"/>
    <w:rsid w:val="20C53DD2"/>
    <w:rsid w:val="20C54081"/>
    <w:rsid w:val="20C57494"/>
    <w:rsid w:val="20C6300A"/>
    <w:rsid w:val="20C642E9"/>
    <w:rsid w:val="20C67591"/>
    <w:rsid w:val="20C75D9C"/>
    <w:rsid w:val="20C80F25"/>
    <w:rsid w:val="20C91B14"/>
    <w:rsid w:val="20CA7543"/>
    <w:rsid w:val="20CB6FEE"/>
    <w:rsid w:val="20CC00A9"/>
    <w:rsid w:val="20CC33B3"/>
    <w:rsid w:val="20CC5A31"/>
    <w:rsid w:val="20CE0BB9"/>
    <w:rsid w:val="20CE2C87"/>
    <w:rsid w:val="20CE712B"/>
    <w:rsid w:val="20CF4C51"/>
    <w:rsid w:val="20CF69FF"/>
    <w:rsid w:val="20D038C2"/>
    <w:rsid w:val="20D109C9"/>
    <w:rsid w:val="20D3029D"/>
    <w:rsid w:val="20D377C2"/>
    <w:rsid w:val="20D41538"/>
    <w:rsid w:val="20D44015"/>
    <w:rsid w:val="20D471CE"/>
    <w:rsid w:val="20D47DF7"/>
    <w:rsid w:val="20D504B9"/>
    <w:rsid w:val="20D52267"/>
    <w:rsid w:val="20D61B3B"/>
    <w:rsid w:val="20D65FDF"/>
    <w:rsid w:val="20D67D8D"/>
    <w:rsid w:val="20D81D57"/>
    <w:rsid w:val="20D86C97"/>
    <w:rsid w:val="20D927D9"/>
    <w:rsid w:val="20DA77B3"/>
    <w:rsid w:val="20DB5D23"/>
    <w:rsid w:val="20DD2ECA"/>
    <w:rsid w:val="20DD736E"/>
    <w:rsid w:val="20DF4E94"/>
    <w:rsid w:val="20E00C0C"/>
    <w:rsid w:val="20E26732"/>
    <w:rsid w:val="20E56222"/>
    <w:rsid w:val="20E64474"/>
    <w:rsid w:val="20E7303F"/>
    <w:rsid w:val="20E73D48"/>
    <w:rsid w:val="20E863F3"/>
    <w:rsid w:val="20E87BC4"/>
    <w:rsid w:val="20E91069"/>
    <w:rsid w:val="20E92D0F"/>
    <w:rsid w:val="20E97AC1"/>
    <w:rsid w:val="20EB1075"/>
    <w:rsid w:val="20EB1A8B"/>
    <w:rsid w:val="20EC135F"/>
    <w:rsid w:val="20EC3711"/>
    <w:rsid w:val="20EC75B1"/>
    <w:rsid w:val="20ED20DF"/>
    <w:rsid w:val="20EF0E4F"/>
    <w:rsid w:val="20EF2BFD"/>
    <w:rsid w:val="20F053BA"/>
    <w:rsid w:val="20F070A1"/>
    <w:rsid w:val="20F075D0"/>
    <w:rsid w:val="20F126F3"/>
    <w:rsid w:val="20F12E19"/>
    <w:rsid w:val="20F14BC7"/>
    <w:rsid w:val="20F17404"/>
    <w:rsid w:val="20F20A14"/>
    <w:rsid w:val="20F3093F"/>
    <w:rsid w:val="20F326ED"/>
    <w:rsid w:val="20F33AB0"/>
    <w:rsid w:val="20F52909"/>
    <w:rsid w:val="20F546B7"/>
    <w:rsid w:val="20F55121"/>
    <w:rsid w:val="20F621DE"/>
    <w:rsid w:val="20F75857"/>
    <w:rsid w:val="20F817C5"/>
    <w:rsid w:val="20F85F56"/>
    <w:rsid w:val="20F87D04"/>
    <w:rsid w:val="20FA1CCE"/>
    <w:rsid w:val="20FA7F20"/>
    <w:rsid w:val="20FC3C98"/>
    <w:rsid w:val="20FF347B"/>
    <w:rsid w:val="20FF44F4"/>
    <w:rsid w:val="20FF5536"/>
    <w:rsid w:val="20FF7F83"/>
    <w:rsid w:val="21004B7F"/>
    <w:rsid w:val="21004E0A"/>
    <w:rsid w:val="21020B82"/>
    <w:rsid w:val="21026DD4"/>
    <w:rsid w:val="21042B4C"/>
    <w:rsid w:val="210448FA"/>
    <w:rsid w:val="210466A8"/>
    <w:rsid w:val="21046ED6"/>
    <w:rsid w:val="2105039F"/>
    <w:rsid w:val="21063405"/>
    <w:rsid w:val="2107263D"/>
    <w:rsid w:val="21076199"/>
    <w:rsid w:val="21090177"/>
    <w:rsid w:val="21093CBF"/>
    <w:rsid w:val="210963B5"/>
    <w:rsid w:val="210A48F8"/>
    <w:rsid w:val="210A528D"/>
    <w:rsid w:val="210A61A8"/>
    <w:rsid w:val="210A7A37"/>
    <w:rsid w:val="210D1AC0"/>
    <w:rsid w:val="210D40C9"/>
    <w:rsid w:val="210E2B59"/>
    <w:rsid w:val="210E7527"/>
    <w:rsid w:val="21101F15"/>
    <w:rsid w:val="21104A68"/>
    <w:rsid w:val="21110DC5"/>
    <w:rsid w:val="21116909"/>
    <w:rsid w:val="21127525"/>
    <w:rsid w:val="21132D8F"/>
    <w:rsid w:val="21156B08"/>
    <w:rsid w:val="21160797"/>
    <w:rsid w:val="21167FB1"/>
    <w:rsid w:val="21170412"/>
    <w:rsid w:val="2117277B"/>
    <w:rsid w:val="211A2370"/>
    <w:rsid w:val="211C60E8"/>
    <w:rsid w:val="211C7E96"/>
    <w:rsid w:val="211D776A"/>
    <w:rsid w:val="211E7A7D"/>
    <w:rsid w:val="2120725A"/>
    <w:rsid w:val="21240AF9"/>
    <w:rsid w:val="21244F9D"/>
    <w:rsid w:val="21246D4B"/>
    <w:rsid w:val="21247DED"/>
    <w:rsid w:val="21252022"/>
    <w:rsid w:val="21256885"/>
    <w:rsid w:val="21260152"/>
    <w:rsid w:val="2126121F"/>
    <w:rsid w:val="212733E0"/>
    <w:rsid w:val="21274A8D"/>
    <w:rsid w:val="21283172"/>
    <w:rsid w:val="212925B3"/>
    <w:rsid w:val="2129610F"/>
    <w:rsid w:val="212A1E87"/>
    <w:rsid w:val="212B00D9"/>
    <w:rsid w:val="212D20A3"/>
    <w:rsid w:val="212E3725"/>
    <w:rsid w:val="212E5E1B"/>
    <w:rsid w:val="212F1707"/>
    <w:rsid w:val="212F5496"/>
    <w:rsid w:val="21313D50"/>
    <w:rsid w:val="21316869"/>
    <w:rsid w:val="213276BA"/>
    <w:rsid w:val="21354AB4"/>
    <w:rsid w:val="213571AA"/>
    <w:rsid w:val="21366A7E"/>
    <w:rsid w:val="21374CD0"/>
    <w:rsid w:val="213811A2"/>
    <w:rsid w:val="213853C0"/>
    <w:rsid w:val="213A656E"/>
    <w:rsid w:val="213B2D62"/>
    <w:rsid w:val="213B446C"/>
    <w:rsid w:val="213C2266"/>
    <w:rsid w:val="213C22E6"/>
    <w:rsid w:val="213D7939"/>
    <w:rsid w:val="213F1DD6"/>
    <w:rsid w:val="213F5933"/>
    <w:rsid w:val="21400970"/>
    <w:rsid w:val="214148B0"/>
    <w:rsid w:val="21425423"/>
    <w:rsid w:val="21434C07"/>
    <w:rsid w:val="2144119B"/>
    <w:rsid w:val="21442C28"/>
    <w:rsid w:val="21445E15"/>
    <w:rsid w:val="214611D6"/>
    <w:rsid w:val="21464F13"/>
    <w:rsid w:val="21466CC1"/>
    <w:rsid w:val="21472A39"/>
    <w:rsid w:val="21474436"/>
    <w:rsid w:val="21487696"/>
    <w:rsid w:val="2149055F"/>
    <w:rsid w:val="21494A03"/>
    <w:rsid w:val="214967B1"/>
    <w:rsid w:val="214A01DA"/>
    <w:rsid w:val="214B42D7"/>
    <w:rsid w:val="214C3493"/>
    <w:rsid w:val="214C62A1"/>
    <w:rsid w:val="214D2E25"/>
    <w:rsid w:val="214E201A"/>
    <w:rsid w:val="214E5B76"/>
    <w:rsid w:val="21507B40"/>
    <w:rsid w:val="21511470"/>
    <w:rsid w:val="21515666"/>
    <w:rsid w:val="21521E4A"/>
    <w:rsid w:val="215313DE"/>
    <w:rsid w:val="21534D47"/>
    <w:rsid w:val="21537630"/>
    <w:rsid w:val="2155227B"/>
    <w:rsid w:val="215634F2"/>
    <w:rsid w:val="21583E21"/>
    <w:rsid w:val="21584C46"/>
    <w:rsid w:val="2158623E"/>
    <w:rsid w:val="21586D55"/>
    <w:rsid w:val="215950FE"/>
    <w:rsid w:val="215A09BE"/>
    <w:rsid w:val="215A39BD"/>
    <w:rsid w:val="215B0293"/>
    <w:rsid w:val="215B115F"/>
    <w:rsid w:val="215C66D7"/>
    <w:rsid w:val="215E346A"/>
    <w:rsid w:val="215E639F"/>
    <w:rsid w:val="215F74EC"/>
    <w:rsid w:val="2160459C"/>
    <w:rsid w:val="216058A9"/>
    <w:rsid w:val="21610606"/>
    <w:rsid w:val="21613AFB"/>
    <w:rsid w:val="216169B0"/>
    <w:rsid w:val="21634839"/>
    <w:rsid w:val="21635AC5"/>
    <w:rsid w:val="2164183D"/>
    <w:rsid w:val="216760EC"/>
    <w:rsid w:val="21676C37"/>
    <w:rsid w:val="216830DB"/>
    <w:rsid w:val="2169150D"/>
    <w:rsid w:val="216929AF"/>
    <w:rsid w:val="216A6083"/>
    <w:rsid w:val="216B2BCB"/>
    <w:rsid w:val="216B6728"/>
    <w:rsid w:val="216C049B"/>
    <w:rsid w:val="216C5F29"/>
    <w:rsid w:val="216D0479"/>
    <w:rsid w:val="216D0504"/>
    <w:rsid w:val="216D6944"/>
    <w:rsid w:val="216E446A"/>
    <w:rsid w:val="217001E2"/>
    <w:rsid w:val="21701EF5"/>
    <w:rsid w:val="217039AE"/>
    <w:rsid w:val="21725571"/>
    <w:rsid w:val="21725764"/>
    <w:rsid w:val="21725D08"/>
    <w:rsid w:val="21751354"/>
    <w:rsid w:val="21752221"/>
    <w:rsid w:val="217611B8"/>
    <w:rsid w:val="21761FCB"/>
    <w:rsid w:val="21771570"/>
    <w:rsid w:val="21771E62"/>
    <w:rsid w:val="217750CC"/>
    <w:rsid w:val="21775AB6"/>
    <w:rsid w:val="21780E44"/>
    <w:rsid w:val="2178581B"/>
    <w:rsid w:val="217912BF"/>
    <w:rsid w:val="21791AE4"/>
    <w:rsid w:val="217C0935"/>
    <w:rsid w:val="217C71E2"/>
    <w:rsid w:val="217E28FF"/>
    <w:rsid w:val="2181011F"/>
    <w:rsid w:val="2181419D"/>
    <w:rsid w:val="21831CA2"/>
    <w:rsid w:val="21835C54"/>
    <w:rsid w:val="21837F15"/>
    <w:rsid w:val="21845A3B"/>
    <w:rsid w:val="2185292D"/>
    <w:rsid w:val="218824AF"/>
    <w:rsid w:val="21894E00"/>
    <w:rsid w:val="218B0B78"/>
    <w:rsid w:val="218C3241"/>
    <w:rsid w:val="218C7A61"/>
    <w:rsid w:val="218D1EF8"/>
    <w:rsid w:val="218D4AC6"/>
    <w:rsid w:val="218D5AB1"/>
    <w:rsid w:val="218E0668"/>
    <w:rsid w:val="218E25A7"/>
    <w:rsid w:val="21902632"/>
    <w:rsid w:val="21902A97"/>
    <w:rsid w:val="219043E0"/>
    <w:rsid w:val="21921F06"/>
    <w:rsid w:val="219328BD"/>
    <w:rsid w:val="2193671F"/>
    <w:rsid w:val="219519F6"/>
    <w:rsid w:val="219537A4"/>
    <w:rsid w:val="21960CEA"/>
    <w:rsid w:val="219676E9"/>
    <w:rsid w:val="21967DBF"/>
    <w:rsid w:val="219739C1"/>
    <w:rsid w:val="2197576F"/>
    <w:rsid w:val="21981101"/>
    <w:rsid w:val="219914E7"/>
    <w:rsid w:val="219A525F"/>
    <w:rsid w:val="219C3981"/>
    <w:rsid w:val="219C4283"/>
    <w:rsid w:val="219C4B33"/>
    <w:rsid w:val="219C619B"/>
    <w:rsid w:val="219D08AB"/>
    <w:rsid w:val="219D7801"/>
    <w:rsid w:val="219E4D4F"/>
    <w:rsid w:val="219F2875"/>
    <w:rsid w:val="219F63D1"/>
    <w:rsid w:val="219F6403"/>
    <w:rsid w:val="21A112B2"/>
    <w:rsid w:val="21A1165B"/>
    <w:rsid w:val="21A12149"/>
    <w:rsid w:val="21A133DE"/>
    <w:rsid w:val="21A30807"/>
    <w:rsid w:val="21A32365"/>
    <w:rsid w:val="21A34113"/>
    <w:rsid w:val="21A460DD"/>
    <w:rsid w:val="21A47E8B"/>
    <w:rsid w:val="21A6469D"/>
    <w:rsid w:val="21A7055E"/>
    <w:rsid w:val="21A71D59"/>
    <w:rsid w:val="21A734D8"/>
    <w:rsid w:val="21A74FEB"/>
    <w:rsid w:val="21A8172A"/>
    <w:rsid w:val="21A82844"/>
    <w:rsid w:val="21A864C6"/>
    <w:rsid w:val="21A92A79"/>
    <w:rsid w:val="21A97250"/>
    <w:rsid w:val="21A97C7E"/>
    <w:rsid w:val="21AB121A"/>
    <w:rsid w:val="21AB64FA"/>
    <w:rsid w:val="21AE4866"/>
    <w:rsid w:val="21AE4B3C"/>
    <w:rsid w:val="21AF458F"/>
    <w:rsid w:val="21B037EE"/>
    <w:rsid w:val="21B07443"/>
    <w:rsid w:val="21B1679F"/>
    <w:rsid w:val="21B207FA"/>
    <w:rsid w:val="21B26104"/>
    <w:rsid w:val="21B26986"/>
    <w:rsid w:val="21B31E7D"/>
    <w:rsid w:val="21B31F32"/>
    <w:rsid w:val="21B43F2C"/>
    <w:rsid w:val="21B45B5C"/>
    <w:rsid w:val="21B5587E"/>
    <w:rsid w:val="21B6105F"/>
    <w:rsid w:val="21B7196D"/>
    <w:rsid w:val="21B87493"/>
    <w:rsid w:val="21B9043A"/>
    <w:rsid w:val="21B93937"/>
    <w:rsid w:val="21BA145D"/>
    <w:rsid w:val="21BB14C0"/>
    <w:rsid w:val="21BE2E1C"/>
    <w:rsid w:val="21BE719F"/>
    <w:rsid w:val="21BE7934"/>
    <w:rsid w:val="21BF0821"/>
    <w:rsid w:val="21C0573C"/>
    <w:rsid w:val="21C1030D"/>
    <w:rsid w:val="21C1154E"/>
    <w:rsid w:val="21C1459A"/>
    <w:rsid w:val="21C30312"/>
    <w:rsid w:val="21C332F1"/>
    <w:rsid w:val="21C347B6"/>
    <w:rsid w:val="21C36564"/>
    <w:rsid w:val="21C4457A"/>
    <w:rsid w:val="21C46C8E"/>
    <w:rsid w:val="21C508B2"/>
    <w:rsid w:val="21C66054"/>
    <w:rsid w:val="21C67E02"/>
    <w:rsid w:val="21CA5B44"/>
    <w:rsid w:val="21CB3F90"/>
    <w:rsid w:val="21CB5418"/>
    <w:rsid w:val="21CB6A87"/>
    <w:rsid w:val="21CB71C6"/>
    <w:rsid w:val="21CD75BD"/>
    <w:rsid w:val="21CE276A"/>
    <w:rsid w:val="21CE6067"/>
    <w:rsid w:val="21CE6E5F"/>
    <w:rsid w:val="21CF315A"/>
    <w:rsid w:val="21D02A2F"/>
    <w:rsid w:val="21D1305D"/>
    <w:rsid w:val="21D150D7"/>
    <w:rsid w:val="21D267A7"/>
    <w:rsid w:val="21D27B51"/>
    <w:rsid w:val="21D50045"/>
    <w:rsid w:val="21D564DB"/>
    <w:rsid w:val="21D56729"/>
    <w:rsid w:val="21D65B90"/>
    <w:rsid w:val="21D67962"/>
    <w:rsid w:val="21D7200F"/>
    <w:rsid w:val="21D73DBD"/>
    <w:rsid w:val="21D8332C"/>
    <w:rsid w:val="21D97B35"/>
    <w:rsid w:val="21DA38AD"/>
    <w:rsid w:val="21DB2344"/>
    <w:rsid w:val="21DB7773"/>
    <w:rsid w:val="21DB7927"/>
    <w:rsid w:val="21DC00A0"/>
    <w:rsid w:val="21DC5877"/>
    <w:rsid w:val="21DD6EFA"/>
    <w:rsid w:val="21DD7236"/>
    <w:rsid w:val="21DF0EC4"/>
    <w:rsid w:val="21E12E8E"/>
    <w:rsid w:val="21E157EA"/>
    <w:rsid w:val="21E15C64"/>
    <w:rsid w:val="21E23484"/>
    <w:rsid w:val="21E259DA"/>
    <w:rsid w:val="21E309B4"/>
    <w:rsid w:val="21E32762"/>
    <w:rsid w:val="21E33899"/>
    <w:rsid w:val="21E36C06"/>
    <w:rsid w:val="21E40288"/>
    <w:rsid w:val="21E44B37"/>
    <w:rsid w:val="21E533F6"/>
    <w:rsid w:val="21E604A4"/>
    <w:rsid w:val="21E60B98"/>
    <w:rsid w:val="21E62252"/>
    <w:rsid w:val="21E8783B"/>
    <w:rsid w:val="21E93AF0"/>
    <w:rsid w:val="21EC0A7B"/>
    <w:rsid w:val="21ED1206"/>
    <w:rsid w:val="21ED1832"/>
    <w:rsid w:val="21ED538F"/>
    <w:rsid w:val="21EE0C3D"/>
    <w:rsid w:val="21EF1EBF"/>
    <w:rsid w:val="21EF55AB"/>
    <w:rsid w:val="21EF7079"/>
    <w:rsid w:val="21F039A6"/>
    <w:rsid w:val="21F15CAB"/>
    <w:rsid w:val="21F169D8"/>
    <w:rsid w:val="21F32933"/>
    <w:rsid w:val="21F32E9B"/>
    <w:rsid w:val="21F35640"/>
    <w:rsid w:val="21F4496F"/>
    <w:rsid w:val="21F4671D"/>
    <w:rsid w:val="21F506E7"/>
    <w:rsid w:val="21F52495"/>
    <w:rsid w:val="21F67A7F"/>
    <w:rsid w:val="21F7025F"/>
    <w:rsid w:val="21F75362"/>
    <w:rsid w:val="21F7620D"/>
    <w:rsid w:val="21F901D7"/>
    <w:rsid w:val="21F91F85"/>
    <w:rsid w:val="21FA3120"/>
    <w:rsid w:val="21FB3F4F"/>
    <w:rsid w:val="21FC0DF0"/>
    <w:rsid w:val="21FC7CC7"/>
    <w:rsid w:val="21FD6A0F"/>
    <w:rsid w:val="21FE759C"/>
    <w:rsid w:val="22001566"/>
    <w:rsid w:val="2201128C"/>
    <w:rsid w:val="22034BB2"/>
    <w:rsid w:val="220628F4"/>
    <w:rsid w:val="220646A2"/>
    <w:rsid w:val="220719F4"/>
    <w:rsid w:val="220A5F40"/>
    <w:rsid w:val="220B1D4A"/>
    <w:rsid w:val="220B214E"/>
    <w:rsid w:val="220B4D17"/>
    <w:rsid w:val="220D77DF"/>
    <w:rsid w:val="220F716F"/>
    <w:rsid w:val="2210107D"/>
    <w:rsid w:val="221026C4"/>
    <w:rsid w:val="22123047"/>
    <w:rsid w:val="221304BC"/>
    <w:rsid w:val="22140B6D"/>
    <w:rsid w:val="22140C80"/>
    <w:rsid w:val="221548E5"/>
    <w:rsid w:val="221768AF"/>
    <w:rsid w:val="221779C6"/>
    <w:rsid w:val="221943D6"/>
    <w:rsid w:val="221A009C"/>
    <w:rsid w:val="221B77D7"/>
    <w:rsid w:val="221C2118"/>
    <w:rsid w:val="221C4697"/>
    <w:rsid w:val="221C5C74"/>
    <w:rsid w:val="221C7957"/>
    <w:rsid w:val="221E379A"/>
    <w:rsid w:val="221E3869"/>
    <w:rsid w:val="221E5B15"/>
    <w:rsid w:val="221F7512"/>
    <w:rsid w:val="222018DF"/>
    <w:rsid w:val="22201C05"/>
    <w:rsid w:val="2220209A"/>
    <w:rsid w:val="2220428A"/>
    <w:rsid w:val="22205764"/>
    <w:rsid w:val="2221489A"/>
    <w:rsid w:val="22230B3A"/>
    <w:rsid w:val="22230DB0"/>
    <w:rsid w:val="22235254"/>
    <w:rsid w:val="22252D7A"/>
    <w:rsid w:val="22262510"/>
    <w:rsid w:val="2228094B"/>
    <w:rsid w:val="222820B8"/>
    <w:rsid w:val="22284619"/>
    <w:rsid w:val="222A326B"/>
    <w:rsid w:val="222A49B8"/>
    <w:rsid w:val="222A65E3"/>
    <w:rsid w:val="222B4A8E"/>
    <w:rsid w:val="222C3DB5"/>
    <w:rsid w:val="222C5B8B"/>
    <w:rsid w:val="222C7491"/>
    <w:rsid w:val="222D0BF9"/>
    <w:rsid w:val="222D60D3"/>
    <w:rsid w:val="222E1D28"/>
    <w:rsid w:val="222F709A"/>
    <w:rsid w:val="222F70DD"/>
    <w:rsid w:val="223034CD"/>
    <w:rsid w:val="223060C3"/>
    <w:rsid w:val="223119FD"/>
    <w:rsid w:val="2231281C"/>
    <w:rsid w:val="223140AF"/>
    <w:rsid w:val="22327245"/>
    <w:rsid w:val="223407DB"/>
    <w:rsid w:val="22342FBD"/>
    <w:rsid w:val="22350AE4"/>
    <w:rsid w:val="22355204"/>
    <w:rsid w:val="22356D36"/>
    <w:rsid w:val="22356F92"/>
    <w:rsid w:val="2237485C"/>
    <w:rsid w:val="223905D4"/>
    <w:rsid w:val="223B3EF0"/>
    <w:rsid w:val="223C1E72"/>
    <w:rsid w:val="223E208E"/>
    <w:rsid w:val="223E5BEA"/>
    <w:rsid w:val="223F11C1"/>
    <w:rsid w:val="223F3106"/>
    <w:rsid w:val="223F5C9A"/>
    <w:rsid w:val="223F7294"/>
    <w:rsid w:val="22407BB4"/>
    <w:rsid w:val="2241392C"/>
    <w:rsid w:val="22421B7E"/>
    <w:rsid w:val="224240C3"/>
    <w:rsid w:val="22426903"/>
    <w:rsid w:val="22456595"/>
    <w:rsid w:val="22462CF1"/>
    <w:rsid w:val="224A0A33"/>
    <w:rsid w:val="224B0307"/>
    <w:rsid w:val="224B61D3"/>
    <w:rsid w:val="224D22D1"/>
    <w:rsid w:val="224F46D5"/>
    <w:rsid w:val="224F6049"/>
    <w:rsid w:val="22510750"/>
    <w:rsid w:val="22511DC1"/>
    <w:rsid w:val="22513B6F"/>
    <w:rsid w:val="22521696"/>
    <w:rsid w:val="22524A6B"/>
    <w:rsid w:val="22525B39"/>
    <w:rsid w:val="22540082"/>
    <w:rsid w:val="22540F79"/>
    <w:rsid w:val="22544E98"/>
    <w:rsid w:val="225464D8"/>
    <w:rsid w:val="22552F34"/>
    <w:rsid w:val="22557E77"/>
    <w:rsid w:val="22561186"/>
    <w:rsid w:val="22563A79"/>
    <w:rsid w:val="22573150"/>
    <w:rsid w:val="22592A24"/>
    <w:rsid w:val="225A371F"/>
    <w:rsid w:val="225B49EE"/>
    <w:rsid w:val="225B679C"/>
    <w:rsid w:val="225C0A7C"/>
    <w:rsid w:val="225C3529"/>
    <w:rsid w:val="225C3CC2"/>
    <w:rsid w:val="225C42C2"/>
    <w:rsid w:val="225D0C01"/>
    <w:rsid w:val="225D4F0B"/>
    <w:rsid w:val="225E003A"/>
    <w:rsid w:val="225E34DC"/>
    <w:rsid w:val="225F1EAA"/>
    <w:rsid w:val="225F3B86"/>
    <w:rsid w:val="22604A7B"/>
    <w:rsid w:val="22610784"/>
    <w:rsid w:val="226107F1"/>
    <w:rsid w:val="226115B5"/>
    <w:rsid w:val="226115E8"/>
    <w:rsid w:val="22617B2B"/>
    <w:rsid w:val="22631A83"/>
    <w:rsid w:val="226513C9"/>
    <w:rsid w:val="226618C0"/>
    <w:rsid w:val="22665141"/>
    <w:rsid w:val="226671AC"/>
    <w:rsid w:val="2267320D"/>
    <w:rsid w:val="2267494E"/>
    <w:rsid w:val="22682C67"/>
    <w:rsid w:val="2268469D"/>
    <w:rsid w:val="226914B8"/>
    <w:rsid w:val="226A1644"/>
    <w:rsid w:val="226A2E83"/>
    <w:rsid w:val="226A7B8E"/>
    <w:rsid w:val="226C5BEF"/>
    <w:rsid w:val="226E54EF"/>
    <w:rsid w:val="226F1F8F"/>
    <w:rsid w:val="226F54FB"/>
    <w:rsid w:val="22711D00"/>
    <w:rsid w:val="22723AE6"/>
    <w:rsid w:val="227317B0"/>
    <w:rsid w:val="2273549E"/>
    <w:rsid w:val="227453DF"/>
    <w:rsid w:val="22760B92"/>
    <w:rsid w:val="22761872"/>
    <w:rsid w:val="227710FC"/>
    <w:rsid w:val="227855A0"/>
    <w:rsid w:val="22791318"/>
    <w:rsid w:val="22796D63"/>
    <w:rsid w:val="227A3683"/>
    <w:rsid w:val="227B3EFE"/>
    <w:rsid w:val="227B5090"/>
    <w:rsid w:val="227B55EC"/>
    <w:rsid w:val="227C6712"/>
    <w:rsid w:val="227E248B"/>
    <w:rsid w:val="227E692E"/>
    <w:rsid w:val="227E6E89"/>
    <w:rsid w:val="22813D29"/>
    <w:rsid w:val="22813DB4"/>
    <w:rsid w:val="22821F7B"/>
    <w:rsid w:val="228312A5"/>
    <w:rsid w:val="22833F45"/>
    <w:rsid w:val="22835CF3"/>
    <w:rsid w:val="22837AA1"/>
    <w:rsid w:val="22854416"/>
    <w:rsid w:val="22861168"/>
    <w:rsid w:val="228810A3"/>
    <w:rsid w:val="2288155B"/>
    <w:rsid w:val="22883309"/>
    <w:rsid w:val="228956CA"/>
    <w:rsid w:val="228A52D3"/>
    <w:rsid w:val="228B2608"/>
    <w:rsid w:val="228C0126"/>
    <w:rsid w:val="228C104B"/>
    <w:rsid w:val="228C7DBD"/>
    <w:rsid w:val="228D1FBC"/>
    <w:rsid w:val="228D2077"/>
    <w:rsid w:val="229028E3"/>
    <w:rsid w:val="229067BB"/>
    <w:rsid w:val="22910611"/>
    <w:rsid w:val="229121BE"/>
    <w:rsid w:val="2291647A"/>
    <w:rsid w:val="22916662"/>
    <w:rsid w:val="22924EC4"/>
    <w:rsid w:val="22947F00"/>
    <w:rsid w:val="229536BA"/>
    <w:rsid w:val="22963C78"/>
    <w:rsid w:val="22980879"/>
    <w:rsid w:val="229879F0"/>
    <w:rsid w:val="229928E1"/>
    <w:rsid w:val="22993768"/>
    <w:rsid w:val="229B0D12"/>
    <w:rsid w:val="229B303C"/>
    <w:rsid w:val="229C164D"/>
    <w:rsid w:val="229D0A56"/>
    <w:rsid w:val="229D4001"/>
    <w:rsid w:val="229E355B"/>
    <w:rsid w:val="229E793E"/>
    <w:rsid w:val="229E7AF4"/>
    <w:rsid w:val="22A00653"/>
    <w:rsid w:val="22A068A5"/>
    <w:rsid w:val="22A2261D"/>
    <w:rsid w:val="22A2437B"/>
    <w:rsid w:val="22A27603"/>
    <w:rsid w:val="22A27BFA"/>
    <w:rsid w:val="22A33EF5"/>
    <w:rsid w:val="22A46395"/>
    <w:rsid w:val="22A5210D"/>
    <w:rsid w:val="22A55C69"/>
    <w:rsid w:val="22A63CF6"/>
    <w:rsid w:val="22A7073C"/>
    <w:rsid w:val="22A7121F"/>
    <w:rsid w:val="22A7378F"/>
    <w:rsid w:val="22A76C6B"/>
    <w:rsid w:val="22A92084"/>
    <w:rsid w:val="22A9227B"/>
    <w:rsid w:val="22A939AB"/>
    <w:rsid w:val="22A94777"/>
    <w:rsid w:val="22AA14D2"/>
    <w:rsid w:val="22AA3280"/>
    <w:rsid w:val="22AC0867"/>
    <w:rsid w:val="22AC24D1"/>
    <w:rsid w:val="22AC6FF8"/>
    <w:rsid w:val="22AD4B1E"/>
    <w:rsid w:val="22AE0FC2"/>
    <w:rsid w:val="22AF4D3A"/>
    <w:rsid w:val="22B06EE9"/>
    <w:rsid w:val="22B10AB2"/>
    <w:rsid w:val="22B10EF6"/>
    <w:rsid w:val="22B11907"/>
    <w:rsid w:val="22B20386"/>
    <w:rsid w:val="22B30384"/>
    <w:rsid w:val="22B313A9"/>
    <w:rsid w:val="22B36C43"/>
    <w:rsid w:val="22B42350"/>
    <w:rsid w:val="22B45E89"/>
    <w:rsid w:val="22B45EAC"/>
    <w:rsid w:val="22B81E40"/>
    <w:rsid w:val="22B8599C"/>
    <w:rsid w:val="22B91715"/>
    <w:rsid w:val="22B934C3"/>
    <w:rsid w:val="22B96659"/>
    <w:rsid w:val="22BA5A10"/>
    <w:rsid w:val="22BB37B7"/>
    <w:rsid w:val="22BC35A1"/>
    <w:rsid w:val="22BD1205"/>
    <w:rsid w:val="22BD2FB3"/>
    <w:rsid w:val="22BD7457"/>
    <w:rsid w:val="22BE5497"/>
    <w:rsid w:val="22C00CF5"/>
    <w:rsid w:val="22C02987"/>
    <w:rsid w:val="22C07DB6"/>
    <w:rsid w:val="22C13E17"/>
    <w:rsid w:val="22C252A7"/>
    <w:rsid w:val="22C2681B"/>
    <w:rsid w:val="22C32593"/>
    <w:rsid w:val="22C34341"/>
    <w:rsid w:val="22C5630B"/>
    <w:rsid w:val="22C75BE0"/>
    <w:rsid w:val="22C83011"/>
    <w:rsid w:val="22C8735F"/>
    <w:rsid w:val="22C87887"/>
    <w:rsid w:val="22C87E24"/>
    <w:rsid w:val="22C95DFC"/>
    <w:rsid w:val="22CA517A"/>
    <w:rsid w:val="22CA7E4C"/>
    <w:rsid w:val="22CB1778"/>
    <w:rsid w:val="22CB1E92"/>
    <w:rsid w:val="22CD3380"/>
    <w:rsid w:val="22CD6F6E"/>
    <w:rsid w:val="22CE3412"/>
    <w:rsid w:val="22CF2056"/>
    <w:rsid w:val="22CF2CE6"/>
    <w:rsid w:val="22D10D3B"/>
    <w:rsid w:val="22D11F93"/>
    <w:rsid w:val="22D14CB0"/>
    <w:rsid w:val="22D24584"/>
    <w:rsid w:val="22D30A28"/>
    <w:rsid w:val="22D35FB3"/>
    <w:rsid w:val="22D447A0"/>
    <w:rsid w:val="22D71DD3"/>
    <w:rsid w:val="22D87DED"/>
    <w:rsid w:val="22D90EF9"/>
    <w:rsid w:val="22D94639"/>
    <w:rsid w:val="22DB3FB2"/>
    <w:rsid w:val="22DB758F"/>
    <w:rsid w:val="22DB78DD"/>
    <w:rsid w:val="22DF0215"/>
    <w:rsid w:val="22DF561F"/>
    <w:rsid w:val="22E03145"/>
    <w:rsid w:val="22E04EF3"/>
    <w:rsid w:val="22E22A19"/>
    <w:rsid w:val="22E36792"/>
    <w:rsid w:val="22E418F0"/>
    <w:rsid w:val="22E449E3"/>
    <w:rsid w:val="22E646A2"/>
    <w:rsid w:val="22E70030"/>
    <w:rsid w:val="22E7034F"/>
    <w:rsid w:val="22E725F4"/>
    <w:rsid w:val="22E83DA8"/>
    <w:rsid w:val="22E86FC2"/>
    <w:rsid w:val="22E9024C"/>
    <w:rsid w:val="22E91B93"/>
    <w:rsid w:val="22E91FFA"/>
    <w:rsid w:val="22EA7B20"/>
    <w:rsid w:val="22EC5646"/>
    <w:rsid w:val="22EE13BE"/>
    <w:rsid w:val="22EE24C7"/>
    <w:rsid w:val="22EE2E34"/>
    <w:rsid w:val="22EF441E"/>
    <w:rsid w:val="22EF6456"/>
    <w:rsid w:val="22F015DA"/>
    <w:rsid w:val="22F20DDE"/>
    <w:rsid w:val="22F25374"/>
    <w:rsid w:val="22F32E79"/>
    <w:rsid w:val="22F342DF"/>
    <w:rsid w:val="22F36C50"/>
    <w:rsid w:val="22F4099F"/>
    <w:rsid w:val="22F4274D"/>
    <w:rsid w:val="22F46581"/>
    <w:rsid w:val="22F46CA6"/>
    <w:rsid w:val="22F5115E"/>
    <w:rsid w:val="22F64717"/>
    <w:rsid w:val="22F66168"/>
    <w:rsid w:val="22F664C5"/>
    <w:rsid w:val="22F66B1C"/>
    <w:rsid w:val="22F8017D"/>
    <w:rsid w:val="22F80437"/>
    <w:rsid w:val="22F8223D"/>
    <w:rsid w:val="22F83EE6"/>
    <w:rsid w:val="22F91688"/>
    <w:rsid w:val="22F95FB5"/>
    <w:rsid w:val="22FA342B"/>
    <w:rsid w:val="22FB154F"/>
    <w:rsid w:val="22FD5AA5"/>
    <w:rsid w:val="22FE0F28"/>
    <w:rsid w:val="22FE2429"/>
    <w:rsid w:val="22FF7A6F"/>
    <w:rsid w:val="230010F2"/>
    <w:rsid w:val="23005595"/>
    <w:rsid w:val="23005752"/>
    <w:rsid w:val="23030CDE"/>
    <w:rsid w:val="23045086"/>
    <w:rsid w:val="23047516"/>
    <w:rsid w:val="23052BAC"/>
    <w:rsid w:val="2305495A"/>
    <w:rsid w:val="230610BB"/>
    <w:rsid w:val="23076924"/>
    <w:rsid w:val="23080C0C"/>
    <w:rsid w:val="23084E6B"/>
    <w:rsid w:val="230A4496"/>
    <w:rsid w:val="230B1F5E"/>
    <w:rsid w:val="230C6D72"/>
    <w:rsid w:val="230D5982"/>
    <w:rsid w:val="230E7CB2"/>
    <w:rsid w:val="230F0E8A"/>
    <w:rsid w:val="230F132C"/>
    <w:rsid w:val="231040B3"/>
    <w:rsid w:val="231057D9"/>
    <w:rsid w:val="231177A3"/>
    <w:rsid w:val="23120BC6"/>
    <w:rsid w:val="23130AEE"/>
    <w:rsid w:val="231352C9"/>
    <w:rsid w:val="23137077"/>
    <w:rsid w:val="23152DEF"/>
    <w:rsid w:val="23160915"/>
    <w:rsid w:val="23166B67"/>
    <w:rsid w:val="2318468D"/>
    <w:rsid w:val="231876B1"/>
    <w:rsid w:val="23190119"/>
    <w:rsid w:val="23197621"/>
    <w:rsid w:val="231A0405"/>
    <w:rsid w:val="231A098A"/>
    <w:rsid w:val="231A141F"/>
    <w:rsid w:val="231A50A3"/>
    <w:rsid w:val="231A6657"/>
    <w:rsid w:val="231B1E51"/>
    <w:rsid w:val="231B23CF"/>
    <w:rsid w:val="231B417D"/>
    <w:rsid w:val="231B4A22"/>
    <w:rsid w:val="231D1CA3"/>
    <w:rsid w:val="231D6147"/>
    <w:rsid w:val="231E07D2"/>
    <w:rsid w:val="231E5EDF"/>
    <w:rsid w:val="231E77CA"/>
    <w:rsid w:val="231F24E7"/>
    <w:rsid w:val="231F33A3"/>
    <w:rsid w:val="231F3C6E"/>
    <w:rsid w:val="231F554B"/>
    <w:rsid w:val="23201794"/>
    <w:rsid w:val="232205E3"/>
    <w:rsid w:val="23221CEF"/>
    <w:rsid w:val="232272BA"/>
    <w:rsid w:val="23227D24"/>
    <w:rsid w:val="23241284"/>
    <w:rsid w:val="232440B2"/>
    <w:rsid w:val="23244DE0"/>
    <w:rsid w:val="23250B58"/>
    <w:rsid w:val="23252AD7"/>
    <w:rsid w:val="23256DAA"/>
    <w:rsid w:val="232625C2"/>
    <w:rsid w:val="23272B22"/>
    <w:rsid w:val="232748D0"/>
    <w:rsid w:val="23277FAE"/>
    <w:rsid w:val="232842CB"/>
    <w:rsid w:val="23294AEC"/>
    <w:rsid w:val="232A313F"/>
    <w:rsid w:val="232A43C0"/>
    <w:rsid w:val="232A5A28"/>
    <w:rsid w:val="232A6D75"/>
    <w:rsid w:val="232B0864"/>
    <w:rsid w:val="232C5118"/>
    <w:rsid w:val="232D4F76"/>
    <w:rsid w:val="232D636E"/>
    <w:rsid w:val="232D71CC"/>
    <w:rsid w:val="232E5C5F"/>
    <w:rsid w:val="232F19D7"/>
    <w:rsid w:val="23305E7B"/>
    <w:rsid w:val="233076AF"/>
    <w:rsid w:val="233139A1"/>
    <w:rsid w:val="23333DD5"/>
    <w:rsid w:val="23344139"/>
    <w:rsid w:val="233578A3"/>
    <w:rsid w:val="23360FB7"/>
    <w:rsid w:val="23380C66"/>
    <w:rsid w:val="233817E5"/>
    <w:rsid w:val="233A2855"/>
    <w:rsid w:val="233C309A"/>
    <w:rsid w:val="233C481F"/>
    <w:rsid w:val="233D0598"/>
    <w:rsid w:val="233D5A3D"/>
    <w:rsid w:val="233D5EA2"/>
    <w:rsid w:val="233E0530"/>
    <w:rsid w:val="233E26F9"/>
    <w:rsid w:val="233E667B"/>
    <w:rsid w:val="233F1C1A"/>
    <w:rsid w:val="234037A5"/>
    <w:rsid w:val="23405992"/>
    <w:rsid w:val="2341673D"/>
    <w:rsid w:val="23425BAE"/>
    <w:rsid w:val="2342795C"/>
    <w:rsid w:val="23436BD1"/>
    <w:rsid w:val="23452FA8"/>
    <w:rsid w:val="234601E5"/>
    <w:rsid w:val="23460410"/>
    <w:rsid w:val="2346744C"/>
    <w:rsid w:val="23476D20"/>
    <w:rsid w:val="2348177B"/>
    <w:rsid w:val="23494431"/>
    <w:rsid w:val="23496F3C"/>
    <w:rsid w:val="234B0F30"/>
    <w:rsid w:val="234B3A12"/>
    <w:rsid w:val="234B55AD"/>
    <w:rsid w:val="234B6811"/>
    <w:rsid w:val="234B7FF1"/>
    <w:rsid w:val="234C07DB"/>
    <w:rsid w:val="234C2589"/>
    <w:rsid w:val="234D6204"/>
    <w:rsid w:val="234E6301"/>
    <w:rsid w:val="235002CB"/>
    <w:rsid w:val="23503CDB"/>
    <w:rsid w:val="23504946"/>
    <w:rsid w:val="23517B9F"/>
    <w:rsid w:val="23524AF1"/>
    <w:rsid w:val="23531B69"/>
    <w:rsid w:val="23533668"/>
    <w:rsid w:val="23533917"/>
    <w:rsid w:val="235461AB"/>
    <w:rsid w:val="23554BB3"/>
    <w:rsid w:val="23556F5D"/>
    <w:rsid w:val="23563407"/>
    <w:rsid w:val="2356442D"/>
    <w:rsid w:val="235651B5"/>
    <w:rsid w:val="23566F63"/>
    <w:rsid w:val="23571659"/>
    <w:rsid w:val="2357269A"/>
    <w:rsid w:val="23572F52"/>
    <w:rsid w:val="23575EA4"/>
    <w:rsid w:val="235773F2"/>
    <w:rsid w:val="23580F2E"/>
    <w:rsid w:val="23585C95"/>
    <w:rsid w:val="235862E6"/>
    <w:rsid w:val="2358717F"/>
    <w:rsid w:val="235949C4"/>
    <w:rsid w:val="235B60B3"/>
    <w:rsid w:val="235C29F7"/>
    <w:rsid w:val="235D3171"/>
    <w:rsid w:val="235E0B82"/>
    <w:rsid w:val="235F0A44"/>
    <w:rsid w:val="235F406A"/>
    <w:rsid w:val="23607DE2"/>
    <w:rsid w:val="23614286"/>
    <w:rsid w:val="23615763"/>
    <w:rsid w:val="23623B5A"/>
    <w:rsid w:val="236264C6"/>
    <w:rsid w:val="23627FFE"/>
    <w:rsid w:val="236405EF"/>
    <w:rsid w:val="23646A95"/>
    <w:rsid w:val="2366189C"/>
    <w:rsid w:val="23665B38"/>
    <w:rsid w:val="236773C3"/>
    <w:rsid w:val="23681B5E"/>
    <w:rsid w:val="236839CB"/>
    <w:rsid w:val="2369138D"/>
    <w:rsid w:val="2369313B"/>
    <w:rsid w:val="23693D95"/>
    <w:rsid w:val="236A10D6"/>
    <w:rsid w:val="236A4208"/>
    <w:rsid w:val="236B0A81"/>
    <w:rsid w:val="236B2A0F"/>
    <w:rsid w:val="236B40EE"/>
    <w:rsid w:val="236C49D9"/>
    <w:rsid w:val="236C6787"/>
    <w:rsid w:val="236E69A3"/>
    <w:rsid w:val="237044C9"/>
    <w:rsid w:val="23706277"/>
    <w:rsid w:val="23711416"/>
    <w:rsid w:val="237138F9"/>
    <w:rsid w:val="237260A4"/>
    <w:rsid w:val="23733FB9"/>
    <w:rsid w:val="23735D67"/>
    <w:rsid w:val="2374239E"/>
    <w:rsid w:val="2375388E"/>
    <w:rsid w:val="23765481"/>
    <w:rsid w:val="23766701"/>
    <w:rsid w:val="23767606"/>
    <w:rsid w:val="2378337E"/>
    <w:rsid w:val="23783649"/>
    <w:rsid w:val="237871CC"/>
    <w:rsid w:val="237A0EA4"/>
    <w:rsid w:val="237A5348"/>
    <w:rsid w:val="237A70F6"/>
    <w:rsid w:val="237C10C0"/>
    <w:rsid w:val="237D091B"/>
    <w:rsid w:val="237D0994"/>
    <w:rsid w:val="237D2B13"/>
    <w:rsid w:val="237E6898"/>
    <w:rsid w:val="237F295E"/>
    <w:rsid w:val="237F6EE6"/>
    <w:rsid w:val="238008A5"/>
    <w:rsid w:val="23812232"/>
    <w:rsid w:val="238166D6"/>
    <w:rsid w:val="238241FC"/>
    <w:rsid w:val="2383244E"/>
    <w:rsid w:val="23847F75"/>
    <w:rsid w:val="23853090"/>
    <w:rsid w:val="23856005"/>
    <w:rsid w:val="23863CED"/>
    <w:rsid w:val="23867849"/>
    <w:rsid w:val="23874E71"/>
    <w:rsid w:val="23875985"/>
    <w:rsid w:val="238B1303"/>
    <w:rsid w:val="238B4E5F"/>
    <w:rsid w:val="238C0BD7"/>
    <w:rsid w:val="238C2BDF"/>
    <w:rsid w:val="238C63BD"/>
    <w:rsid w:val="238C7853"/>
    <w:rsid w:val="238D5DF6"/>
    <w:rsid w:val="238E2BA1"/>
    <w:rsid w:val="238E42BA"/>
    <w:rsid w:val="238F04F9"/>
    <w:rsid w:val="238F61D4"/>
    <w:rsid w:val="239006C7"/>
    <w:rsid w:val="23931F66"/>
    <w:rsid w:val="23946934"/>
    <w:rsid w:val="23947475"/>
    <w:rsid w:val="23952182"/>
    <w:rsid w:val="23955CDE"/>
    <w:rsid w:val="23957430"/>
    <w:rsid w:val="23961B98"/>
    <w:rsid w:val="23963804"/>
    <w:rsid w:val="239739AA"/>
    <w:rsid w:val="2398039C"/>
    <w:rsid w:val="2398757C"/>
    <w:rsid w:val="23995543"/>
    <w:rsid w:val="239A1BA6"/>
    <w:rsid w:val="239A32F4"/>
    <w:rsid w:val="239B1569"/>
    <w:rsid w:val="239B4777"/>
    <w:rsid w:val="239D4B92"/>
    <w:rsid w:val="239E55B8"/>
    <w:rsid w:val="239F090A"/>
    <w:rsid w:val="23A203FB"/>
    <w:rsid w:val="23A358EA"/>
    <w:rsid w:val="23A3664D"/>
    <w:rsid w:val="23A36CFD"/>
    <w:rsid w:val="23A37DFF"/>
    <w:rsid w:val="23A423C5"/>
    <w:rsid w:val="23A46F6A"/>
    <w:rsid w:val="23A54615"/>
    <w:rsid w:val="23A6613D"/>
    <w:rsid w:val="23A75A11"/>
    <w:rsid w:val="23A777BF"/>
    <w:rsid w:val="23A83C63"/>
    <w:rsid w:val="23A841AA"/>
    <w:rsid w:val="23AB2B2B"/>
    <w:rsid w:val="23AB3753"/>
    <w:rsid w:val="23AB72AF"/>
    <w:rsid w:val="23AC56FC"/>
    <w:rsid w:val="23AD1279"/>
    <w:rsid w:val="23AD4EBF"/>
    <w:rsid w:val="23AD6B8C"/>
    <w:rsid w:val="23AF407D"/>
    <w:rsid w:val="23B1063E"/>
    <w:rsid w:val="23B1503C"/>
    <w:rsid w:val="23B30E99"/>
    <w:rsid w:val="23B343B6"/>
    <w:rsid w:val="23B4085A"/>
    <w:rsid w:val="23B45558"/>
    <w:rsid w:val="23B46197"/>
    <w:rsid w:val="23B556D9"/>
    <w:rsid w:val="23B720F8"/>
    <w:rsid w:val="23B75C54"/>
    <w:rsid w:val="23B87C1E"/>
    <w:rsid w:val="23BA2007"/>
    <w:rsid w:val="23BA5744"/>
    <w:rsid w:val="23BB7731"/>
    <w:rsid w:val="23BF0FAD"/>
    <w:rsid w:val="23BF242C"/>
    <w:rsid w:val="23BF2D5B"/>
    <w:rsid w:val="23C06D2C"/>
    <w:rsid w:val="23C10881"/>
    <w:rsid w:val="23C12F77"/>
    <w:rsid w:val="23C15ED3"/>
    <w:rsid w:val="23C2284B"/>
    <w:rsid w:val="23C245F9"/>
    <w:rsid w:val="23C6058D"/>
    <w:rsid w:val="23C60E74"/>
    <w:rsid w:val="23C71C0F"/>
    <w:rsid w:val="23C83794"/>
    <w:rsid w:val="23C860B3"/>
    <w:rsid w:val="23C871B4"/>
    <w:rsid w:val="23C916DC"/>
    <w:rsid w:val="23C91E2B"/>
    <w:rsid w:val="23C93BD9"/>
    <w:rsid w:val="23C95646"/>
    <w:rsid w:val="23C95987"/>
    <w:rsid w:val="23CC07DA"/>
    <w:rsid w:val="23CC11EA"/>
    <w:rsid w:val="23CC55A8"/>
    <w:rsid w:val="23CE2F9E"/>
    <w:rsid w:val="23CF1591"/>
    <w:rsid w:val="23D05282"/>
    <w:rsid w:val="23D0581C"/>
    <w:rsid w:val="23D06D16"/>
    <w:rsid w:val="23D073EA"/>
    <w:rsid w:val="23D24851"/>
    <w:rsid w:val="23D26F32"/>
    <w:rsid w:val="23D27B93"/>
    <w:rsid w:val="23D305B4"/>
    <w:rsid w:val="23D32D59"/>
    <w:rsid w:val="23D33478"/>
    <w:rsid w:val="23D34A58"/>
    <w:rsid w:val="23D418C7"/>
    <w:rsid w:val="23D42CAA"/>
    <w:rsid w:val="23D700A4"/>
    <w:rsid w:val="23D71DF9"/>
    <w:rsid w:val="23D8020A"/>
    <w:rsid w:val="23D85A19"/>
    <w:rsid w:val="23D9206E"/>
    <w:rsid w:val="23D94F43"/>
    <w:rsid w:val="23D94FE7"/>
    <w:rsid w:val="23D95BA9"/>
    <w:rsid w:val="23D96E2B"/>
    <w:rsid w:val="23DA02A2"/>
    <w:rsid w:val="23DA1943"/>
    <w:rsid w:val="23DA55DA"/>
    <w:rsid w:val="23DA5DE6"/>
    <w:rsid w:val="23DA6AE5"/>
    <w:rsid w:val="23DA7B95"/>
    <w:rsid w:val="23DB1C0A"/>
    <w:rsid w:val="23DB5774"/>
    <w:rsid w:val="23DC40A3"/>
    <w:rsid w:val="23DC58D2"/>
    <w:rsid w:val="23DC5C6B"/>
    <w:rsid w:val="23DD0DC1"/>
    <w:rsid w:val="23DD1433"/>
    <w:rsid w:val="23DD651B"/>
    <w:rsid w:val="23DE58D7"/>
    <w:rsid w:val="23DE7685"/>
    <w:rsid w:val="23DF51AB"/>
    <w:rsid w:val="23E10F23"/>
    <w:rsid w:val="23E206C1"/>
    <w:rsid w:val="23E32EED"/>
    <w:rsid w:val="23E40A13"/>
    <w:rsid w:val="23E427C1"/>
    <w:rsid w:val="23E42CBC"/>
    <w:rsid w:val="23E46C65"/>
    <w:rsid w:val="23E54B2E"/>
    <w:rsid w:val="23E629DD"/>
    <w:rsid w:val="23E80A1F"/>
    <w:rsid w:val="23E80E96"/>
    <w:rsid w:val="23E818E5"/>
    <w:rsid w:val="23E826CC"/>
    <w:rsid w:val="23EA427B"/>
    <w:rsid w:val="23EB3B50"/>
    <w:rsid w:val="23EB4585"/>
    <w:rsid w:val="23EB7A77"/>
    <w:rsid w:val="23EB7FF4"/>
    <w:rsid w:val="23ED3D6C"/>
    <w:rsid w:val="23ED78C8"/>
    <w:rsid w:val="23EE0080"/>
    <w:rsid w:val="23EE3640"/>
    <w:rsid w:val="23EE53EE"/>
    <w:rsid w:val="23EF4FE4"/>
    <w:rsid w:val="23F01166"/>
    <w:rsid w:val="23F024D5"/>
    <w:rsid w:val="23F23130"/>
    <w:rsid w:val="23F24EDE"/>
    <w:rsid w:val="23F32A04"/>
    <w:rsid w:val="23F46EA8"/>
    <w:rsid w:val="23F5050A"/>
    <w:rsid w:val="23F52C20"/>
    <w:rsid w:val="23F5677C"/>
    <w:rsid w:val="23F66812"/>
    <w:rsid w:val="23F70746"/>
    <w:rsid w:val="23F724F4"/>
    <w:rsid w:val="23F73FAA"/>
    <w:rsid w:val="23F76998"/>
    <w:rsid w:val="23F90EA7"/>
    <w:rsid w:val="23F9471E"/>
    <w:rsid w:val="23F956E8"/>
    <w:rsid w:val="23FA061B"/>
    <w:rsid w:val="23FA3A52"/>
    <w:rsid w:val="23FB15C0"/>
    <w:rsid w:val="23FB6C61"/>
    <w:rsid w:val="23FC3FAF"/>
    <w:rsid w:val="23FC7B0B"/>
    <w:rsid w:val="23FD5F3B"/>
    <w:rsid w:val="23FF13A9"/>
    <w:rsid w:val="23FF3509"/>
    <w:rsid w:val="23FF474C"/>
    <w:rsid w:val="23FF584D"/>
    <w:rsid w:val="23FF6434"/>
    <w:rsid w:val="23FF7120"/>
    <w:rsid w:val="23FF75FB"/>
    <w:rsid w:val="2403533D"/>
    <w:rsid w:val="240370EB"/>
    <w:rsid w:val="24044C0A"/>
    <w:rsid w:val="240510B5"/>
    <w:rsid w:val="2406098A"/>
    <w:rsid w:val="240613A3"/>
    <w:rsid w:val="240615F0"/>
    <w:rsid w:val="240772AA"/>
    <w:rsid w:val="24082954"/>
    <w:rsid w:val="240861A3"/>
    <w:rsid w:val="240864B0"/>
    <w:rsid w:val="2409047A"/>
    <w:rsid w:val="240923B7"/>
    <w:rsid w:val="24094C88"/>
    <w:rsid w:val="240A66CC"/>
    <w:rsid w:val="240B6950"/>
    <w:rsid w:val="240D1EC8"/>
    <w:rsid w:val="240E369A"/>
    <w:rsid w:val="240F0EF6"/>
    <w:rsid w:val="240F3CE2"/>
    <w:rsid w:val="240F5A90"/>
    <w:rsid w:val="241022B4"/>
    <w:rsid w:val="24107A5A"/>
    <w:rsid w:val="24134E54"/>
    <w:rsid w:val="24150BCD"/>
    <w:rsid w:val="241560F8"/>
    <w:rsid w:val="24156E1F"/>
    <w:rsid w:val="24172B97"/>
    <w:rsid w:val="24174945"/>
    <w:rsid w:val="24194B00"/>
    <w:rsid w:val="241C01AD"/>
    <w:rsid w:val="241C1C4B"/>
    <w:rsid w:val="241E3F25"/>
    <w:rsid w:val="241E4264"/>
    <w:rsid w:val="241E5CD3"/>
    <w:rsid w:val="241E6913"/>
    <w:rsid w:val="24217571"/>
    <w:rsid w:val="242332EA"/>
    <w:rsid w:val="24234632"/>
    <w:rsid w:val="2423582F"/>
    <w:rsid w:val="242505F8"/>
    <w:rsid w:val="24262DDA"/>
    <w:rsid w:val="24267371"/>
    <w:rsid w:val="24280900"/>
    <w:rsid w:val="24284DA4"/>
    <w:rsid w:val="24294554"/>
    <w:rsid w:val="24294678"/>
    <w:rsid w:val="24297E89"/>
    <w:rsid w:val="242A6B2B"/>
    <w:rsid w:val="242B219E"/>
    <w:rsid w:val="242B2FD0"/>
    <w:rsid w:val="242B4894"/>
    <w:rsid w:val="242C5AC6"/>
    <w:rsid w:val="242D6EFE"/>
    <w:rsid w:val="242E1C8E"/>
    <w:rsid w:val="242E687A"/>
    <w:rsid w:val="242F4205"/>
    <w:rsid w:val="242F6132"/>
    <w:rsid w:val="24305736"/>
    <w:rsid w:val="24311F9B"/>
    <w:rsid w:val="24312E81"/>
    <w:rsid w:val="24316097"/>
    <w:rsid w:val="24331B06"/>
    <w:rsid w:val="243323DA"/>
    <w:rsid w:val="24335E5C"/>
    <w:rsid w:val="24337EAF"/>
    <w:rsid w:val="243467B4"/>
    <w:rsid w:val="243472A5"/>
    <w:rsid w:val="24352EBB"/>
    <w:rsid w:val="24353FD6"/>
    <w:rsid w:val="243555FD"/>
    <w:rsid w:val="24363CA5"/>
    <w:rsid w:val="243674C1"/>
    <w:rsid w:val="24370F4C"/>
    <w:rsid w:val="24372C27"/>
    <w:rsid w:val="24373239"/>
    <w:rsid w:val="24374FE7"/>
    <w:rsid w:val="24375135"/>
    <w:rsid w:val="24376D95"/>
    <w:rsid w:val="243840DE"/>
    <w:rsid w:val="24390D5F"/>
    <w:rsid w:val="24394CB3"/>
    <w:rsid w:val="243A0633"/>
    <w:rsid w:val="243A6885"/>
    <w:rsid w:val="243B2188"/>
    <w:rsid w:val="243B5AEE"/>
    <w:rsid w:val="243C25FD"/>
    <w:rsid w:val="243D76F2"/>
    <w:rsid w:val="243E0123"/>
    <w:rsid w:val="243E3981"/>
    <w:rsid w:val="243E6375"/>
    <w:rsid w:val="243F37F5"/>
    <w:rsid w:val="243F5C4A"/>
    <w:rsid w:val="24403036"/>
    <w:rsid w:val="244119C2"/>
    <w:rsid w:val="24411BAA"/>
    <w:rsid w:val="24415E66"/>
    <w:rsid w:val="24431BDE"/>
    <w:rsid w:val="24444AA7"/>
    <w:rsid w:val="2446347C"/>
    <w:rsid w:val="2446522A"/>
    <w:rsid w:val="24482408"/>
    <w:rsid w:val="244905A6"/>
    <w:rsid w:val="24494EA3"/>
    <w:rsid w:val="24497549"/>
    <w:rsid w:val="244A4FF6"/>
    <w:rsid w:val="244E65A6"/>
    <w:rsid w:val="244E7ABC"/>
    <w:rsid w:val="244F06CA"/>
    <w:rsid w:val="244F40DF"/>
    <w:rsid w:val="245122C8"/>
    <w:rsid w:val="245142FB"/>
    <w:rsid w:val="24521E21"/>
    <w:rsid w:val="24523BCF"/>
    <w:rsid w:val="24525BA6"/>
    <w:rsid w:val="245416F5"/>
    <w:rsid w:val="24547366"/>
    <w:rsid w:val="2455546D"/>
    <w:rsid w:val="245777D5"/>
    <w:rsid w:val="245931AF"/>
    <w:rsid w:val="24593D07"/>
    <w:rsid w:val="245A2A83"/>
    <w:rsid w:val="245B28F0"/>
    <w:rsid w:val="245B6C3D"/>
    <w:rsid w:val="245C4A4D"/>
    <w:rsid w:val="245E4322"/>
    <w:rsid w:val="245F19BC"/>
    <w:rsid w:val="24601679"/>
    <w:rsid w:val="246071CE"/>
    <w:rsid w:val="24612064"/>
    <w:rsid w:val="24613E12"/>
    <w:rsid w:val="24661428"/>
    <w:rsid w:val="246758CC"/>
    <w:rsid w:val="24676446"/>
    <w:rsid w:val="246833F2"/>
    <w:rsid w:val="24684FC4"/>
    <w:rsid w:val="246851A0"/>
    <w:rsid w:val="246855B2"/>
    <w:rsid w:val="246A0C6E"/>
    <w:rsid w:val="246A53BC"/>
    <w:rsid w:val="246A7B4F"/>
    <w:rsid w:val="246B00A8"/>
    <w:rsid w:val="246B4C91"/>
    <w:rsid w:val="246D6C5B"/>
    <w:rsid w:val="246D759C"/>
    <w:rsid w:val="246F1F69"/>
    <w:rsid w:val="246F652F"/>
    <w:rsid w:val="24701C09"/>
    <w:rsid w:val="247022A7"/>
    <w:rsid w:val="247104F9"/>
    <w:rsid w:val="24724271"/>
    <w:rsid w:val="24730297"/>
    <w:rsid w:val="247578BD"/>
    <w:rsid w:val="24765B0F"/>
    <w:rsid w:val="24771887"/>
    <w:rsid w:val="24777399"/>
    <w:rsid w:val="2479115B"/>
    <w:rsid w:val="247955FF"/>
    <w:rsid w:val="247B23D8"/>
    <w:rsid w:val="247B3126"/>
    <w:rsid w:val="247B4ED4"/>
    <w:rsid w:val="247C0C4C"/>
    <w:rsid w:val="247C4608"/>
    <w:rsid w:val="247C5786"/>
    <w:rsid w:val="247C664B"/>
    <w:rsid w:val="247C6E9E"/>
    <w:rsid w:val="247E3C02"/>
    <w:rsid w:val="247E49C4"/>
    <w:rsid w:val="247F392A"/>
    <w:rsid w:val="2480073C"/>
    <w:rsid w:val="248024EA"/>
    <w:rsid w:val="2480290A"/>
    <w:rsid w:val="2480698E"/>
    <w:rsid w:val="24813E67"/>
    <w:rsid w:val="24816262"/>
    <w:rsid w:val="248210CC"/>
    <w:rsid w:val="24822706"/>
    <w:rsid w:val="2482431B"/>
    <w:rsid w:val="248301D0"/>
    <w:rsid w:val="248374BE"/>
    <w:rsid w:val="24855D52"/>
    <w:rsid w:val="24857B00"/>
    <w:rsid w:val="24861ACA"/>
    <w:rsid w:val="24863878"/>
    <w:rsid w:val="248720BC"/>
    <w:rsid w:val="2487559B"/>
    <w:rsid w:val="24882997"/>
    <w:rsid w:val="24883A94"/>
    <w:rsid w:val="248A4630"/>
    <w:rsid w:val="248A5117"/>
    <w:rsid w:val="248B01F1"/>
    <w:rsid w:val="248B06F7"/>
    <w:rsid w:val="248B0E8F"/>
    <w:rsid w:val="248B43E1"/>
    <w:rsid w:val="248D47ED"/>
    <w:rsid w:val="248D4C07"/>
    <w:rsid w:val="248E28D6"/>
    <w:rsid w:val="248F4E23"/>
    <w:rsid w:val="248F63DD"/>
    <w:rsid w:val="248F710D"/>
    <w:rsid w:val="24901494"/>
    <w:rsid w:val="2490407E"/>
    <w:rsid w:val="24912949"/>
    <w:rsid w:val="249266C1"/>
    <w:rsid w:val="24945F95"/>
    <w:rsid w:val="24962CBB"/>
    <w:rsid w:val="249661B1"/>
    <w:rsid w:val="24975A86"/>
    <w:rsid w:val="24976642"/>
    <w:rsid w:val="249917FE"/>
    <w:rsid w:val="249935AC"/>
    <w:rsid w:val="249A7467"/>
    <w:rsid w:val="249B7324"/>
    <w:rsid w:val="249C183C"/>
    <w:rsid w:val="249C4E4A"/>
    <w:rsid w:val="249F6C02"/>
    <w:rsid w:val="24A0493A"/>
    <w:rsid w:val="24A24B56"/>
    <w:rsid w:val="24A33795"/>
    <w:rsid w:val="24A3442A"/>
    <w:rsid w:val="24A36BDC"/>
    <w:rsid w:val="24A54462"/>
    <w:rsid w:val="24A65CC9"/>
    <w:rsid w:val="24A7216D"/>
    <w:rsid w:val="24A73F1B"/>
    <w:rsid w:val="24A75516"/>
    <w:rsid w:val="24A81A41"/>
    <w:rsid w:val="24A93FC6"/>
    <w:rsid w:val="24A953A6"/>
    <w:rsid w:val="24AA7567"/>
    <w:rsid w:val="24AB4110"/>
    <w:rsid w:val="24AC1FB6"/>
    <w:rsid w:val="24AF1021"/>
    <w:rsid w:val="24AF3183"/>
    <w:rsid w:val="24AF66F7"/>
    <w:rsid w:val="24B0709F"/>
    <w:rsid w:val="24B108F5"/>
    <w:rsid w:val="24B143BC"/>
    <w:rsid w:val="24B148C0"/>
    <w:rsid w:val="24B16B47"/>
    <w:rsid w:val="24B35D0C"/>
    <w:rsid w:val="24B403E6"/>
    <w:rsid w:val="24B46637"/>
    <w:rsid w:val="24B46BCE"/>
    <w:rsid w:val="24B47998"/>
    <w:rsid w:val="24B554F3"/>
    <w:rsid w:val="24B623B0"/>
    <w:rsid w:val="24B66734"/>
    <w:rsid w:val="24B67B3D"/>
    <w:rsid w:val="24B71C84"/>
    <w:rsid w:val="24B76BDB"/>
    <w:rsid w:val="24B80EEA"/>
    <w:rsid w:val="24B81EA4"/>
    <w:rsid w:val="24B86128"/>
    <w:rsid w:val="24B91EA0"/>
    <w:rsid w:val="24B93C4E"/>
    <w:rsid w:val="24BB1774"/>
    <w:rsid w:val="24BC0CFB"/>
    <w:rsid w:val="24BC54EC"/>
    <w:rsid w:val="24BD218B"/>
    <w:rsid w:val="24BD373E"/>
    <w:rsid w:val="24BE0639"/>
    <w:rsid w:val="24BE1928"/>
    <w:rsid w:val="24BE28E0"/>
    <w:rsid w:val="24BE3012"/>
    <w:rsid w:val="24BE6C23"/>
    <w:rsid w:val="24BE74B6"/>
    <w:rsid w:val="24BF61EC"/>
    <w:rsid w:val="24C04FDC"/>
    <w:rsid w:val="24C148B0"/>
    <w:rsid w:val="24C16820"/>
    <w:rsid w:val="24C30629"/>
    <w:rsid w:val="24C314AD"/>
    <w:rsid w:val="24C3687B"/>
    <w:rsid w:val="24C50B88"/>
    <w:rsid w:val="24C50F61"/>
    <w:rsid w:val="24C53DEB"/>
    <w:rsid w:val="24C55E42"/>
    <w:rsid w:val="24C70119"/>
    <w:rsid w:val="24C745BD"/>
    <w:rsid w:val="24C7754F"/>
    <w:rsid w:val="24C778B4"/>
    <w:rsid w:val="24C820E3"/>
    <w:rsid w:val="24C83E91"/>
    <w:rsid w:val="24C9570C"/>
    <w:rsid w:val="24CC1BD3"/>
    <w:rsid w:val="24CD14A7"/>
    <w:rsid w:val="24CD1C80"/>
    <w:rsid w:val="24CD6E81"/>
    <w:rsid w:val="24CE594B"/>
    <w:rsid w:val="24CF521F"/>
    <w:rsid w:val="24CF7171"/>
    <w:rsid w:val="24D10F97"/>
    <w:rsid w:val="24D11A91"/>
    <w:rsid w:val="24D171E9"/>
    <w:rsid w:val="24D215AA"/>
    <w:rsid w:val="24D252AE"/>
    <w:rsid w:val="24D26ABE"/>
    <w:rsid w:val="24D42836"/>
    <w:rsid w:val="24D46493"/>
    <w:rsid w:val="24D5337D"/>
    <w:rsid w:val="24D6035C"/>
    <w:rsid w:val="24D606C4"/>
    <w:rsid w:val="24D665AE"/>
    <w:rsid w:val="24D66C40"/>
    <w:rsid w:val="24D87DBD"/>
    <w:rsid w:val="24D942F0"/>
    <w:rsid w:val="24D9609E"/>
    <w:rsid w:val="24DA55A3"/>
    <w:rsid w:val="24DB0B9B"/>
    <w:rsid w:val="24DB2419"/>
    <w:rsid w:val="24DB3BC4"/>
    <w:rsid w:val="24DB4284"/>
    <w:rsid w:val="24DC6BA4"/>
    <w:rsid w:val="24DD1ABB"/>
    <w:rsid w:val="24DD2636"/>
    <w:rsid w:val="24DD5B8E"/>
    <w:rsid w:val="24DD793C"/>
    <w:rsid w:val="24DE2C04"/>
    <w:rsid w:val="24DF6259"/>
    <w:rsid w:val="24DF656E"/>
    <w:rsid w:val="24E011DB"/>
    <w:rsid w:val="24E161E6"/>
    <w:rsid w:val="24E16D01"/>
    <w:rsid w:val="24E20384"/>
    <w:rsid w:val="24E231A5"/>
    <w:rsid w:val="24E30C6D"/>
    <w:rsid w:val="24E30CCB"/>
    <w:rsid w:val="24E4096D"/>
    <w:rsid w:val="24E449CE"/>
    <w:rsid w:val="24E54A43"/>
    <w:rsid w:val="24E707BB"/>
    <w:rsid w:val="24E8008F"/>
    <w:rsid w:val="24E862E1"/>
    <w:rsid w:val="24E9133F"/>
    <w:rsid w:val="24E91459"/>
    <w:rsid w:val="24E94533"/>
    <w:rsid w:val="24EA02AB"/>
    <w:rsid w:val="24EA0ECD"/>
    <w:rsid w:val="24EA28E9"/>
    <w:rsid w:val="24ED2B1D"/>
    <w:rsid w:val="24ED38F7"/>
    <w:rsid w:val="24ED56A6"/>
    <w:rsid w:val="24ED5957"/>
    <w:rsid w:val="24EE1B49"/>
    <w:rsid w:val="24EF58C2"/>
    <w:rsid w:val="24EF7670"/>
    <w:rsid w:val="24F024AC"/>
    <w:rsid w:val="24F039A5"/>
    <w:rsid w:val="24F1062F"/>
    <w:rsid w:val="24F133E8"/>
    <w:rsid w:val="24F14237"/>
    <w:rsid w:val="24F222E1"/>
    <w:rsid w:val="24F379E3"/>
    <w:rsid w:val="24F42ED8"/>
    <w:rsid w:val="24F57B87"/>
    <w:rsid w:val="24F609FE"/>
    <w:rsid w:val="24F66C50"/>
    <w:rsid w:val="24F7691E"/>
    <w:rsid w:val="24F84C00"/>
    <w:rsid w:val="24F904EE"/>
    <w:rsid w:val="24F9229C"/>
    <w:rsid w:val="24FA2FB0"/>
    <w:rsid w:val="24FB4266"/>
    <w:rsid w:val="24FD15A3"/>
    <w:rsid w:val="24FD3B3B"/>
    <w:rsid w:val="24FF3D57"/>
    <w:rsid w:val="24FF40E5"/>
    <w:rsid w:val="24FF7DEA"/>
    <w:rsid w:val="25002580"/>
    <w:rsid w:val="2500680C"/>
    <w:rsid w:val="250208BF"/>
    <w:rsid w:val="25022000"/>
    <w:rsid w:val="25027610"/>
    <w:rsid w:val="25030331"/>
    <w:rsid w:val="25033395"/>
    <w:rsid w:val="2504136D"/>
    <w:rsid w:val="25050981"/>
    <w:rsid w:val="25050C41"/>
    <w:rsid w:val="25052E0F"/>
    <w:rsid w:val="250550E5"/>
    <w:rsid w:val="25065E09"/>
    <w:rsid w:val="25070E5D"/>
    <w:rsid w:val="25075E89"/>
    <w:rsid w:val="25076767"/>
    <w:rsid w:val="25082434"/>
    <w:rsid w:val="250824DF"/>
    <w:rsid w:val="25096983"/>
    <w:rsid w:val="250C6474"/>
    <w:rsid w:val="250D3B9A"/>
    <w:rsid w:val="250D5741"/>
    <w:rsid w:val="250D5B0A"/>
    <w:rsid w:val="250D6DB8"/>
    <w:rsid w:val="250E1CE4"/>
    <w:rsid w:val="250F1A33"/>
    <w:rsid w:val="250F1AC0"/>
    <w:rsid w:val="250F3724"/>
    <w:rsid w:val="25115838"/>
    <w:rsid w:val="25115929"/>
    <w:rsid w:val="25130A5B"/>
    <w:rsid w:val="25130BC6"/>
    <w:rsid w:val="2514084F"/>
    <w:rsid w:val="25145328"/>
    <w:rsid w:val="2515048D"/>
    <w:rsid w:val="25164BFC"/>
    <w:rsid w:val="25166D35"/>
    <w:rsid w:val="25190209"/>
    <w:rsid w:val="25196DF7"/>
    <w:rsid w:val="251A35D2"/>
    <w:rsid w:val="251C3122"/>
    <w:rsid w:val="251C5B14"/>
    <w:rsid w:val="251D242F"/>
    <w:rsid w:val="251D5B58"/>
    <w:rsid w:val="251D5F8B"/>
    <w:rsid w:val="251E1D03"/>
    <w:rsid w:val="251E1FFF"/>
    <w:rsid w:val="251E4EBE"/>
    <w:rsid w:val="251F61A7"/>
    <w:rsid w:val="25210954"/>
    <w:rsid w:val="2521131C"/>
    <w:rsid w:val="25214D21"/>
    <w:rsid w:val="252217F3"/>
    <w:rsid w:val="25236615"/>
    <w:rsid w:val="25247B30"/>
    <w:rsid w:val="25263C3C"/>
    <w:rsid w:val="25263E9C"/>
    <w:rsid w:val="25270BB7"/>
    <w:rsid w:val="2527248F"/>
    <w:rsid w:val="25274198"/>
    <w:rsid w:val="252754F4"/>
    <w:rsid w:val="25284930"/>
    <w:rsid w:val="25290DD3"/>
    <w:rsid w:val="252A0723"/>
    <w:rsid w:val="252A663B"/>
    <w:rsid w:val="252A68FA"/>
    <w:rsid w:val="252B4B4C"/>
    <w:rsid w:val="252C08C4"/>
    <w:rsid w:val="252D46F6"/>
    <w:rsid w:val="252D67FC"/>
    <w:rsid w:val="252D7C9D"/>
    <w:rsid w:val="252E0198"/>
    <w:rsid w:val="252E63EA"/>
    <w:rsid w:val="252F227F"/>
    <w:rsid w:val="25302162"/>
    <w:rsid w:val="2531044D"/>
    <w:rsid w:val="25310B71"/>
    <w:rsid w:val="25315F08"/>
    <w:rsid w:val="2531650E"/>
    <w:rsid w:val="253357AE"/>
    <w:rsid w:val="25341526"/>
    <w:rsid w:val="25361FDC"/>
    <w:rsid w:val="25364CED"/>
    <w:rsid w:val="2536529E"/>
    <w:rsid w:val="2536704D"/>
    <w:rsid w:val="25367D05"/>
    <w:rsid w:val="25376BCF"/>
    <w:rsid w:val="253820CF"/>
    <w:rsid w:val="253908EB"/>
    <w:rsid w:val="25393B33"/>
    <w:rsid w:val="253A4D8F"/>
    <w:rsid w:val="253B0B07"/>
    <w:rsid w:val="253B22C4"/>
    <w:rsid w:val="253B28B5"/>
    <w:rsid w:val="253C026C"/>
    <w:rsid w:val="253C24E6"/>
    <w:rsid w:val="253D487F"/>
    <w:rsid w:val="253E4DA8"/>
    <w:rsid w:val="254010F3"/>
    <w:rsid w:val="2540611D"/>
    <w:rsid w:val="25407ECB"/>
    <w:rsid w:val="25432122"/>
    <w:rsid w:val="25440E2B"/>
    <w:rsid w:val="25453243"/>
    <w:rsid w:val="25461985"/>
    <w:rsid w:val="2547125A"/>
    <w:rsid w:val="25493224"/>
    <w:rsid w:val="254933EC"/>
    <w:rsid w:val="25494FD2"/>
    <w:rsid w:val="25495698"/>
    <w:rsid w:val="254A0D4A"/>
    <w:rsid w:val="254A200B"/>
    <w:rsid w:val="254A443E"/>
    <w:rsid w:val="254C30AC"/>
    <w:rsid w:val="254C3699"/>
    <w:rsid w:val="254D19D5"/>
    <w:rsid w:val="254D6CA6"/>
    <w:rsid w:val="254E0526"/>
    <w:rsid w:val="254E083A"/>
    <w:rsid w:val="254E105E"/>
    <w:rsid w:val="254E25E8"/>
    <w:rsid w:val="254E4396"/>
    <w:rsid w:val="254F010E"/>
    <w:rsid w:val="254F5058"/>
    <w:rsid w:val="25502B31"/>
    <w:rsid w:val="2551032A"/>
    <w:rsid w:val="255143DB"/>
    <w:rsid w:val="25525847"/>
    <w:rsid w:val="25530418"/>
    <w:rsid w:val="25535310"/>
    <w:rsid w:val="25535E50"/>
    <w:rsid w:val="25536CD7"/>
    <w:rsid w:val="25542D0A"/>
    <w:rsid w:val="2554534E"/>
    <w:rsid w:val="25545725"/>
    <w:rsid w:val="25552D38"/>
    <w:rsid w:val="255552F4"/>
    <w:rsid w:val="25555909"/>
    <w:rsid w:val="25556D82"/>
    <w:rsid w:val="255676EF"/>
    <w:rsid w:val="25577C0F"/>
    <w:rsid w:val="255816B9"/>
    <w:rsid w:val="255866F6"/>
    <w:rsid w:val="255929F1"/>
    <w:rsid w:val="2559683D"/>
    <w:rsid w:val="255B2F57"/>
    <w:rsid w:val="255B3BD6"/>
    <w:rsid w:val="255B4D05"/>
    <w:rsid w:val="255B6BAA"/>
    <w:rsid w:val="255B780C"/>
    <w:rsid w:val="255C4358"/>
    <w:rsid w:val="255D0A7D"/>
    <w:rsid w:val="255D282B"/>
    <w:rsid w:val="255D4DBB"/>
    <w:rsid w:val="255E4015"/>
    <w:rsid w:val="255F47F5"/>
    <w:rsid w:val="25602167"/>
    <w:rsid w:val="256040C9"/>
    <w:rsid w:val="2561056D"/>
    <w:rsid w:val="25617593"/>
    <w:rsid w:val="256242E5"/>
    <w:rsid w:val="25627E42"/>
    <w:rsid w:val="25631E0B"/>
    <w:rsid w:val="2563786A"/>
    <w:rsid w:val="2564005E"/>
    <w:rsid w:val="25641E0C"/>
    <w:rsid w:val="25643BBA"/>
    <w:rsid w:val="256516E0"/>
    <w:rsid w:val="25657175"/>
    <w:rsid w:val="25665B84"/>
    <w:rsid w:val="256711CF"/>
    <w:rsid w:val="256911D0"/>
    <w:rsid w:val="25695674"/>
    <w:rsid w:val="25697422"/>
    <w:rsid w:val="256B319A"/>
    <w:rsid w:val="256C2A6E"/>
    <w:rsid w:val="256D12D9"/>
    <w:rsid w:val="256D4D05"/>
    <w:rsid w:val="256E38DF"/>
    <w:rsid w:val="256F255E"/>
    <w:rsid w:val="256F2771"/>
    <w:rsid w:val="257007B0"/>
    <w:rsid w:val="25701D7D"/>
    <w:rsid w:val="257106BF"/>
    <w:rsid w:val="25710DD0"/>
    <w:rsid w:val="257162D7"/>
    <w:rsid w:val="257302A1"/>
    <w:rsid w:val="2573204F"/>
    <w:rsid w:val="257356BC"/>
    <w:rsid w:val="2574427F"/>
    <w:rsid w:val="25751E7E"/>
    <w:rsid w:val="25752322"/>
    <w:rsid w:val="257537F7"/>
    <w:rsid w:val="257539AC"/>
    <w:rsid w:val="25754019"/>
    <w:rsid w:val="25755DC7"/>
    <w:rsid w:val="25774A69"/>
    <w:rsid w:val="25781413"/>
    <w:rsid w:val="25783B09"/>
    <w:rsid w:val="257B01E6"/>
    <w:rsid w:val="257B6A8A"/>
    <w:rsid w:val="257C53A7"/>
    <w:rsid w:val="257D111F"/>
    <w:rsid w:val="257E4A9D"/>
    <w:rsid w:val="257F09F3"/>
    <w:rsid w:val="257F27A2"/>
    <w:rsid w:val="2580260B"/>
    <w:rsid w:val="25804E80"/>
    <w:rsid w:val="25816E4C"/>
    <w:rsid w:val="258204E4"/>
    <w:rsid w:val="258413F6"/>
    <w:rsid w:val="2584425C"/>
    <w:rsid w:val="25845AB3"/>
    <w:rsid w:val="2584600A"/>
    <w:rsid w:val="25853B30"/>
    <w:rsid w:val="25862F62"/>
    <w:rsid w:val="25875BC7"/>
    <w:rsid w:val="258778A8"/>
    <w:rsid w:val="25887057"/>
    <w:rsid w:val="25895411"/>
    <w:rsid w:val="258A1146"/>
    <w:rsid w:val="258A1E09"/>
    <w:rsid w:val="258E50DA"/>
    <w:rsid w:val="25902C01"/>
    <w:rsid w:val="2591184A"/>
    <w:rsid w:val="25916979"/>
    <w:rsid w:val="259207B1"/>
    <w:rsid w:val="25952D9C"/>
    <w:rsid w:val="259720B5"/>
    <w:rsid w:val="25972E6A"/>
    <w:rsid w:val="25973F8F"/>
    <w:rsid w:val="25981AB5"/>
    <w:rsid w:val="25983863"/>
    <w:rsid w:val="2599171D"/>
    <w:rsid w:val="259A3A7F"/>
    <w:rsid w:val="259A7F88"/>
    <w:rsid w:val="259B08F3"/>
    <w:rsid w:val="259D0E7A"/>
    <w:rsid w:val="259E06EB"/>
    <w:rsid w:val="259E127D"/>
    <w:rsid w:val="259E29BE"/>
    <w:rsid w:val="259F1096"/>
    <w:rsid w:val="259F4BF2"/>
    <w:rsid w:val="25A052DE"/>
    <w:rsid w:val="25A12702"/>
    <w:rsid w:val="25A14E0E"/>
    <w:rsid w:val="25A16BBC"/>
    <w:rsid w:val="25A36DCE"/>
    <w:rsid w:val="25A37B53"/>
    <w:rsid w:val="25A50015"/>
    <w:rsid w:val="25A83A70"/>
    <w:rsid w:val="25A84F00"/>
    <w:rsid w:val="25A86641"/>
    <w:rsid w:val="25AA2CE7"/>
    <w:rsid w:val="25AB0106"/>
    <w:rsid w:val="25AC730F"/>
    <w:rsid w:val="25AD1C80"/>
    <w:rsid w:val="25AE4ABA"/>
    <w:rsid w:val="25AE5E42"/>
    <w:rsid w:val="25AE7098"/>
    <w:rsid w:val="25AF2EBF"/>
    <w:rsid w:val="25AF3943"/>
    <w:rsid w:val="25AF6E3E"/>
    <w:rsid w:val="25AF7C37"/>
    <w:rsid w:val="25B032A3"/>
    <w:rsid w:val="25B22B68"/>
    <w:rsid w:val="25B3069D"/>
    <w:rsid w:val="25B33414"/>
    <w:rsid w:val="25B34B41"/>
    <w:rsid w:val="25B40935"/>
    <w:rsid w:val="25B45232"/>
    <w:rsid w:val="25B508B9"/>
    <w:rsid w:val="25B54415"/>
    <w:rsid w:val="25B71060"/>
    <w:rsid w:val="25B720D4"/>
    <w:rsid w:val="25B763DF"/>
    <w:rsid w:val="25B85CB3"/>
    <w:rsid w:val="25B92390"/>
    <w:rsid w:val="25BA0A55"/>
    <w:rsid w:val="25BC19D0"/>
    <w:rsid w:val="25BC1C48"/>
    <w:rsid w:val="25BC57A4"/>
    <w:rsid w:val="25BD4805"/>
    <w:rsid w:val="25BF5294"/>
    <w:rsid w:val="25C12DBA"/>
    <w:rsid w:val="25C1533C"/>
    <w:rsid w:val="25C44658"/>
    <w:rsid w:val="25C446D8"/>
    <w:rsid w:val="25C7239A"/>
    <w:rsid w:val="25CA50A5"/>
    <w:rsid w:val="25CA6E09"/>
    <w:rsid w:val="25CB3C39"/>
    <w:rsid w:val="25CB3E29"/>
    <w:rsid w:val="25CC1979"/>
    <w:rsid w:val="25CC2E6A"/>
    <w:rsid w:val="25CE2E97"/>
    <w:rsid w:val="25CE3729"/>
    <w:rsid w:val="25CF7430"/>
    <w:rsid w:val="25CF7C85"/>
    <w:rsid w:val="25D02C7B"/>
    <w:rsid w:val="25D02FFD"/>
    <w:rsid w:val="25D1584C"/>
    <w:rsid w:val="25D17F90"/>
    <w:rsid w:val="25D23219"/>
    <w:rsid w:val="25D36E8D"/>
    <w:rsid w:val="25D36F91"/>
    <w:rsid w:val="25D423C5"/>
    <w:rsid w:val="25D42A8C"/>
    <w:rsid w:val="25D4327F"/>
    <w:rsid w:val="25D56865"/>
    <w:rsid w:val="25D7082F"/>
    <w:rsid w:val="25D725DE"/>
    <w:rsid w:val="25D83FDE"/>
    <w:rsid w:val="25D8597C"/>
    <w:rsid w:val="25D86356"/>
    <w:rsid w:val="25D90ED1"/>
    <w:rsid w:val="25D93C7E"/>
    <w:rsid w:val="25DA0320"/>
    <w:rsid w:val="25DA20CE"/>
    <w:rsid w:val="25DC01E3"/>
    <w:rsid w:val="25DC4098"/>
    <w:rsid w:val="25DC43CD"/>
    <w:rsid w:val="25DC5E46"/>
    <w:rsid w:val="25DD396C"/>
    <w:rsid w:val="25DD3DEF"/>
    <w:rsid w:val="25DD571A"/>
    <w:rsid w:val="25DF1492"/>
    <w:rsid w:val="25DF5936"/>
    <w:rsid w:val="25DF76E4"/>
    <w:rsid w:val="25E05341"/>
    <w:rsid w:val="25E1520A"/>
    <w:rsid w:val="25E167D1"/>
    <w:rsid w:val="25E35426"/>
    <w:rsid w:val="25E371D4"/>
    <w:rsid w:val="25E42F4C"/>
    <w:rsid w:val="25E66CC5"/>
    <w:rsid w:val="25E80F02"/>
    <w:rsid w:val="25E82A3D"/>
    <w:rsid w:val="25E90563"/>
    <w:rsid w:val="25E93583"/>
    <w:rsid w:val="25EA5B86"/>
    <w:rsid w:val="25EB4B24"/>
    <w:rsid w:val="25EB7883"/>
    <w:rsid w:val="25EC3BAF"/>
    <w:rsid w:val="25ED1E01"/>
    <w:rsid w:val="25EE6204"/>
    <w:rsid w:val="25F0544D"/>
    <w:rsid w:val="25F07BA6"/>
    <w:rsid w:val="25F163AC"/>
    <w:rsid w:val="25F211C5"/>
    <w:rsid w:val="25F24B85"/>
    <w:rsid w:val="25F413E1"/>
    <w:rsid w:val="25F50CB6"/>
    <w:rsid w:val="25F53236"/>
    <w:rsid w:val="25F96ED6"/>
    <w:rsid w:val="25FA4C49"/>
    <w:rsid w:val="25FC0296"/>
    <w:rsid w:val="25FE400E"/>
    <w:rsid w:val="25FF73E4"/>
    <w:rsid w:val="260333D3"/>
    <w:rsid w:val="26035DEB"/>
    <w:rsid w:val="2604539D"/>
    <w:rsid w:val="26052FFB"/>
    <w:rsid w:val="26056EE9"/>
    <w:rsid w:val="26061115"/>
    <w:rsid w:val="26062EC3"/>
    <w:rsid w:val="26083FB3"/>
    <w:rsid w:val="26084E8D"/>
    <w:rsid w:val="26086C3B"/>
    <w:rsid w:val="260A429C"/>
    <w:rsid w:val="260A6859"/>
    <w:rsid w:val="260A6DDB"/>
    <w:rsid w:val="260B2287"/>
    <w:rsid w:val="260C76F8"/>
    <w:rsid w:val="260D24A3"/>
    <w:rsid w:val="260D4251"/>
    <w:rsid w:val="260D435E"/>
    <w:rsid w:val="260D506B"/>
    <w:rsid w:val="260E2C1D"/>
    <w:rsid w:val="260E3FFB"/>
    <w:rsid w:val="2610184F"/>
    <w:rsid w:val="26105AEF"/>
    <w:rsid w:val="2611159E"/>
    <w:rsid w:val="2613738E"/>
    <w:rsid w:val="26147263"/>
    <w:rsid w:val="26155168"/>
    <w:rsid w:val="26163C01"/>
    <w:rsid w:val="261657AB"/>
    <w:rsid w:val="261750D0"/>
    <w:rsid w:val="26176E7E"/>
    <w:rsid w:val="26192BF6"/>
    <w:rsid w:val="2619463A"/>
    <w:rsid w:val="26197F8E"/>
    <w:rsid w:val="261A071C"/>
    <w:rsid w:val="261A3D91"/>
    <w:rsid w:val="261A4BC0"/>
    <w:rsid w:val="261B2747"/>
    <w:rsid w:val="261B7C46"/>
    <w:rsid w:val="261C26E6"/>
    <w:rsid w:val="261C6F95"/>
    <w:rsid w:val="261D1282"/>
    <w:rsid w:val="261D2B1A"/>
    <w:rsid w:val="261E645E"/>
    <w:rsid w:val="261E66BD"/>
    <w:rsid w:val="26213859"/>
    <w:rsid w:val="26233A75"/>
    <w:rsid w:val="262477ED"/>
    <w:rsid w:val="26247945"/>
    <w:rsid w:val="262619C5"/>
    <w:rsid w:val="26262334"/>
    <w:rsid w:val="26262B41"/>
    <w:rsid w:val="26263565"/>
    <w:rsid w:val="262670C1"/>
    <w:rsid w:val="26284BE7"/>
    <w:rsid w:val="26287343"/>
    <w:rsid w:val="2629095F"/>
    <w:rsid w:val="262921E7"/>
    <w:rsid w:val="262923F6"/>
    <w:rsid w:val="262A32B2"/>
    <w:rsid w:val="262B2929"/>
    <w:rsid w:val="262D2168"/>
    <w:rsid w:val="262E41C8"/>
    <w:rsid w:val="262F1DC3"/>
    <w:rsid w:val="262F6268"/>
    <w:rsid w:val="263076F8"/>
    <w:rsid w:val="26314871"/>
    <w:rsid w:val="2632164E"/>
    <w:rsid w:val="263230B7"/>
    <w:rsid w:val="26324E1E"/>
    <w:rsid w:val="263317DE"/>
    <w:rsid w:val="2634628D"/>
    <w:rsid w:val="26371021"/>
    <w:rsid w:val="2637307C"/>
    <w:rsid w:val="26373C45"/>
    <w:rsid w:val="26395046"/>
    <w:rsid w:val="263A0DBE"/>
    <w:rsid w:val="263A48F3"/>
    <w:rsid w:val="263A491A"/>
    <w:rsid w:val="263B69FA"/>
    <w:rsid w:val="263B7010"/>
    <w:rsid w:val="263C4B36"/>
    <w:rsid w:val="263C5C9B"/>
    <w:rsid w:val="263C68E5"/>
    <w:rsid w:val="263C7E48"/>
    <w:rsid w:val="263D5FA3"/>
    <w:rsid w:val="263E08AF"/>
    <w:rsid w:val="263E3E76"/>
    <w:rsid w:val="263F0183"/>
    <w:rsid w:val="263F0378"/>
    <w:rsid w:val="263F4B66"/>
    <w:rsid w:val="26404627"/>
    <w:rsid w:val="26413EFB"/>
    <w:rsid w:val="26432222"/>
    <w:rsid w:val="26432EAA"/>
    <w:rsid w:val="26434038"/>
    <w:rsid w:val="26435EC5"/>
    <w:rsid w:val="26451C3D"/>
    <w:rsid w:val="26455466"/>
    <w:rsid w:val="26461424"/>
    <w:rsid w:val="26476154"/>
    <w:rsid w:val="26480C27"/>
    <w:rsid w:val="264834DB"/>
    <w:rsid w:val="26492DAF"/>
    <w:rsid w:val="264D0AF2"/>
    <w:rsid w:val="264D3C77"/>
    <w:rsid w:val="264E00B0"/>
    <w:rsid w:val="264E2D7D"/>
    <w:rsid w:val="264E4180"/>
    <w:rsid w:val="264F4111"/>
    <w:rsid w:val="264F7447"/>
    <w:rsid w:val="26502390"/>
    <w:rsid w:val="26521638"/>
    <w:rsid w:val="26522FF6"/>
    <w:rsid w:val="2652435A"/>
    <w:rsid w:val="26527EB6"/>
    <w:rsid w:val="26532A92"/>
    <w:rsid w:val="26533F22"/>
    <w:rsid w:val="265417DD"/>
    <w:rsid w:val="265453B2"/>
    <w:rsid w:val="2655670D"/>
    <w:rsid w:val="265754CC"/>
    <w:rsid w:val="265956E8"/>
    <w:rsid w:val="26597D94"/>
    <w:rsid w:val="265A320F"/>
    <w:rsid w:val="265A4FBD"/>
    <w:rsid w:val="265A576D"/>
    <w:rsid w:val="265A6D6B"/>
    <w:rsid w:val="265C32B9"/>
    <w:rsid w:val="265C6F87"/>
    <w:rsid w:val="265C6FF8"/>
    <w:rsid w:val="265D2145"/>
    <w:rsid w:val="265D3C03"/>
    <w:rsid w:val="265E0AEC"/>
    <w:rsid w:val="265F24C5"/>
    <w:rsid w:val="265F3C06"/>
    <w:rsid w:val="265F65BF"/>
    <w:rsid w:val="26603B53"/>
    <w:rsid w:val="26606A77"/>
    <w:rsid w:val="266100F9"/>
    <w:rsid w:val="26622EB6"/>
    <w:rsid w:val="26647BE9"/>
    <w:rsid w:val="26657A78"/>
    <w:rsid w:val="26662C10"/>
    <w:rsid w:val="26663961"/>
    <w:rsid w:val="26681488"/>
    <w:rsid w:val="2668592C"/>
    <w:rsid w:val="2669278F"/>
    <w:rsid w:val="266962E5"/>
    <w:rsid w:val="266A16A4"/>
    <w:rsid w:val="266A7C50"/>
    <w:rsid w:val="266D4CF0"/>
    <w:rsid w:val="266D6A9E"/>
    <w:rsid w:val="267047E0"/>
    <w:rsid w:val="26706EAB"/>
    <w:rsid w:val="2671044C"/>
    <w:rsid w:val="267166CF"/>
    <w:rsid w:val="26720558"/>
    <w:rsid w:val="26735D8E"/>
    <w:rsid w:val="26741477"/>
    <w:rsid w:val="267442D0"/>
    <w:rsid w:val="2674607E"/>
    <w:rsid w:val="26747527"/>
    <w:rsid w:val="26751DF6"/>
    <w:rsid w:val="26761E33"/>
    <w:rsid w:val="26762451"/>
    <w:rsid w:val="267672BC"/>
    <w:rsid w:val="26772E3C"/>
    <w:rsid w:val="2677791D"/>
    <w:rsid w:val="267921EC"/>
    <w:rsid w:val="26793695"/>
    <w:rsid w:val="26795443"/>
    <w:rsid w:val="2679746A"/>
    <w:rsid w:val="267A080E"/>
    <w:rsid w:val="267A13B6"/>
    <w:rsid w:val="267A740D"/>
    <w:rsid w:val="267B2C29"/>
    <w:rsid w:val="267B309E"/>
    <w:rsid w:val="267C0103"/>
    <w:rsid w:val="267C251C"/>
    <w:rsid w:val="267C4F33"/>
    <w:rsid w:val="267D0A21"/>
    <w:rsid w:val="267E0CAB"/>
    <w:rsid w:val="267E0CCD"/>
    <w:rsid w:val="268169ED"/>
    <w:rsid w:val="26822C9D"/>
    <w:rsid w:val="268279BE"/>
    <w:rsid w:val="26832765"/>
    <w:rsid w:val="26844E74"/>
    <w:rsid w:val="26853DAD"/>
    <w:rsid w:val="26866228"/>
    <w:rsid w:val="26867B60"/>
    <w:rsid w:val="26880E9B"/>
    <w:rsid w:val="26895732"/>
    <w:rsid w:val="268A0303"/>
    <w:rsid w:val="268A58A2"/>
    <w:rsid w:val="268A6BC2"/>
    <w:rsid w:val="268B1793"/>
    <w:rsid w:val="268B33C8"/>
    <w:rsid w:val="268B629C"/>
    <w:rsid w:val="268C6E2B"/>
    <w:rsid w:val="268C786C"/>
    <w:rsid w:val="268D40B3"/>
    <w:rsid w:val="268F4C66"/>
    <w:rsid w:val="269009DE"/>
    <w:rsid w:val="26902A34"/>
    <w:rsid w:val="26912EF4"/>
    <w:rsid w:val="26914E82"/>
    <w:rsid w:val="26920BFA"/>
    <w:rsid w:val="269233F3"/>
    <w:rsid w:val="26925046"/>
    <w:rsid w:val="269262D0"/>
    <w:rsid w:val="26930033"/>
    <w:rsid w:val="2693721C"/>
    <w:rsid w:val="26937F25"/>
    <w:rsid w:val="26941833"/>
    <w:rsid w:val="26962997"/>
    <w:rsid w:val="26963FB6"/>
    <w:rsid w:val="26964247"/>
    <w:rsid w:val="26972907"/>
    <w:rsid w:val="26972C36"/>
    <w:rsid w:val="26976211"/>
    <w:rsid w:val="2697687A"/>
    <w:rsid w:val="26977FBF"/>
    <w:rsid w:val="269801E4"/>
    <w:rsid w:val="2698203F"/>
    <w:rsid w:val="26982196"/>
    <w:rsid w:val="26997893"/>
    <w:rsid w:val="269A360B"/>
    <w:rsid w:val="269B185D"/>
    <w:rsid w:val="269B3BDB"/>
    <w:rsid w:val="269B45A7"/>
    <w:rsid w:val="269C23BE"/>
    <w:rsid w:val="269D6452"/>
    <w:rsid w:val="269F0C21"/>
    <w:rsid w:val="26A07F46"/>
    <w:rsid w:val="26A10E3D"/>
    <w:rsid w:val="26A320C7"/>
    <w:rsid w:val="26A34BB6"/>
    <w:rsid w:val="26A362D9"/>
    <w:rsid w:val="26A40265"/>
    <w:rsid w:val="26A5092E"/>
    <w:rsid w:val="26A60202"/>
    <w:rsid w:val="26A7782B"/>
    <w:rsid w:val="26A83F7A"/>
    <w:rsid w:val="26A85D28"/>
    <w:rsid w:val="26A91DFC"/>
    <w:rsid w:val="26AB4FEE"/>
    <w:rsid w:val="26AB556C"/>
    <w:rsid w:val="26AB762D"/>
    <w:rsid w:val="26AC7485"/>
    <w:rsid w:val="26AD333E"/>
    <w:rsid w:val="26AE3392"/>
    <w:rsid w:val="26AF205F"/>
    <w:rsid w:val="26AF266D"/>
    <w:rsid w:val="26AF318E"/>
    <w:rsid w:val="26AF355A"/>
    <w:rsid w:val="26B11081"/>
    <w:rsid w:val="26B11D6D"/>
    <w:rsid w:val="26B15513"/>
    <w:rsid w:val="26B20144"/>
    <w:rsid w:val="26B20955"/>
    <w:rsid w:val="26B26BA7"/>
    <w:rsid w:val="26B27304"/>
    <w:rsid w:val="26B40B71"/>
    <w:rsid w:val="26B40F84"/>
    <w:rsid w:val="26B431AC"/>
    <w:rsid w:val="26B446CD"/>
    <w:rsid w:val="26B50445"/>
    <w:rsid w:val="26B648E9"/>
    <w:rsid w:val="26B741BD"/>
    <w:rsid w:val="26B75F6B"/>
    <w:rsid w:val="26B80661"/>
    <w:rsid w:val="26B857A0"/>
    <w:rsid w:val="26B97A1B"/>
    <w:rsid w:val="26B97F35"/>
    <w:rsid w:val="26BD5C77"/>
    <w:rsid w:val="26BE554B"/>
    <w:rsid w:val="26BE72FA"/>
    <w:rsid w:val="26BF0015"/>
    <w:rsid w:val="26C03072"/>
    <w:rsid w:val="26C03F07"/>
    <w:rsid w:val="26C07516"/>
    <w:rsid w:val="26C12FA3"/>
    <w:rsid w:val="26C13D2B"/>
    <w:rsid w:val="26C2328E"/>
    <w:rsid w:val="26C24433"/>
    <w:rsid w:val="26C251BB"/>
    <w:rsid w:val="26C30DB4"/>
    <w:rsid w:val="26C436F1"/>
    <w:rsid w:val="26C50117"/>
    <w:rsid w:val="26C50688"/>
    <w:rsid w:val="26C52D75"/>
    <w:rsid w:val="26C61EB7"/>
    <w:rsid w:val="26C63544"/>
    <w:rsid w:val="26C64400"/>
    <w:rsid w:val="26C64DE3"/>
    <w:rsid w:val="26C8461C"/>
    <w:rsid w:val="26C863CA"/>
    <w:rsid w:val="26CA2142"/>
    <w:rsid w:val="26CB74B6"/>
    <w:rsid w:val="26CD578F"/>
    <w:rsid w:val="26CF59AB"/>
    <w:rsid w:val="26D052F6"/>
    <w:rsid w:val="26D1527F"/>
    <w:rsid w:val="26D47CD8"/>
    <w:rsid w:val="26D61B60"/>
    <w:rsid w:val="26D62895"/>
    <w:rsid w:val="26D7485F"/>
    <w:rsid w:val="26D905D7"/>
    <w:rsid w:val="26D92385"/>
    <w:rsid w:val="26DB0572"/>
    <w:rsid w:val="26DB7801"/>
    <w:rsid w:val="26DB7EAB"/>
    <w:rsid w:val="26DC3C24"/>
    <w:rsid w:val="26DE31EC"/>
    <w:rsid w:val="26DE799C"/>
    <w:rsid w:val="26DF027A"/>
    <w:rsid w:val="26DF5727"/>
    <w:rsid w:val="26DF587C"/>
    <w:rsid w:val="26DF652C"/>
    <w:rsid w:val="26E01966"/>
    <w:rsid w:val="26E079BC"/>
    <w:rsid w:val="26E225D9"/>
    <w:rsid w:val="26E24750"/>
    <w:rsid w:val="26E30E86"/>
    <w:rsid w:val="26E34A53"/>
    <w:rsid w:val="26E50C5D"/>
    <w:rsid w:val="26E50D2A"/>
    <w:rsid w:val="26E71953"/>
    <w:rsid w:val="26E72CF4"/>
    <w:rsid w:val="26E74AA2"/>
    <w:rsid w:val="26E8081A"/>
    <w:rsid w:val="26EA27E4"/>
    <w:rsid w:val="26EA4592"/>
    <w:rsid w:val="26EA6EAE"/>
    <w:rsid w:val="26EB2DF3"/>
    <w:rsid w:val="26EC030B"/>
    <w:rsid w:val="26EC20B9"/>
    <w:rsid w:val="26ED1ED0"/>
    <w:rsid w:val="26EE1644"/>
    <w:rsid w:val="26EE5225"/>
    <w:rsid w:val="26EF0C02"/>
    <w:rsid w:val="26F03B92"/>
    <w:rsid w:val="26F15921"/>
    <w:rsid w:val="26F176CF"/>
    <w:rsid w:val="26F21D62"/>
    <w:rsid w:val="26F31699"/>
    <w:rsid w:val="26F34D08"/>
    <w:rsid w:val="26F465AD"/>
    <w:rsid w:val="26F471BF"/>
    <w:rsid w:val="26F70A5D"/>
    <w:rsid w:val="26F92072"/>
    <w:rsid w:val="26F92A28"/>
    <w:rsid w:val="26F93821"/>
    <w:rsid w:val="26FB22FC"/>
    <w:rsid w:val="26FC3A61"/>
    <w:rsid w:val="26FC7E22"/>
    <w:rsid w:val="26FD2518"/>
    <w:rsid w:val="26FD7559"/>
    <w:rsid w:val="26FE003E"/>
    <w:rsid w:val="26FE083F"/>
    <w:rsid w:val="26FE1DEC"/>
    <w:rsid w:val="26FE2633"/>
    <w:rsid w:val="27027B2E"/>
    <w:rsid w:val="270311B0"/>
    <w:rsid w:val="27042DFE"/>
    <w:rsid w:val="270513CC"/>
    <w:rsid w:val="27063A98"/>
    <w:rsid w:val="27075144"/>
    <w:rsid w:val="27076EF2"/>
    <w:rsid w:val="27090058"/>
    <w:rsid w:val="270A253F"/>
    <w:rsid w:val="270A69E3"/>
    <w:rsid w:val="270C052C"/>
    <w:rsid w:val="270C275B"/>
    <w:rsid w:val="270C4509"/>
    <w:rsid w:val="270C62B7"/>
    <w:rsid w:val="270D0F81"/>
    <w:rsid w:val="270F12F9"/>
    <w:rsid w:val="270F224B"/>
    <w:rsid w:val="270F5DA7"/>
    <w:rsid w:val="27106495"/>
    <w:rsid w:val="27111B1F"/>
    <w:rsid w:val="271128C1"/>
    <w:rsid w:val="2712110B"/>
    <w:rsid w:val="27124E5F"/>
    <w:rsid w:val="271251B0"/>
    <w:rsid w:val="27127645"/>
    <w:rsid w:val="27134C96"/>
    <w:rsid w:val="271433BD"/>
    <w:rsid w:val="271456F3"/>
    <w:rsid w:val="271565FB"/>
    <w:rsid w:val="271611CC"/>
    <w:rsid w:val="27161D7A"/>
    <w:rsid w:val="27177A4E"/>
    <w:rsid w:val="27181100"/>
    <w:rsid w:val="27182EAE"/>
    <w:rsid w:val="271947B3"/>
    <w:rsid w:val="27194E78"/>
    <w:rsid w:val="27196C26"/>
    <w:rsid w:val="271A0364"/>
    <w:rsid w:val="271B299E"/>
    <w:rsid w:val="271B474C"/>
    <w:rsid w:val="271B6D61"/>
    <w:rsid w:val="271C2272"/>
    <w:rsid w:val="271D6716"/>
    <w:rsid w:val="271E5FEA"/>
    <w:rsid w:val="271F27F9"/>
    <w:rsid w:val="27201D62"/>
    <w:rsid w:val="27206206"/>
    <w:rsid w:val="27221F7E"/>
    <w:rsid w:val="27225ADA"/>
    <w:rsid w:val="27230718"/>
    <w:rsid w:val="27233601"/>
    <w:rsid w:val="27237D82"/>
    <w:rsid w:val="27240B0C"/>
    <w:rsid w:val="27242053"/>
    <w:rsid w:val="27250A4C"/>
    <w:rsid w:val="2725381D"/>
    <w:rsid w:val="272603CD"/>
    <w:rsid w:val="27260CC1"/>
    <w:rsid w:val="27271343"/>
    <w:rsid w:val="27280E07"/>
    <w:rsid w:val="2728280B"/>
    <w:rsid w:val="2728708D"/>
    <w:rsid w:val="27292135"/>
    <w:rsid w:val="2729376B"/>
    <w:rsid w:val="272A0E33"/>
    <w:rsid w:val="272D3A1A"/>
    <w:rsid w:val="272E7452"/>
    <w:rsid w:val="272F6449"/>
    <w:rsid w:val="27300E27"/>
    <w:rsid w:val="273145D9"/>
    <w:rsid w:val="27321A96"/>
    <w:rsid w:val="27346BCB"/>
    <w:rsid w:val="27361C32"/>
    <w:rsid w:val="27363334"/>
    <w:rsid w:val="273642CF"/>
    <w:rsid w:val="273677D8"/>
    <w:rsid w:val="27374AC8"/>
    <w:rsid w:val="27383550"/>
    <w:rsid w:val="273870AC"/>
    <w:rsid w:val="273A33D6"/>
    <w:rsid w:val="273B1A56"/>
    <w:rsid w:val="273B3040"/>
    <w:rsid w:val="273B6B9C"/>
    <w:rsid w:val="273C703B"/>
    <w:rsid w:val="273E4544"/>
    <w:rsid w:val="2740175F"/>
    <w:rsid w:val="274041B2"/>
    <w:rsid w:val="27413443"/>
    <w:rsid w:val="274214D2"/>
    <w:rsid w:val="27424F76"/>
    <w:rsid w:val="2742604A"/>
    <w:rsid w:val="27435A51"/>
    <w:rsid w:val="27441EF5"/>
    <w:rsid w:val="274511BB"/>
    <w:rsid w:val="274517C9"/>
    <w:rsid w:val="274521CF"/>
    <w:rsid w:val="27466D84"/>
    <w:rsid w:val="27467732"/>
    <w:rsid w:val="274719E5"/>
    <w:rsid w:val="27473793"/>
    <w:rsid w:val="274743D1"/>
    <w:rsid w:val="27483067"/>
    <w:rsid w:val="274A2813"/>
    <w:rsid w:val="274A3283"/>
    <w:rsid w:val="274B75E1"/>
    <w:rsid w:val="274C2B57"/>
    <w:rsid w:val="274D5075"/>
    <w:rsid w:val="274E68CF"/>
    <w:rsid w:val="274F2647"/>
    <w:rsid w:val="274F43F6"/>
    <w:rsid w:val="27500494"/>
    <w:rsid w:val="2751016E"/>
    <w:rsid w:val="27533EE6"/>
    <w:rsid w:val="27545AF9"/>
    <w:rsid w:val="27545EB0"/>
    <w:rsid w:val="27547C5E"/>
    <w:rsid w:val="27562DC8"/>
    <w:rsid w:val="27565784"/>
    <w:rsid w:val="27581028"/>
    <w:rsid w:val="27585913"/>
    <w:rsid w:val="2758774E"/>
    <w:rsid w:val="275A389E"/>
    <w:rsid w:val="275A6A44"/>
    <w:rsid w:val="275A7C9A"/>
    <w:rsid w:val="275B28C6"/>
    <w:rsid w:val="275B2D9A"/>
    <w:rsid w:val="275C758B"/>
    <w:rsid w:val="275D0CD9"/>
    <w:rsid w:val="275D4004"/>
    <w:rsid w:val="275F0ADD"/>
    <w:rsid w:val="27602AA7"/>
    <w:rsid w:val="27606603"/>
    <w:rsid w:val="27606BE6"/>
    <w:rsid w:val="276245CA"/>
    <w:rsid w:val="27637353"/>
    <w:rsid w:val="27637CDD"/>
    <w:rsid w:val="27637EA1"/>
    <w:rsid w:val="27640C62"/>
    <w:rsid w:val="276460F3"/>
    <w:rsid w:val="27653C19"/>
    <w:rsid w:val="27675BE3"/>
    <w:rsid w:val="27675EA2"/>
    <w:rsid w:val="27680A73"/>
    <w:rsid w:val="27683C0B"/>
    <w:rsid w:val="27684CB5"/>
    <w:rsid w:val="2769195B"/>
    <w:rsid w:val="27691F03"/>
    <w:rsid w:val="276A6C70"/>
    <w:rsid w:val="276B11ED"/>
    <w:rsid w:val="276C144B"/>
    <w:rsid w:val="276C31F9"/>
    <w:rsid w:val="276E31A4"/>
    <w:rsid w:val="276E51C4"/>
    <w:rsid w:val="276F41FD"/>
    <w:rsid w:val="276F4A98"/>
    <w:rsid w:val="27712FBE"/>
    <w:rsid w:val="27713183"/>
    <w:rsid w:val="277148C7"/>
    <w:rsid w:val="27741BE7"/>
    <w:rsid w:val="27743E5C"/>
    <w:rsid w:val="27747016"/>
    <w:rsid w:val="27753226"/>
    <w:rsid w:val="27761936"/>
    <w:rsid w:val="27764078"/>
    <w:rsid w:val="277652CD"/>
    <w:rsid w:val="27787109"/>
    <w:rsid w:val="277A3D09"/>
    <w:rsid w:val="277A5916"/>
    <w:rsid w:val="277C48A6"/>
    <w:rsid w:val="277D0F63"/>
    <w:rsid w:val="277E39BB"/>
    <w:rsid w:val="277F2F2D"/>
    <w:rsid w:val="277F7D96"/>
    <w:rsid w:val="27800A53"/>
    <w:rsid w:val="27801050"/>
    <w:rsid w:val="278054DC"/>
    <w:rsid w:val="27812338"/>
    <w:rsid w:val="27816E97"/>
    <w:rsid w:val="27817354"/>
    <w:rsid w:val="2782268D"/>
    <w:rsid w:val="27822A1D"/>
    <w:rsid w:val="27822AAA"/>
    <w:rsid w:val="278247CB"/>
    <w:rsid w:val="27826579"/>
    <w:rsid w:val="27831F08"/>
    <w:rsid w:val="27845284"/>
    <w:rsid w:val="2785238E"/>
    <w:rsid w:val="27862103"/>
    <w:rsid w:val="2786250D"/>
    <w:rsid w:val="2786719A"/>
    <w:rsid w:val="27870CB7"/>
    <w:rsid w:val="27871DE1"/>
    <w:rsid w:val="27882182"/>
    <w:rsid w:val="278848DC"/>
    <w:rsid w:val="278A18D2"/>
    <w:rsid w:val="278A2E81"/>
    <w:rsid w:val="278A3680"/>
    <w:rsid w:val="278B17F4"/>
    <w:rsid w:val="278B7664"/>
    <w:rsid w:val="278B7B3B"/>
    <w:rsid w:val="278C389C"/>
    <w:rsid w:val="278C564A"/>
    <w:rsid w:val="278D0BE4"/>
    <w:rsid w:val="278D163F"/>
    <w:rsid w:val="278D7565"/>
    <w:rsid w:val="278E13C2"/>
    <w:rsid w:val="278E278E"/>
    <w:rsid w:val="278E3320"/>
    <w:rsid w:val="278E7556"/>
    <w:rsid w:val="279050AE"/>
    <w:rsid w:val="2790513A"/>
    <w:rsid w:val="279066BB"/>
    <w:rsid w:val="27907C7F"/>
    <w:rsid w:val="27910EB2"/>
    <w:rsid w:val="27912C60"/>
    <w:rsid w:val="27914E30"/>
    <w:rsid w:val="27915E12"/>
    <w:rsid w:val="27921723"/>
    <w:rsid w:val="27923D90"/>
    <w:rsid w:val="27930786"/>
    <w:rsid w:val="279369D8"/>
    <w:rsid w:val="279462AC"/>
    <w:rsid w:val="27960B86"/>
    <w:rsid w:val="279623B0"/>
    <w:rsid w:val="27965624"/>
    <w:rsid w:val="279664C8"/>
    <w:rsid w:val="2797427E"/>
    <w:rsid w:val="2797604D"/>
    <w:rsid w:val="27982240"/>
    <w:rsid w:val="27985D9D"/>
    <w:rsid w:val="279A0D31"/>
    <w:rsid w:val="279A2F30"/>
    <w:rsid w:val="279A7D67"/>
    <w:rsid w:val="279B3ADF"/>
    <w:rsid w:val="279B763B"/>
    <w:rsid w:val="279D1605"/>
    <w:rsid w:val="279D1BF8"/>
    <w:rsid w:val="279D44C4"/>
    <w:rsid w:val="279D7A30"/>
    <w:rsid w:val="279E2283"/>
    <w:rsid w:val="279E3C38"/>
    <w:rsid w:val="279F35CF"/>
    <w:rsid w:val="27A0273B"/>
    <w:rsid w:val="27A02EA3"/>
    <w:rsid w:val="27A04BA3"/>
    <w:rsid w:val="27A42993"/>
    <w:rsid w:val="27A54906"/>
    <w:rsid w:val="27A54CFD"/>
    <w:rsid w:val="27A60015"/>
    <w:rsid w:val="27A6495D"/>
    <w:rsid w:val="27A659A7"/>
    <w:rsid w:val="27A72484"/>
    <w:rsid w:val="27A961FC"/>
    <w:rsid w:val="27A97FAA"/>
    <w:rsid w:val="27AA33F7"/>
    <w:rsid w:val="27AA5AD0"/>
    <w:rsid w:val="27AB1F74"/>
    <w:rsid w:val="27AC1848"/>
    <w:rsid w:val="27AC6936"/>
    <w:rsid w:val="27AE3812"/>
    <w:rsid w:val="27AE55C0"/>
    <w:rsid w:val="27AE7A6F"/>
    <w:rsid w:val="27AF1AC7"/>
    <w:rsid w:val="27B00E10"/>
    <w:rsid w:val="27B318D8"/>
    <w:rsid w:val="27B34984"/>
    <w:rsid w:val="27B4482F"/>
    <w:rsid w:val="27B54BA0"/>
    <w:rsid w:val="27B64475"/>
    <w:rsid w:val="27B66DC9"/>
    <w:rsid w:val="27B8253B"/>
    <w:rsid w:val="27B8643F"/>
    <w:rsid w:val="27BA031B"/>
    <w:rsid w:val="27BA7F0C"/>
    <w:rsid w:val="27BB45EF"/>
    <w:rsid w:val="27BB5B99"/>
    <w:rsid w:val="27BD5803"/>
    <w:rsid w:val="27BE17EE"/>
    <w:rsid w:val="27BE34B4"/>
    <w:rsid w:val="27BF00C3"/>
    <w:rsid w:val="27BF157B"/>
    <w:rsid w:val="27BF3329"/>
    <w:rsid w:val="27BF3F2A"/>
    <w:rsid w:val="27BF62C6"/>
    <w:rsid w:val="27BF6D98"/>
    <w:rsid w:val="27C070A1"/>
    <w:rsid w:val="27C22E19"/>
    <w:rsid w:val="27C4122E"/>
    <w:rsid w:val="27C4285D"/>
    <w:rsid w:val="27C4384D"/>
    <w:rsid w:val="27C44DE4"/>
    <w:rsid w:val="27C50512"/>
    <w:rsid w:val="27C546B8"/>
    <w:rsid w:val="27C5542E"/>
    <w:rsid w:val="27C60B5C"/>
    <w:rsid w:val="27C6148F"/>
    <w:rsid w:val="27C6290A"/>
    <w:rsid w:val="27C9064C"/>
    <w:rsid w:val="27C92032"/>
    <w:rsid w:val="27C9523F"/>
    <w:rsid w:val="27CA68EB"/>
    <w:rsid w:val="27CC1EEA"/>
    <w:rsid w:val="27CC3C98"/>
    <w:rsid w:val="27CC5A46"/>
    <w:rsid w:val="27CC5F69"/>
    <w:rsid w:val="27CD4F03"/>
    <w:rsid w:val="27CE0E6D"/>
    <w:rsid w:val="27CE17BE"/>
    <w:rsid w:val="27CE1983"/>
    <w:rsid w:val="27CF1D14"/>
    <w:rsid w:val="27D019DA"/>
    <w:rsid w:val="27D12ABF"/>
    <w:rsid w:val="27D217D2"/>
    <w:rsid w:val="27D25752"/>
    <w:rsid w:val="27D33279"/>
    <w:rsid w:val="27D50D9F"/>
    <w:rsid w:val="27D54340"/>
    <w:rsid w:val="27D547E6"/>
    <w:rsid w:val="27D72D69"/>
    <w:rsid w:val="27D74B17"/>
    <w:rsid w:val="27D767A4"/>
    <w:rsid w:val="27D8088F"/>
    <w:rsid w:val="27D8263D"/>
    <w:rsid w:val="27D84E00"/>
    <w:rsid w:val="27D859F7"/>
    <w:rsid w:val="27DA0163"/>
    <w:rsid w:val="27DC649D"/>
    <w:rsid w:val="27DD40F7"/>
    <w:rsid w:val="27DD7C53"/>
    <w:rsid w:val="27DE16C1"/>
    <w:rsid w:val="27DE2039"/>
    <w:rsid w:val="27E070B1"/>
    <w:rsid w:val="27E234BC"/>
    <w:rsid w:val="27E2526A"/>
    <w:rsid w:val="27E40FE2"/>
    <w:rsid w:val="27E47234"/>
    <w:rsid w:val="27E51657"/>
    <w:rsid w:val="27E53D82"/>
    <w:rsid w:val="27E56B08"/>
    <w:rsid w:val="27E62FAC"/>
    <w:rsid w:val="27E85793"/>
    <w:rsid w:val="27E86D24"/>
    <w:rsid w:val="27E930E8"/>
    <w:rsid w:val="27E9484A"/>
    <w:rsid w:val="27E94FC7"/>
    <w:rsid w:val="27EA373C"/>
    <w:rsid w:val="27EB3FC2"/>
    <w:rsid w:val="27ED4AD5"/>
    <w:rsid w:val="27ED6B9C"/>
    <w:rsid w:val="27F01B2B"/>
    <w:rsid w:val="27F05BD9"/>
    <w:rsid w:val="27F1354C"/>
    <w:rsid w:val="27F136FF"/>
    <w:rsid w:val="27F25FE6"/>
    <w:rsid w:val="27F37477"/>
    <w:rsid w:val="27F40B59"/>
    <w:rsid w:val="27F4323D"/>
    <w:rsid w:val="27F531EF"/>
    <w:rsid w:val="27F53587"/>
    <w:rsid w:val="27F54F9D"/>
    <w:rsid w:val="27F6479E"/>
    <w:rsid w:val="27F771BD"/>
    <w:rsid w:val="27F820D1"/>
    <w:rsid w:val="27F86521"/>
    <w:rsid w:val="27FA25B3"/>
    <w:rsid w:val="27FA406D"/>
    <w:rsid w:val="27FA59C2"/>
    <w:rsid w:val="27FA6A57"/>
    <w:rsid w:val="27FB7FF1"/>
    <w:rsid w:val="27FC7546"/>
    <w:rsid w:val="27FC7582"/>
    <w:rsid w:val="27FD27BD"/>
    <w:rsid w:val="27FF5E1C"/>
    <w:rsid w:val="280115A7"/>
    <w:rsid w:val="280253D0"/>
    <w:rsid w:val="2802590C"/>
    <w:rsid w:val="28033B5E"/>
    <w:rsid w:val="28041684"/>
    <w:rsid w:val="28043432"/>
    <w:rsid w:val="280443E1"/>
    <w:rsid w:val="280451E0"/>
    <w:rsid w:val="280671AA"/>
    <w:rsid w:val="28086092"/>
    <w:rsid w:val="28086671"/>
    <w:rsid w:val="28094EEC"/>
    <w:rsid w:val="280A3B62"/>
    <w:rsid w:val="280B2A12"/>
    <w:rsid w:val="280B3893"/>
    <w:rsid w:val="280B47C0"/>
    <w:rsid w:val="280B6733"/>
    <w:rsid w:val="280B7BC3"/>
    <w:rsid w:val="280C34E3"/>
    <w:rsid w:val="280E29C8"/>
    <w:rsid w:val="280E605F"/>
    <w:rsid w:val="280E6BC0"/>
    <w:rsid w:val="280F16F3"/>
    <w:rsid w:val="28100029"/>
    <w:rsid w:val="28100259"/>
    <w:rsid w:val="281178FD"/>
    <w:rsid w:val="28123DA1"/>
    <w:rsid w:val="28153D7B"/>
    <w:rsid w:val="2815563F"/>
    <w:rsid w:val="28164F13"/>
    <w:rsid w:val="281713B7"/>
    <w:rsid w:val="28174CD6"/>
    <w:rsid w:val="28177609"/>
    <w:rsid w:val="28186EDD"/>
    <w:rsid w:val="281875F6"/>
    <w:rsid w:val="281921C7"/>
    <w:rsid w:val="28197ACE"/>
    <w:rsid w:val="281A0EA7"/>
    <w:rsid w:val="281C077C"/>
    <w:rsid w:val="281C0B48"/>
    <w:rsid w:val="281E2BE2"/>
    <w:rsid w:val="281F0A97"/>
    <w:rsid w:val="281F64BE"/>
    <w:rsid w:val="281F7E8F"/>
    <w:rsid w:val="28205BB5"/>
    <w:rsid w:val="28210CC5"/>
    <w:rsid w:val="28212236"/>
    <w:rsid w:val="28215D92"/>
    <w:rsid w:val="2826784C"/>
    <w:rsid w:val="28272B19"/>
    <w:rsid w:val="282910EA"/>
    <w:rsid w:val="28296EC2"/>
    <w:rsid w:val="282A6150"/>
    <w:rsid w:val="282B0427"/>
    <w:rsid w:val="282C4737"/>
    <w:rsid w:val="282D2989"/>
    <w:rsid w:val="282D51B1"/>
    <w:rsid w:val="282F6FE6"/>
    <w:rsid w:val="28302479"/>
    <w:rsid w:val="28321328"/>
    <w:rsid w:val="28323E81"/>
    <w:rsid w:val="28333D17"/>
    <w:rsid w:val="283347BF"/>
    <w:rsid w:val="28335AC5"/>
    <w:rsid w:val="28341F69"/>
    <w:rsid w:val="283608EC"/>
    <w:rsid w:val="28360F52"/>
    <w:rsid w:val="28377363"/>
    <w:rsid w:val="28380077"/>
    <w:rsid w:val="2838132E"/>
    <w:rsid w:val="28383CC0"/>
    <w:rsid w:val="283A2E44"/>
    <w:rsid w:val="283D0261"/>
    <w:rsid w:val="283D06F2"/>
    <w:rsid w:val="283D33AC"/>
    <w:rsid w:val="283D4824"/>
    <w:rsid w:val="283D650B"/>
    <w:rsid w:val="283D6944"/>
    <w:rsid w:val="283E2A52"/>
    <w:rsid w:val="283E2EFB"/>
    <w:rsid w:val="283F2A73"/>
    <w:rsid w:val="283F3982"/>
    <w:rsid w:val="28405372"/>
    <w:rsid w:val="28407A93"/>
    <w:rsid w:val="2841062D"/>
    <w:rsid w:val="284178CB"/>
    <w:rsid w:val="284275D7"/>
    <w:rsid w:val="284301C5"/>
    <w:rsid w:val="284304EB"/>
    <w:rsid w:val="284321AC"/>
    <w:rsid w:val="28433CF3"/>
    <w:rsid w:val="28441ACC"/>
    <w:rsid w:val="28455410"/>
    <w:rsid w:val="28461C9C"/>
    <w:rsid w:val="2849353E"/>
    <w:rsid w:val="284A1FB6"/>
    <w:rsid w:val="284B0CE8"/>
    <w:rsid w:val="284B2E0F"/>
    <w:rsid w:val="284C4ACD"/>
    <w:rsid w:val="284C7BD6"/>
    <w:rsid w:val="284C7D86"/>
    <w:rsid w:val="284D302B"/>
    <w:rsid w:val="284F58BC"/>
    <w:rsid w:val="284F6DA3"/>
    <w:rsid w:val="28500425"/>
    <w:rsid w:val="28506677"/>
    <w:rsid w:val="28510CB4"/>
    <w:rsid w:val="28537347"/>
    <w:rsid w:val="28542F37"/>
    <w:rsid w:val="28546167"/>
    <w:rsid w:val="28550131"/>
    <w:rsid w:val="28561832"/>
    <w:rsid w:val="28562877"/>
    <w:rsid w:val="28572169"/>
    <w:rsid w:val="28577A06"/>
    <w:rsid w:val="28581651"/>
    <w:rsid w:val="28591024"/>
    <w:rsid w:val="285940BD"/>
    <w:rsid w:val="28595C3D"/>
    <w:rsid w:val="285A74F6"/>
    <w:rsid w:val="285C501C"/>
    <w:rsid w:val="285C6DCA"/>
    <w:rsid w:val="285D2B42"/>
    <w:rsid w:val="285E08FB"/>
    <w:rsid w:val="285F2D5E"/>
    <w:rsid w:val="285F4B0C"/>
    <w:rsid w:val="285F74E4"/>
    <w:rsid w:val="28615CBB"/>
    <w:rsid w:val="28620159"/>
    <w:rsid w:val="286363AA"/>
    <w:rsid w:val="28663B6C"/>
    <w:rsid w:val="28676DA1"/>
    <w:rsid w:val="28695261"/>
    <w:rsid w:val="286A42FF"/>
    <w:rsid w:val="286A7DAB"/>
    <w:rsid w:val="286B1703"/>
    <w:rsid w:val="286C45FB"/>
    <w:rsid w:val="286C5EC7"/>
    <w:rsid w:val="286D6AB5"/>
    <w:rsid w:val="286D796A"/>
    <w:rsid w:val="286E33BD"/>
    <w:rsid w:val="286E3DC0"/>
    <w:rsid w:val="286E6AFD"/>
    <w:rsid w:val="286F3CA8"/>
    <w:rsid w:val="28700AC7"/>
    <w:rsid w:val="28706D19"/>
    <w:rsid w:val="287141A0"/>
    <w:rsid w:val="28724840"/>
    <w:rsid w:val="28731691"/>
    <w:rsid w:val="287560DE"/>
    <w:rsid w:val="287614C8"/>
    <w:rsid w:val="2876206B"/>
    <w:rsid w:val="28767625"/>
    <w:rsid w:val="28771E56"/>
    <w:rsid w:val="287814A2"/>
    <w:rsid w:val="2878285E"/>
    <w:rsid w:val="28793E20"/>
    <w:rsid w:val="287959E4"/>
    <w:rsid w:val="28795BCE"/>
    <w:rsid w:val="287C121A"/>
    <w:rsid w:val="287E0E75"/>
    <w:rsid w:val="287E1436"/>
    <w:rsid w:val="287F1E93"/>
    <w:rsid w:val="287F5223"/>
    <w:rsid w:val="28800981"/>
    <w:rsid w:val="288051AE"/>
    <w:rsid w:val="28810F26"/>
    <w:rsid w:val="2881374C"/>
    <w:rsid w:val="28813BB1"/>
    <w:rsid w:val="28816866"/>
    <w:rsid w:val="28827CF6"/>
    <w:rsid w:val="288602EB"/>
    <w:rsid w:val="2886653D"/>
    <w:rsid w:val="28870BE3"/>
    <w:rsid w:val="288822B5"/>
    <w:rsid w:val="28884063"/>
    <w:rsid w:val="28885E11"/>
    <w:rsid w:val="28887BBF"/>
    <w:rsid w:val="28890D09"/>
    <w:rsid w:val="28892F4D"/>
    <w:rsid w:val="288A1B89"/>
    <w:rsid w:val="288A7DDB"/>
    <w:rsid w:val="288B3B53"/>
    <w:rsid w:val="288D370C"/>
    <w:rsid w:val="288F719F"/>
    <w:rsid w:val="2890116A"/>
    <w:rsid w:val="28906419"/>
    <w:rsid w:val="28914623"/>
    <w:rsid w:val="28915EC8"/>
    <w:rsid w:val="28920B61"/>
    <w:rsid w:val="28922520"/>
    <w:rsid w:val="28931F92"/>
    <w:rsid w:val="28942A08"/>
    <w:rsid w:val="28943227"/>
    <w:rsid w:val="2895052E"/>
    <w:rsid w:val="289522DC"/>
    <w:rsid w:val="28957022"/>
    <w:rsid w:val="28970286"/>
    <w:rsid w:val="289724F8"/>
    <w:rsid w:val="289742A6"/>
    <w:rsid w:val="28976054"/>
    <w:rsid w:val="2899001E"/>
    <w:rsid w:val="28991DCC"/>
    <w:rsid w:val="28992885"/>
    <w:rsid w:val="289B0EFF"/>
    <w:rsid w:val="289B4DD5"/>
    <w:rsid w:val="289C366A"/>
    <w:rsid w:val="289C3F8F"/>
    <w:rsid w:val="289F0154"/>
    <w:rsid w:val="289F6A33"/>
    <w:rsid w:val="289F6B66"/>
    <w:rsid w:val="28A01DEF"/>
    <w:rsid w:val="28A03B72"/>
    <w:rsid w:val="28A075FF"/>
    <w:rsid w:val="28A077D3"/>
    <w:rsid w:val="28A1537A"/>
    <w:rsid w:val="28A30E9D"/>
    <w:rsid w:val="28A32C4B"/>
    <w:rsid w:val="28A349F9"/>
    <w:rsid w:val="28A36CB5"/>
    <w:rsid w:val="28A4018B"/>
    <w:rsid w:val="28A44C56"/>
    <w:rsid w:val="28A5377B"/>
    <w:rsid w:val="28A569C3"/>
    <w:rsid w:val="28A623CA"/>
    <w:rsid w:val="28A644E9"/>
    <w:rsid w:val="28A80261"/>
    <w:rsid w:val="28AA1675"/>
    <w:rsid w:val="28AA222B"/>
    <w:rsid w:val="28AA3FD9"/>
    <w:rsid w:val="28AB1AFF"/>
    <w:rsid w:val="28AB3624"/>
    <w:rsid w:val="28AD0C33"/>
    <w:rsid w:val="28AE051B"/>
    <w:rsid w:val="28AE47C0"/>
    <w:rsid w:val="28AE6842"/>
    <w:rsid w:val="28AF7842"/>
    <w:rsid w:val="28B05368"/>
    <w:rsid w:val="28B210E0"/>
    <w:rsid w:val="28B22E8E"/>
    <w:rsid w:val="28B27332"/>
    <w:rsid w:val="28B36B23"/>
    <w:rsid w:val="28B409B4"/>
    <w:rsid w:val="28B416F4"/>
    <w:rsid w:val="28B44E58"/>
    <w:rsid w:val="28B5297E"/>
    <w:rsid w:val="28B56E96"/>
    <w:rsid w:val="28B572FC"/>
    <w:rsid w:val="28B64CA1"/>
    <w:rsid w:val="28B65388"/>
    <w:rsid w:val="28B6769B"/>
    <w:rsid w:val="28B766BC"/>
    <w:rsid w:val="28B766F6"/>
    <w:rsid w:val="28B9246E"/>
    <w:rsid w:val="28B9488F"/>
    <w:rsid w:val="28BA5189"/>
    <w:rsid w:val="28BB2585"/>
    <w:rsid w:val="28BB61E6"/>
    <w:rsid w:val="28BC1F5F"/>
    <w:rsid w:val="28BD7A48"/>
    <w:rsid w:val="28BE4931"/>
    <w:rsid w:val="28BE5C95"/>
    <w:rsid w:val="28BE7A85"/>
    <w:rsid w:val="28BF1224"/>
    <w:rsid w:val="28C01A4F"/>
    <w:rsid w:val="28C02D0C"/>
    <w:rsid w:val="28C11323"/>
    <w:rsid w:val="28C17575"/>
    <w:rsid w:val="28C24882"/>
    <w:rsid w:val="28C340E2"/>
    <w:rsid w:val="28C36E49"/>
    <w:rsid w:val="28C43164"/>
    <w:rsid w:val="28C50E71"/>
    <w:rsid w:val="28C56655"/>
    <w:rsid w:val="28C57065"/>
    <w:rsid w:val="28C606E7"/>
    <w:rsid w:val="28C6144A"/>
    <w:rsid w:val="28C64352"/>
    <w:rsid w:val="28C64B8B"/>
    <w:rsid w:val="28C6559B"/>
    <w:rsid w:val="28C80903"/>
    <w:rsid w:val="28C8445F"/>
    <w:rsid w:val="28C9757A"/>
    <w:rsid w:val="28C978B9"/>
    <w:rsid w:val="28CA01D8"/>
    <w:rsid w:val="28CA642A"/>
    <w:rsid w:val="28CB0CEA"/>
    <w:rsid w:val="28CB1816"/>
    <w:rsid w:val="28CC03F4"/>
    <w:rsid w:val="28CD5F1A"/>
    <w:rsid w:val="28CD7CC8"/>
    <w:rsid w:val="28CF4C5E"/>
    <w:rsid w:val="28CF57EE"/>
    <w:rsid w:val="28D177B8"/>
    <w:rsid w:val="28D23530"/>
    <w:rsid w:val="28D3799D"/>
    <w:rsid w:val="28D46D7A"/>
    <w:rsid w:val="28D472A8"/>
    <w:rsid w:val="28D4759D"/>
    <w:rsid w:val="28D63020"/>
    <w:rsid w:val="28D64DCE"/>
    <w:rsid w:val="28D71AD5"/>
    <w:rsid w:val="28D728F5"/>
    <w:rsid w:val="28D76D98"/>
    <w:rsid w:val="28D9041B"/>
    <w:rsid w:val="28D948BF"/>
    <w:rsid w:val="28D97627"/>
    <w:rsid w:val="28DC236C"/>
    <w:rsid w:val="28DD04D1"/>
    <w:rsid w:val="28DE0127"/>
    <w:rsid w:val="28DF17A9"/>
    <w:rsid w:val="28DF3C76"/>
    <w:rsid w:val="28E00A93"/>
    <w:rsid w:val="28E36C1A"/>
    <w:rsid w:val="28E374EB"/>
    <w:rsid w:val="28E514B5"/>
    <w:rsid w:val="28E74583"/>
    <w:rsid w:val="28E76302"/>
    <w:rsid w:val="28E82D54"/>
    <w:rsid w:val="28E842D2"/>
    <w:rsid w:val="28EA2628"/>
    <w:rsid w:val="28EA35BC"/>
    <w:rsid w:val="28EB5A86"/>
    <w:rsid w:val="28EB63A0"/>
    <w:rsid w:val="28EC45F2"/>
    <w:rsid w:val="28EC5824"/>
    <w:rsid w:val="28ED036A"/>
    <w:rsid w:val="28ED3EC6"/>
    <w:rsid w:val="28ED73E2"/>
    <w:rsid w:val="28EE2F0B"/>
    <w:rsid w:val="28EF5E90"/>
    <w:rsid w:val="28EF6DDD"/>
    <w:rsid w:val="28F039B6"/>
    <w:rsid w:val="28F05CD3"/>
    <w:rsid w:val="28F11C08"/>
    <w:rsid w:val="28F145D0"/>
    <w:rsid w:val="28F214DC"/>
    <w:rsid w:val="28F25980"/>
    <w:rsid w:val="28F33FB6"/>
    <w:rsid w:val="28F60FCD"/>
    <w:rsid w:val="28F66353"/>
    <w:rsid w:val="28F72F97"/>
    <w:rsid w:val="28F74D45"/>
    <w:rsid w:val="28F931A5"/>
    <w:rsid w:val="28F96D0F"/>
    <w:rsid w:val="28FA45AA"/>
    <w:rsid w:val="28FB2A87"/>
    <w:rsid w:val="28FB471E"/>
    <w:rsid w:val="28FB4835"/>
    <w:rsid w:val="28FB65E3"/>
    <w:rsid w:val="28FC235B"/>
    <w:rsid w:val="28FD4B60"/>
    <w:rsid w:val="28FD67FF"/>
    <w:rsid w:val="28FE2577"/>
    <w:rsid w:val="29015BC3"/>
    <w:rsid w:val="29024589"/>
    <w:rsid w:val="29030EDA"/>
    <w:rsid w:val="29037B8D"/>
    <w:rsid w:val="29051210"/>
    <w:rsid w:val="29051D3F"/>
    <w:rsid w:val="29053906"/>
    <w:rsid w:val="290563CB"/>
    <w:rsid w:val="29057462"/>
    <w:rsid w:val="29057D3F"/>
    <w:rsid w:val="29080D00"/>
    <w:rsid w:val="2908530F"/>
    <w:rsid w:val="29086F52"/>
    <w:rsid w:val="290A37D9"/>
    <w:rsid w:val="290A574F"/>
    <w:rsid w:val="290A7476"/>
    <w:rsid w:val="290B7159"/>
    <w:rsid w:val="290B7627"/>
    <w:rsid w:val="290C4C94"/>
    <w:rsid w:val="290D6316"/>
    <w:rsid w:val="290F029B"/>
    <w:rsid w:val="290F3DD1"/>
    <w:rsid w:val="290F6532"/>
    <w:rsid w:val="29121B7F"/>
    <w:rsid w:val="29122110"/>
    <w:rsid w:val="2912392D"/>
    <w:rsid w:val="29143B49"/>
    <w:rsid w:val="2916166F"/>
    <w:rsid w:val="2916341D"/>
    <w:rsid w:val="29163C7F"/>
    <w:rsid w:val="29181BE3"/>
    <w:rsid w:val="29194CBB"/>
    <w:rsid w:val="291A7085"/>
    <w:rsid w:val="291A7161"/>
    <w:rsid w:val="291B4ED7"/>
    <w:rsid w:val="291D0077"/>
    <w:rsid w:val="291D0C4F"/>
    <w:rsid w:val="291D29FD"/>
    <w:rsid w:val="291D7050"/>
    <w:rsid w:val="291E1335"/>
    <w:rsid w:val="291F2805"/>
    <w:rsid w:val="29211DC2"/>
    <w:rsid w:val="29220014"/>
    <w:rsid w:val="29221A45"/>
    <w:rsid w:val="292234D5"/>
    <w:rsid w:val="29233D8C"/>
    <w:rsid w:val="29237F98"/>
    <w:rsid w:val="29250036"/>
    <w:rsid w:val="29271776"/>
    <w:rsid w:val="29283150"/>
    <w:rsid w:val="292835D9"/>
    <w:rsid w:val="292875F4"/>
    <w:rsid w:val="292A6EC8"/>
    <w:rsid w:val="292B4B99"/>
    <w:rsid w:val="292C2A21"/>
    <w:rsid w:val="292C49EE"/>
    <w:rsid w:val="292D69B8"/>
    <w:rsid w:val="29312005"/>
    <w:rsid w:val="293146FB"/>
    <w:rsid w:val="29333221"/>
    <w:rsid w:val="29333631"/>
    <w:rsid w:val="29336DAB"/>
    <w:rsid w:val="29337FB9"/>
    <w:rsid w:val="29346369"/>
    <w:rsid w:val="293470A9"/>
    <w:rsid w:val="29347D47"/>
    <w:rsid w:val="29373393"/>
    <w:rsid w:val="293935AF"/>
    <w:rsid w:val="293952BB"/>
    <w:rsid w:val="2939710B"/>
    <w:rsid w:val="293A4FD9"/>
    <w:rsid w:val="293D0543"/>
    <w:rsid w:val="293D6BFB"/>
    <w:rsid w:val="293E109A"/>
    <w:rsid w:val="293E3512"/>
    <w:rsid w:val="293E4722"/>
    <w:rsid w:val="293F018F"/>
    <w:rsid w:val="293F0948"/>
    <w:rsid w:val="293F464C"/>
    <w:rsid w:val="2940196B"/>
    <w:rsid w:val="29401A04"/>
    <w:rsid w:val="29440C1D"/>
    <w:rsid w:val="29441C88"/>
    <w:rsid w:val="2944442E"/>
    <w:rsid w:val="29451F54"/>
    <w:rsid w:val="29461546"/>
    <w:rsid w:val="29462B6C"/>
    <w:rsid w:val="29466E44"/>
    <w:rsid w:val="29471828"/>
    <w:rsid w:val="29475CCC"/>
    <w:rsid w:val="294855A0"/>
    <w:rsid w:val="29487354"/>
    <w:rsid w:val="294A3515"/>
    <w:rsid w:val="294B617C"/>
    <w:rsid w:val="294B6AF8"/>
    <w:rsid w:val="294C32E2"/>
    <w:rsid w:val="294C58B8"/>
    <w:rsid w:val="294D28FC"/>
    <w:rsid w:val="294D466D"/>
    <w:rsid w:val="294E0E09"/>
    <w:rsid w:val="294E705B"/>
    <w:rsid w:val="294F146E"/>
    <w:rsid w:val="294F4B81"/>
    <w:rsid w:val="294F692F"/>
    <w:rsid w:val="295108F9"/>
    <w:rsid w:val="29514455"/>
    <w:rsid w:val="295178A8"/>
    <w:rsid w:val="295201CD"/>
    <w:rsid w:val="29524F49"/>
    <w:rsid w:val="295363C5"/>
    <w:rsid w:val="29564161"/>
    <w:rsid w:val="29565B6D"/>
    <w:rsid w:val="2957128B"/>
    <w:rsid w:val="295D729E"/>
    <w:rsid w:val="295E3016"/>
    <w:rsid w:val="29602488"/>
    <w:rsid w:val="296028EA"/>
    <w:rsid w:val="29606673"/>
    <w:rsid w:val="29610183"/>
    <w:rsid w:val="296248B4"/>
    <w:rsid w:val="29624A44"/>
    <w:rsid w:val="29626662"/>
    <w:rsid w:val="29634188"/>
    <w:rsid w:val="2964062C"/>
    <w:rsid w:val="29646DE7"/>
    <w:rsid w:val="296543A4"/>
    <w:rsid w:val="29656152"/>
    <w:rsid w:val="29671ECA"/>
    <w:rsid w:val="29673C78"/>
    <w:rsid w:val="296879F1"/>
    <w:rsid w:val="29692EF0"/>
    <w:rsid w:val="29693E94"/>
    <w:rsid w:val="296A3B7E"/>
    <w:rsid w:val="296A5517"/>
    <w:rsid w:val="296B1D01"/>
    <w:rsid w:val="296B4792"/>
    <w:rsid w:val="296D5007"/>
    <w:rsid w:val="296F5223"/>
    <w:rsid w:val="297030B0"/>
    <w:rsid w:val="29707299"/>
    <w:rsid w:val="29710A54"/>
    <w:rsid w:val="29712D49"/>
    <w:rsid w:val="29720538"/>
    <w:rsid w:val="29721B8D"/>
    <w:rsid w:val="2973261D"/>
    <w:rsid w:val="29746395"/>
    <w:rsid w:val="29752090"/>
    <w:rsid w:val="29757F67"/>
    <w:rsid w:val="2976035F"/>
    <w:rsid w:val="2976210D"/>
    <w:rsid w:val="29780755"/>
    <w:rsid w:val="297812BE"/>
    <w:rsid w:val="297840D8"/>
    <w:rsid w:val="29785E86"/>
    <w:rsid w:val="297969CB"/>
    <w:rsid w:val="297B7724"/>
    <w:rsid w:val="297C7C3F"/>
    <w:rsid w:val="297D1B58"/>
    <w:rsid w:val="297D524A"/>
    <w:rsid w:val="297E09C9"/>
    <w:rsid w:val="297E0FC2"/>
    <w:rsid w:val="297E4A9C"/>
    <w:rsid w:val="297F1662"/>
    <w:rsid w:val="29804E7F"/>
    <w:rsid w:val="298132DC"/>
    <w:rsid w:val="29820AB2"/>
    <w:rsid w:val="29824F56"/>
    <w:rsid w:val="29826D04"/>
    <w:rsid w:val="29863046"/>
    <w:rsid w:val="2987256D"/>
    <w:rsid w:val="2987431B"/>
    <w:rsid w:val="298760C9"/>
    <w:rsid w:val="29881E6F"/>
    <w:rsid w:val="298861E2"/>
    <w:rsid w:val="298903B9"/>
    <w:rsid w:val="298962E5"/>
    <w:rsid w:val="298A0B02"/>
    <w:rsid w:val="298A3E0B"/>
    <w:rsid w:val="298A5BB9"/>
    <w:rsid w:val="298B39A7"/>
    <w:rsid w:val="298C1931"/>
    <w:rsid w:val="298E38FB"/>
    <w:rsid w:val="298E56A9"/>
    <w:rsid w:val="298E7457"/>
    <w:rsid w:val="298F4974"/>
    <w:rsid w:val="299045CD"/>
    <w:rsid w:val="299049F7"/>
    <w:rsid w:val="29910CF5"/>
    <w:rsid w:val="29910E37"/>
    <w:rsid w:val="29915199"/>
    <w:rsid w:val="29916893"/>
    <w:rsid w:val="29932CBF"/>
    <w:rsid w:val="29942FED"/>
    <w:rsid w:val="29944EC6"/>
    <w:rsid w:val="29945C1B"/>
    <w:rsid w:val="29946A38"/>
    <w:rsid w:val="299564DF"/>
    <w:rsid w:val="29965565"/>
    <w:rsid w:val="29982E07"/>
    <w:rsid w:val="29986528"/>
    <w:rsid w:val="299A1A87"/>
    <w:rsid w:val="299B37CD"/>
    <w:rsid w:val="299B6018"/>
    <w:rsid w:val="299D58EC"/>
    <w:rsid w:val="299D7626"/>
    <w:rsid w:val="299E0408"/>
    <w:rsid w:val="299F0F77"/>
    <w:rsid w:val="29A033F0"/>
    <w:rsid w:val="29A24CB1"/>
    <w:rsid w:val="29A2680C"/>
    <w:rsid w:val="29A273A6"/>
    <w:rsid w:val="29A44ECD"/>
    <w:rsid w:val="29A46390"/>
    <w:rsid w:val="29A502DB"/>
    <w:rsid w:val="29A547A1"/>
    <w:rsid w:val="29A57D37"/>
    <w:rsid w:val="29A63597"/>
    <w:rsid w:val="29A66B9A"/>
    <w:rsid w:val="29A94291"/>
    <w:rsid w:val="29A94F7B"/>
    <w:rsid w:val="29A9603F"/>
    <w:rsid w:val="29AB625B"/>
    <w:rsid w:val="29AC4236"/>
    <w:rsid w:val="29AF138D"/>
    <w:rsid w:val="29B01DC7"/>
    <w:rsid w:val="29B1237D"/>
    <w:rsid w:val="29B25121"/>
    <w:rsid w:val="29B33362"/>
    <w:rsid w:val="29B364F4"/>
    <w:rsid w:val="29B36EBE"/>
    <w:rsid w:val="29B42C36"/>
    <w:rsid w:val="29B5668F"/>
    <w:rsid w:val="29B570DA"/>
    <w:rsid w:val="29B64C00"/>
    <w:rsid w:val="29B652B8"/>
    <w:rsid w:val="29B82438"/>
    <w:rsid w:val="29B844D4"/>
    <w:rsid w:val="29B847CF"/>
    <w:rsid w:val="29B92BFD"/>
    <w:rsid w:val="29B958F8"/>
    <w:rsid w:val="29BA46F0"/>
    <w:rsid w:val="29BA649E"/>
    <w:rsid w:val="29BC13EC"/>
    <w:rsid w:val="29BD1AEA"/>
    <w:rsid w:val="29BD5F8E"/>
    <w:rsid w:val="29BF1D06"/>
    <w:rsid w:val="29BF3AB4"/>
    <w:rsid w:val="29BF52CD"/>
    <w:rsid w:val="29BF5492"/>
    <w:rsid w:val="29BF7A4F"/>
    <w:rsid w:val="29C0782D"/>
    <w:rsid w:val="29C07C1A"/>
    <w:rsid w:val="29C10138"/>
    <w:rsid w:val="29C15182"/>
    <w:rsid w:val="29C15A7E"/>
    <w:rsid w:val="29C36EB8"/>
    <w:rsid w:val="29C42E79"/>
    <w:rsid w:val="29C4731D"/>
    <w:rsid w:val="29C56BF1"/>
    <w:rsid w:val="29C63F9B"/>
    <w:rsid w:val="29C65192"/>
    <w:rsid w:val="29C73F17"/>
    <w:rsid w:val="29C82F74"/>
    <w:rsid w:val="29C83614"/>
    <w:rsid w:val="29C92F02"/>
    <w:rsid w:val="29CA2459"/>
    <w:rsid w:val="29CA4207"/>
    <w:rsid w:val="29CA50E2"/>
    <w:rsid w:val="29CA5CAE"/>
    <w:rsid w:val="29CB572B"/>
    <w:rsid w:val="29CB61C9"/>
    <w:rsid w:val="29CC039F"/>
    <w:rsid w:val="29CC267A"/>
    <w:rsid w:val="29CC61D1"/>
    <w:rsid w:val="29CC7DCE"/>
    <w:rsid w:val="29CD16A4"/>
    <w:rsid w:val="29CE019B"/>
    <w:rsid w:val="29CE03E2"/>
    <w:rsid w:val="29CE2DD2"/>
    <w:rsid w:val="29CE5AA6"/>
    <w:rsid w:val="29D03297"/>
    <w:rsid w:val="29D12335"/>
    <w:rsid w:val="29D137E8"/>
    <w:rsid w:val="29D33F06"/>
    <w:rsid w:val="29D47B24"/>
    <w:rsid w:val="29D51476"/>
    <w:rsid w:val="29D522B0"/>
    <w:rsid w:val="29D532D8"/>
    <w:rsid w:val="29D54EEB"/>
    <w:rsid w:val="29D55B50"/>
    <w:rsid w:val="29D67050"/>
    <w:rsid w:val="29D76564"/>
    <w:rsid w:val="29D84B76"/>
    <w:rsid w:val="29D92652"/>
    <w:rsid w:val="29DA08EE"/>
    <w:rsid w:val="29DC0C2A"/>
    <w:rsid w:val="29DC2957"/>
    <w:rsid w:val="29DC5A17"/>
    <w:rsid w:val="29DC7AB2"/>
    <w:rsid w:val="29DD3F3B"/>
    <w:rsid w:val="29E1006B"/>
    <w:rsid w:val="29E21551"/>
    <w:rsid w:val="29E224B7"/>
    <w:rsid w:val="29E37114"/>
    <w:rsid w:val="29E542DD"/>
    <w:rsid w:val="29E56A84"/>
    <w:rsid w:val="29E754BD"/>
    <w:rsid w:val="29E929BA"/>
    <w:rsid w:val="29E96D83"/>
    <w:rsid w:val="29EB48A9"/>
    <w:rsid w:val="29EC23D0"/>
    <w:rsid w:val="29ED032C"/>
    <w:rsid w:val="29EE0E92"/>
    <w:rsid w:val="29EE3B18"/>
    <w:rsid w:val="29EE6148"/>
    <w:rsid w:val="29EE749A"/>
    <w:rsid w:val="29EF3C6E"/>
    <w:rsid w:val="29F00112"/>
    <w:rsid w:val="29F067FC"/>
    <w:rsid w:val="29F12942"/>
    <w:rsid w:val="29F3375E"/>
    <w:rsid w:val="29F348CB"/>
    <w:rsid w:val="29F37C02"/>
    <w:rsid w:val="29F47AC1"/>
    <w:rsid w:val="29F5112D"/>
    <w:rsid w:val="29F55728"/>
    <w:rsid w:val="29F6324E"/>
    <w:rsid w:val="29F666F3"/>
    <w:rsid w:val="29F678A5"/>
    <w:rsid w:val="29F75808"/>
    <w:rsid w:val="29F761FB"/>
    <w:rsid w:val="29F85218"/>
    <w:rsid w:val="29FA0F90"/>
    <w:rsid w:val="29FA4AED"/>
    <w:rsid w:val="29FA71DB"/>
    <w:rsid w:val="29FB0865"/>
    <w:rsid w:val="29FB11D2"/>
    <w:rsid w:val="29FB34D2"/>
    <w:rsid w:val="29FB4E51"/>
    <w:rsid w:val="29FD4527"/>
    <w:rsid w:val="29FE026D"/>
    <w:rsid w:val="29FE5098"/>
    <w:rsid w:val="29FF0355"/>
    <w:rsid w:val="29FF5BC9"/>
    <w:rsid w:val="29FF65A7"/>
    <w:rsid w:val="29FF6A30"/>
    <w:rsid w:val="2A001ECC"/>
    <w:rsid w:val="2A0077A5"/>
    <w:rsid w:val="2A0120EC"/>
    <w:rsid w:val="2A014ED6"/>
    <w:rsid w:val="2A016770"/>
    <w:rsid w:val="2A021BF3"/>
    <w:rsid w:val="2A026E11"/>
    <w:rsid w:val="2A033591"/>
    <w:rsid w:val="2A046376"/>
    <w:rsid w:val="2A062CBD"/>
    <w:rsid w:val="2A064AA7"/>
    <w:rsid w:val="2A0873C7"/>
    <w:rsid w:val="2A0911D4"/>
    <w:rsid w:val="2A092F82"/>
    <w:rsid w:val="2A093747"/>
    <w:rsid w:val="2A0A42E6"/>
    <w:rsid w:val="2A0B044C"/>
    <w:rsid w:val="2A0C2A72"/>
    <w:rsid w:val="2A0D4FFB"/>
    <w:rsid w:val="2A0E3239"/>
    <w:rsid w:val="2A0F214B"/>
    <w:rsid w:val="2A0F26CB"/>
    <w:rsid w:val="2A104310"/>
    <w:rsid w:val="2A111E36"/>
    <w:rsid w:val="2A133E00"/>
    <w:rsid w:val="2A13795C"/>
    <w:rsid w:val="2A154580"/>
    <w:rsid w:val="2A1550CB"/>
    <w:rsid w:val="2A157B78"/>
    <w:rsid w:val="2A1619CB"/>
    <w:rsid w:val="2A162C68"/>
    <w:rsid w:val="2A17569E"/>
    <w:rsid w:val="2A176A9D"/>
    <w:rsid w:val="2A184E1F"/>
    <w:rsid w:val="2A187669"/>
    <w:rsid w:val="2A1906D1"/>
    <w:rsid w:val="2A1952E9"/>
    <w:rsid w:val="2A1A17A3"/>
    <w:rsid w:val="2A1A2C36"/>
    <w:rsid w:val="2A1A495F"/>
    <w:rsid w:val="2A1A518F"/>
    <w:rsid w:val="2A1A5E66"/>
    <w:rsid w:val="2A1B4E49"/>
    <w:rsid w:val="2A1C0F07"/>
    <w:rsid w:val="2A1C2CB5"/>
    <w:rsid w:val="2A1D07DB"/>
    <w:rsid w:val="2A1D21DC"/>
    <w:rsid w:val="2A1E75B9"/>
    <w:rsid w:val="2A2062C1"/>
    <w:rsid w:val="2A2133A2"/>
    <w:rsid w:val="2A21651D"/>
    <w:rsid w:val="2A222295"/>
    <w:rsid w:val="2A224043"/>
    <w:rsid w:val="2A225DF1"/>
    <w:rsid w:val="2A22693D"/>
    <w:rsid w:val="2A23570F"/>
    <w:rsid w:val="2A24157B"/>
    <w:rsid w:val="2A24182D"/>
    <w:rsid w:val="2A257690"/>
    <w:rsid w:val="2A2614BF"/>
    <w:rsid w:val="2A2718EC"/>
    <w:rsid w:val="2A2874E6"/>
    <w:rsid w:val="2A290DA7"/>
    <w:rsid w:val="2A293624"/>
    <w:rsid w:val="2A2953D2"/>
    <w:rsid w:val="2A2B2EF8"/>
    <w:rsid w:val="2A2B739C"/>
    <w:rsid w:val="2A2C45D3"/>
    <w:rsid w:val="2A2C6C70"/>
    <w:rsid w:val="2A2D4063"/>
    <w:rsid w:val="2A2E29E8"/>
    <w:rsid w:val="2A3049B2"/>
    <w:rsid w:val="2A32072A"/>
    <w:rsid w:val="2A346694"/>
    <w:rsid w:val="2A353D77"/>
    <w:rsid w:val="2A355B25"/>
    <w:rsid w:val="2A377BD6"/>
    <w:rsid w:val="2A385615"/>
    <w:rsid w:val="2A3873C3"/>
    <w:rsid w:val="2A391AB9"/>
    <w:rsid w:val="2A396171"/>
    <w:rsid w:val="2A3B6ADF"/>
    <w:rsid w:val="2A3B6D84"/>
    <w:rsid w:val="2A3F0751"/>
    <w:rsid w:val="2A4144C9"/>
    <w:rsid w:val="2A421568"/>
    <w:rsid w:val="2A422128"/>
    <w:rsid w:val="2A4346E5"/>
    <w:rsid w:val="2A44045E"/>
    <w:rsid w:val="2A4606BD"/>
    <w:rsid w:val="2A4721F4"/>
    <w:rsid w:val="2A473AAA"/>
    <w:rsid w:val="2A474B0A"/>
    <w:rsid w:val="2A4915D0"/>
    <w:rsid w:val="2A492AA5"/>
    <w:rsid w:val="2A495A74"/>
    <w:rsid w:val="2A4A387B"/>
    <w:rsid w:val="2A4A6844"/>
    <w:rsid w:val="2A4B115F"/>
    <w:rsid w:val="2A4B17EC"/>
    <w:rsid w:val="2A4B359A"/>
    <w:rsid w:val="2A4C2E6E"/>
    <w:rsid w:val="2A4D7312"/>
    <w:rsid w:val="2A4E2EF7"/>
    <w:rsid w:val="2A4E308A"/>
    <w:rsid w:val="2A4E61A8"/>
    <w:rsid w:val="2A50295E"/>
    <w:rsid w:val="2A502FEB"/>
    <w:rsid w:val="2A505768"/>
    <w:rsid w:val="2A506E02"/>
    <w:rsid w:val="2A521C1D"/>
    <w:rsid w:val="2A522B7B"/>
    <w:rsid w:val="2A524F4E"/>
    <w:rsid w:val="2A5266D7"/>
    <w:rsid w:val="2A53244F"/>
    <w:rsid w:val="2A546E6F"/>
    <w:rsid w:val="2A552F13"/>
    <w:rsid w:val="2A554419"/>
    <w:rsid w:val="2A557F75"/>
    <w:rsid w:val="2A571F3F"/>
    <w:rsid w:val="2A594CE9"/>
    <w:rsid w:val="2A5A37DD"/>
    <w:rsid w:val="2A5C1303"/>
    <w:rsid w:val="2A5C7555"/>
    <w:rsid w:val="2A5D507B"/>
    <w:rsid w:val="2A5E32CD"/>
    <w:rsid w:val="2A5F0DF4"/>
    <w:rsid w:val="2A620CE8"/>
    <w:rsid w:val="2A62619A"/>
    <w:rsid w:val="2A6401B8"/>
    <w:rsid w:val="2A64465C"/>
    <w:rsid w:val="2A64640A"/>
    <w:rsid w:val="2A651E59"/>
    <w:rsid w:val="2A661523"/>
    <w:rsid w:val="2A666797"/>
    <w:rsid w:val="2A67266B"/>
    <w:rsid w:val="2A677CA8"/>
    <w:rsid w:val="2A677DE2"/>
    <w:rsid w:val="2A6913B7"/>
    <w:rsid w:val="2A691C72"/>
    <w:rsid w:val="2A69519D"/>
    <w:rsid w:val="2A6A2064"/>
    <w:rsid w:val="2A6A2CDC"/>
    <w:rsid w:val="2A6A7EA4"/>
    <w:rsid w:val="2A6B1334"/>
    <w:rsid w:val="2A6B59EA"/>
    <w:rsid w:val="2A6B7798"/>
    <w:rsid w:val="2A6D1762"/>
    <w:rsid w:val="2A6D2ED2"/>
    <w:rsid w:val="2A6D35DA"/>
    <w:rsid w:val="2A6F54DA"/>
    <w:rsid w:val="2A701253"/>
    <w:rsid w:val="2A720B27"/>
    <w:rsid w:val="2A7238BD"/>
    <w:rsid w:val="2A737DE5"/>
    <w:rsid w:val="2A750617"/>
    <w:rsid w:val="2A756869"/>
    <w:rsid w:val="2A7725E1"/>
    <w:rsid w:val="2A7730D2"/>
    <w:rsid w:val="2A77613D"/>
    <w:rsid w:val="2A780926"/>
    <w:rsid w:val="2A7821F7"/>
    <w:rsid w:val="2A78776A"/>
    <w:rsid w:val="2A796BC3"/>
    <w:rsid w:val="2A7C3754"/>
    <w:rsid w:val="2A7C7BF7"/>
    <w:rsid w:val="2A7D74CC"/>
    <w:rsid w:val="2A7E77AA"/>
    <w:rsid w:val="2A7F0C3A"/>
    <w:rsid w:val="2A7F0E62"/>
    <w:rsid w:val="2A7F737D"/>
    <w:rsid w:val="2A8059E3"/>
    <w:rsid w:val="2A810D6A"/>
    <w:rsid w:val="2A826BCA"/>
    <w:rsid w:val="2A832D34"/>
    <w:rsid w:val="2A835290"/>
    <w:rsid w:val="2A842608"/>
    <w:rsid w:val="2A850E52"/>
    <w:rsid w:val="2A862824"/>
    <w:rsid w:val="2A88034A"/>
    <w:rsid w:val="2A881B31"/>
    <w:rsid w:val="2A8A715A"/>
    <w:rsid w:val="2A8A77BA"/>
    <w:rsid w:val="2A8B56BE"/>
    <w:rsid w:val="2A8C0BEE"/>
    <w:rsid w:val="2A8D00D2"/>
    <w:rsid w:val="2A8D770F"/>
    <w:rsid w:val="2A8F49E9"/>
    <w:rsid w:val="2A90047E"/>
    <w:rsid w:val="2A900ADF"/>
    <w:rsid w:val="2A905451"/>
    <w:rsid w:val="2A9071FF"/>
    <w:rsid w:val="2A915BC3"/>
    <w:rsid w:val="2A9172BF"/>
    <w:rsid w:val="2A930A9D"/>
    <w:rsid w:val="2A936DFF"/>
    <w:rsid w:val="2A944F41"/>
    <w:rsid w:val="2A950CB9"/>
    <w:rsid w:val="2A953EC7"/>
    <w:rsid w:val="2A9A007E"/>
    <w:rsid w:val="2A9B422B"/>
    <w:rsid w:val="2A9C1721"/>
    <w:rsid w:val="2A9C3DF6"/>
    <w:rsid w:val="2A9D503C"/>
    <w:rsid w:val="2A9E2ED5"/>
    <w:rsid w:val="2A9F0C2C"/>
    <w:rsid w:val="2A9F5694"/>
    <w:rsid w:val="2A9F6787"/>
    <w:rsid w:val="2AA0795F"/>
    <w:rsid w:val="2AA1140C"/>
    <w:rsid w:val="2AA21019"/>
    <w:rsid w:val="2AA27121"/>
    <w:rsid w:val="2AA3048F"/>
    <w:rsid w:val="2AA333D6"/>
    <w:rsid w:val="2AA35184"/>
    <w:rsid w:val="2AA36F32"/>
    <w:rsid w:val="2AA45ACD"/>
    <w:rsid w:val="2AA47D84"/>
    <w:rsid w:val="2AA54BF9"/>
    <w:rsid w:val="2AA607D0"/>
    <w:rsid w:val="2AA66A22"/>
    <w:rsid w:val="2AA74E8B"/>
    <w:rsid w:val="2AA77E46"/>
    <w:rsid w:val="2AA809EC"/>
    <w:rsid w:val="2AAA3BF6"/>
    <w:rsid w:val="2AAA4765"/>
    <w:rsid w:val="2AAA6513"/>
    <w:rsid w:val="2AAB228B"/>
    <w:rsid w:val="2AAB2C02"/>
    <w:rsid w:val="2AAB4039"/>
    <w:rsid w:val="2AAB5086"/>
    <w:rsid w:val="2AAC10E7"/>
    <w:rsid w:val="2AAD3CB8"/>
    <w:rsid w:val="2AAD6003"/>
    <w:rsid w:val="2AAD63DE"/>
    <w:rsid w:val="2AAD7DB1"/>
    <w:rsid w:val="2AAE0E5B"/>
    <w:rsid w:val="2AAE58D7"/>
    <w:rsid w:val="2AAF1A65"/>
    <w:rsid w:val="2AAF1D7B"/>
    <w:rsid w:val="2AB16031"/>
    <w:rsid w:val="2AB16E31"/>
    <w:rsid w:val="2AB23619"/>
    <w:rsid w:val="2AB253C7"/>
    <w:rsid w:val="2AB25447"/>
    <w:rsid w:val="2AB32EED"/>
    <w:rsid w:val="2AB406A9"/>
    <w:rsid w:val="2AB4113F"/>
    <w:rsid w:val="2AB6223C"/>
    <w:rsid w:val="2AB63109"/>
    <w:rsid w:val="2AB70C30"/>
    <w:rsid w:val="2AB7478C"/>
    <w:rsid w:val="2ABA24CE"/>
    <w:rsid w:val="2ABB69E6"/>
    <w:rsid w:val="2ABC5BE6"/>
    <w:rsid w:val="2ABC7FF4"/>
    <w:rsid w:val="2ABE5B1A"/>
    <w:rsid w:val="2ABE7170"/>
    <w:rsid w:val="2ABF34C7"/>
    <w:rsid w:val="2ABF359A"/>
    <w:rsid w:val="2AC0035F"/>
    <w:rsid w:val="2AC05D36"/>
    <w:rsid w:val="2AC11AAE"/>
    <w:rsid w:val="2AC11B44"/>
    <w:rsid w:val="2AC1560A"/>
    <w:rsid w:val="2AC24A4E"/>
    <w:rsid w:val="2AC31382"/>
    <w:rsid w:val="2AC3273E"/>
    <w:rsid w:val="2AC33B85"/>
    <w:rsid w:val="2AC47001"/>
    <w:rsid w:val="2AC5509B"/>
    <w:rsid w:val="2AC6485F"/>
    <w:rsid w:val="2AC71F7A"/>
    <w:rsid w:val="2AC80BF8"/>
    <w:rsid w:val="2AC80F4C"/>
    <w:rsid w:val="2AC82E3D"/>
    <w:rsid w:val="2AC96135"/>
    <w:rsid w:val="2ACB19B4"/>
    <w:rsid w:val="2ACB6B5A"/>
    <w:rsid w:val="2ACC5B00"/>
    <w:rsid w:val="2ACD0268"/>
    <w:rsid w:val="2ACD2201"/>
    <w:rsid w:val="2ACE1AD5"/>
    <w:rsid w:val="2ACE34E8"/>
    <w:rsid w:val="2ACE49D7"/>
    <w:rsid w:val="2ACF0DD3"/>
    <w:rsid w:val="2ACF50A5"/>
    <w:rsid w:val="2ACF6080"/>
    <w:rsid w:val="2ACF6DB5"/>
    <w:rsid w:val="2ACF798F"/>
    <w:rsid w:val="2ACF7D27"/>
    <w:rsid w:val="2AD03A9F"/>
    <w:rsid w:val="2AD068BA"/>
    <w:rsid w:val="2AD06A85"/>
    <w:rsid w:val="2AD23439"/>
    <w:rsid w:val="2AD25A69"/>
    <w:rsid w:val="2AD51070"/>
    <w:rsid w:val="2AD57308"/>
    <w:rsid w:val="2AD61A89"/>
    <w:rsid w:val="2AD64354"/>
    <w:rsid w:val="2AD71E2D"/>
    <w:rsid w:val="2AD90BA6"/>
    <w:rsid w:val="2AD96DF8"/>
    <w:rsid w:val="2ADA2CD5"/>
    <w:rsid w:val="2ADB0971"/>
    <w:rsid w:val="2ADB5104"/>
    <w:rsid w:val="2ADC0696"/>
    <w:rsid w:val="2ADE60B9"/>
    <w:rsid w:val="2ADE61BC"/>
    <w:rsid w:val="2ADE62B2"/>
    <w:rsid w:val="2ADE7F6A"/>
    <w:rsid w:val="2ADF3CE2"/>
    <w:rsid w:val="2AE00186"/>
    <w:rsid w:val="2AE02545"/>
    <w:rsid w:val="2AE15CAC"/>
    <w:rsid w:val="2AE16896"/>
    <w:rsid w:val="2AE37DC8"/>
    <w:rsid w:val="2AE412F9"/>
    <w:rsid w:val="2AE5754B"/>
    <w:rsid w:val="2AE60770"/>
    <w:rsid w:val="2AE61515"/>
    <w:rsid w:val="2AE632C3"/>
    <w:rsid w:val="2AE7493C"/>
    <w:rsid w:val="2AE74C38"/>
    <w:rsid w:val="2AE74CA7"/>
    <w:rsid w:val="2AE81BBD"/>
    <w:rsid w:val="2AE82B97"/>
    <w:rsid w:val="2AE845F4"/>
    <w:rsid w:val="2AE9007F"/>
    <w:rsid w:val="2AE93303"/>
    <w:rsid w:val="2AE9366F"/>
    <w:rsid w:val="2AEA48E9"/>
    <w:rsid w:val="2AEA4B61"/>
    <w:rsid w:val="2AEB08D9"/>
    <w:rsid w:val="2AEB6D9B"/>
    <w:rsid w:val="2AEC550C"/>
    <w:rsid w:val="2AED2B71"/>
    <w:rsid w:val="2AEE60A8"/>
    <w:rsid w:val="2AEE6F86"/>
    <w:rsid w:val="2AEF03C9"/>
    <w:rsid w:val="2AEF3F25"/>
    <w:rsid w:val="2AF0112C"/>
    <w:rsid w:val="2AF0401D"/>
    <w:rsid w:val="2AF05EF0"/>
    <w:rsid w:val="2AF07C9E"/>
    <w:rsid w:val="2AF14DA2"/>
    <w:rsid w:val="2AF15007"/>
    <w:rsid w:val="2AF27EBA"/>
    <w:rsid w:val="2AF30CAB"/>
    <w:rsid w:val="2AF31299"/>
    <w:rsid w:val="2AF33C00"/>
    <w:rsid w:val="2AF47875"/>
    <w:rsid w:val="2AF50E21"/>
    <w:rsid w:val="2AF50EB8"/>
    <w:rsid w:val="2AF53506"/>
    <w:rsid w:val="2AF54300"/>
    <w:rsid w:val="2AF552B4"/>
    <w:rsid w:val="2AF754D0"/>
    <w:rsid w:val="2AF75523"/>
    <w:rsid w:val="2AF83C5A"/>
    <w:rsid w:val="2AF929C6"/>
    <w:rsid w:val="2AF94679"/>
    <w:rsid w:val="2AFA0B1C"/>
    <w:rsid w:val="2AFB189F"/>
    <w:rsid w:val="2AFD72B9"/>
    <w:rsid w:val="2AFE685E"/>
    <w:rsid w:val="2B0037C3"/>
    <w:rsid w:val="2B00414C"/>
    <w:rsid w:val="2B0100FD"/>
    <w:rsid w:val="2B0105A2"/>
    <w:rsid w:val="2B011EAB"/>
    <w:rsid w:val="2B013C59"/>
    <w:rsid w:val="2B015FCD"/>
    <w:rsid w:val="2B035552"/>
    <w:rsid w:val="2B035C23"/>
    <w:rsid w:val="2B0379D1"/>
    <w:rsid w:val="2B043DF1"/>
    <w:rsid w:val="2B050427"/>
    <w:rsid w:val="2B053749"/>
    <w:rsid w:val="2B057BED"/>
    <w:rsid w:val="2B06414B"/>
    <w:rsid w:val="2B0676C6"/>
    <w:rsid w:val="2B07793D"/>
    <w:rsid w:val="2B080564"/>
    <w:rsid w:val="2B08148B"/>
    <w:rsid w:val="2B084612"/>
    <w:rsid w:val="2B0A6FB1"/>
    <w:rsid w:val="2B0B1B03"/>
    <w:rsid w:val="2B0B2872"/>
    <w:rsid w:val="2B0C1B57"/>
    <w:rsid w:val="2B0C4CC8"/>
    <w:rsid w:val="2B0D4CF3"/>
    <w:rsid w:val="2B0E6ACB"/>
    <w:rsid w:val="2B0F1CB0"/>
    <w:rsid w:val="2B0F45C8"/>
    <w:rsid w:val="2B110A36"/>
    <w:rsid w:val="2B11210D"/>
    <w:rsid w:val="2B116592"/>
    <w:rsid w:val="2B12230A"/>
    <w:rsid w:val="2B125871"/>
    <w:rsid w:val="2B126E05"/>
    <w:rsid w:val="2B142C50"/>
    <w:rsid w:val="2B14398C"/>
    <w:rsid w:val="2B157704"/>
    <w:rsid w:val="2B16184D"/>
    <w:rsid w:val="2B163BA8"/>
    <w:rsid w:val="2B164E19"/>
    <w:rsid w:val="2B1716CE"/>
    <w:rsid w:val="2B17347C"/>
    <w:rsid w:val="2B177920"/>
    <w:rsid w:val="2B192541"/>
    <w:rsid w:val="2B1971F4"/>
    <w:rsid w:val="2B1B2FFD"/>
    <w:rsid w:val="2B1C3C50"/>
    <w:rsid w:val="2B1C6CE5"/>
    <w:rsid w:val="2B1E0CAF"/>
    <w:rsid w:val="2B1E23D7"/>
    <w:rsid w:val="2B1E5CB3"/>
    <w:rsid w:val="2B1E677B"/>
    <w:rsid w:val="2B2135D8"/>
    <w:rsid w:val="2B225278"/>
    <w:rsid w:val="2B227D8A"/>
    <w:rsid w:val="2B234C65"/>
    <w:rsid w:val="2B2362C5"/>
    <w:rsid w:val="2B2418E2"/>
    <w:rsid w:val="2B243DEB"/>
    <w:rsid w:val="2B253DEB"/>
    <w:rsid w:val="2B261911"/>
    <w:rsid w:val="2B2636BF"/>
    <w:rsid w:val="2B287AC1"/>
    <w:rsid w:val="2B29146C"/>
    <w:rsid w:val="2B2924BB"/>
    <w:rsid w:val="2B2A31B0"/>
    <w:rsid w:val="2B2B6F28"/>
    <w:rsid w:val="2B2D0EF2"/>
    <w:rsid w:val="2B2D2CA0"/>
    <w:rsid w:val="2B2D3A0D"/>
    <w:rsid w:val="2B2D4A4E"/>
    <w:rsid w:val="2B2D50D1"/>
    <w:rsid w:val="2B2E632D"/>
    <w:rsid w:val="2B2F07C6"/>
    <w:rsid w:val="2B2F4273"/>
    <w:rsid w:val="2B30453E"/>
    <w:rsid w:val="2B30695C"/>
    <w:rsid w:val="2B314BC8"/>
    <w:rsid w:val="2B325EFB"/>
    <w:rsid w:val="2B330D0F"/>
    <w:rsid w:val="2B33613E"/>
    <w:rsid w:val="2B355A43"/>
    <w:rsid w:val="2B360239"/>
    <w:rsid w:val="2B382728"/>
    <w:rsid w:val="2B397896"/>
    <w:rsid w:val="2B3B53BD"/>
    <w:rsid w:val="2B3B716B"/>
    <w:rsid w:val="2B3C1135"/>
    <w:rsid w:val="2B3C1488"/>
    <w:rsid w:val="2B3C2EE3"/>
    <w:rsid w:val="2B3C3502"/>
    <w:rsid w:val="2B3E30FF"/>
    <w:rsid w:val="2B3E4EAD"/>
    <w:rsid w:val="2B3E6C5B"/>
    <w:rsid w:val="2B3F1B5C"/>
    <w:rsid w:val="2B3F418C"/>
    <w:rsid w:val="2B400C25"/>
    <w:rsid w:val="2B41036D"/>
    <w:rsid w:val="2B41674B"/>
    <w:rsid w:val="2B42499D"/>
    <w:rsid w:val="2B432555"/>
    <w:rsid w:val="2B434271"/>
    <w:rsid w:val="2B435E53"/>
    <w:rsid w:val="2B4472E1"/>
    <w:rsid w:val="2B457FE9"/>
    <w:rsid w:val="2B470615"/>
    <w:rsid w:val="2B471FB3"/>
    <w:rsid w:val="2B487ADA"/>
    <w:rsid w:val="2B4A26C4"/>
    <w:rsid w:val="2B4A3852"/>
    <w:rsid w:val="2B4B6F96"/>
    <w:rsid w:val="2B4C1378"/>
    <w:rsid w:val="2B4C581C"/>
    <w:rsid w:val="2B4C5C74"/>
    <w:rsid w:val="2B4D50F0"/>
    <w:rsid w:val="2B4D6E9E"/>
    <w:rsid w:val="2B4E033B"/>
    <w:rsid w:val="2B4F2C16"/>
    <w:rsid w:val="2B4F387A"/>
    <w:rsid w:val="2B4F6E91"/>
    <w:rsid w:val="2B4F70BA"/>
    <w:rsid w:val="2B50712C"/>
    <w:rsid w:val="2B514D73"/>
    <w:rsid w:val="2B51698E"/>
    <w:rsid w:val="2B517B37"/>
    <w:rsid w:val="2B5244B4"/>
    <w:rsid w:val="2B5302F9"/>
    <w:rsid w:val="2B536BAA"/>
    <w:rsid w:val="2B54022C"/>
    <w:rsid w:val="2B541391"/>
    <w:rsid w:val="2B541D00"/>
    <w:rsid w:val="2B5446D0"/>
    <w:rsid w:val="2B54647E"/>
    <w:rsid w:val="2B547350"/>
    <w:rsid w:val="2B555205"/>
    <w:rsid w:val="2B57369B"/>
    <w:rsid w:val="2B574DA5"/>
    <w:rsid w:val="2B585F6F"/>
    <w:rsid w:val="2B591CE7"/>
    <w:rsid w:val="2B595843"/>
    <w:rsid w:val="2B5A5537"/>
    <w:rsid w:val="2B5B161B"/>
    <w:rsid w:val="2B5B534A"/>
    <w:rsid w:val="2B5B5A5F"/>
    <w:rsid w:val="2B5B780D"/>
    <w:rsid w:val="2B5C5333"/>
    <w:rsid w:val="2B5D17D7"/>
    <w:rsid w:val="2B5D3585"/>
    <w:rsid w:val="2B5D628A"/>
    <w:rsid w:val="2B5E10AB"/>
    <w:rsid w:val="2B5E554F"/>
    <w:rsid w:val="2B5F7E7A"/>
    <w:rsid w:val="2B600489"/>
    <w:rsid w:val="2B603075"/>
    <w:rsid w:val="2B610862"/>
    <w:rsid w:val="2B6128FD"/>
    <w:rsid w:val="2B612949"/>
    <w:rsid w:val="2B622B33"/>
    <w:rsid w:val="2B62450B"/>
    <w:rsid w:val="2B62521D"/>
    <w:rsid w:val="2B626DED"/>
    <w:rsid w:val="2B634913"/>
    <w:rsid w:val="2B64127E"/>
    <w:rsid w:val="2B647BEB"/>
    <w:rsid w:val="2B65068C"/>
    <w:rsid w:val="2B650FCD"/>
    <w:rsid w:val="2B6568DD"/>
    <w:rsid w:val="2B66245D"/>
    <w:rsid w:val="2B68108F"/>
    <w:rsid w:val="2B683486"/>
    <w:rsid w:val="2B695D3C"/>
    <w:rsid w:val="2B6A4159"/>
    <w:rsid w:val="2B6B0A67"/>
    <w:rsid w:val="2B6C1A1A"/>
    <w:rsid w:val="2B6C34BF"/>
    <w:rsid w:val="2B6C7C6C"/>
    <w:rsid w:val="2B6D12EE"/>
    <w:rsid w:val="2B6D7540"/>
    <w:rsid w:val="2B6D775F"/>
    <w:rsid w:val="2B6E17EE"/>
    <w:rsid w:val="2B6F5066"/>
    <w:rsid w:val="2B70450B"/>
    <w:rsid w:val="2B710DDE"/>
    <w:rsid w:val="2B715282"/>
    <w:rsid w:val="2B717030"/>
    <w:rsid w:val="2B722069"/>
    <w:rsid w:val="2B722141"/>
    <w:rsid w:val="2B7275B4"/>
    <w:rsid w:val="2B7335D1"/>
    <w:rsid w:val="2B735935"/>
    <w:rsid w:val="2B74267D"/>
    <w:rsid w:val="2B755FAA"/>
    <w:rsid w:val="2B764647"/>
    <w:rsid w:val="2B7663F5"/>
    <w:rsid w:val="2B7746A6"/>
    <w:rsid w:val="2B7803BF"/>
    <w:rsid w:val="2B7A2802"/>
    <w:rsid w:val="2B7A6008"/>
    <w:rsid w:val="2B7B7EAF"/>
    <w:rsid w:val="2B7C7BC1"/>
    <w:rsid w:val="2B7D03D7"/>
    <w:rsid w:val="2B7D3C27"/>
    <w:rsid w:val="2B7D7783"/>
    <w:rsid w:val="2B7E1912"/>
    <w:rsid w:val="2B8054C5"/>
    <w:rsid w:val="2B8107A6"/>
    <w:rsid w:val="2B82123D"/>
    <w:rsid w:val="2B823F44"/>
    <w:rsid w:val="2B836D64"/>
    <w:rsid w:val="2B842144"/>
    <w:rsid w:val="2B852ADC"/>
    <w:rsid w:val="2B8723B0"/>
    <w:rsid w:val="2B881EEB"/>
    <w:rsid w:val="2B88520A"/>
    <w:rsid w:val="2B885BD7"/>
    <w:rsid w:val="2B8925CC"/>
    <w:rsid w:val="2B892FE7"/>
    <w:rsid w:val="2B894C74"/>
    <w:rsid w:val="2B8C79C6"/>
    <w:rsid w:val="2B8D35BA"/>
    <w:rsid w:val="2B8D373E"/>
    <w:rsid w:val="2B8D6D49"/>
    <w:rsid w:val="2B8F395A"/>
    <w:rsid w:val="2B8F5708"/>
    <w:rsid w:val="2B8F74B6"/>
    <w:rsid w:val="2B903841"/>
    <w:rsid w:val="2B920D55"/>
    <w:rsid w:val="2B932BBB"/>
    <w:rsid w:val="2B936FA7"/>
    <w:rsid w:val="2B940F71"/>
    <w:rsid w:val="2B944ACD"/>
    <w:rsid w:val="2B956FBE"/>
    <w:rsid w:val="2B971113"/>
    <w:rsid w:val="2B9733C5"/>
    <w:rsid w:val="2B981D7B"/>
    <w:rsid w:val="2B98280F"/>
    <w:rsid w:val="2B986D7B"/>
    <w:rsid w:val="2B990335"/>
    <w:rsid w:val="2B9920E3"/>
    <w:rsid w:val="2B9939FC"/>
    <w:rsid w:val="2B9A45C5"/>
    <w:rsid w:val="2B9B3F1D"/>
    <w:rsid w:val="2B9B5E5B"/>
    <w:rsid w:val="2B9C5494"/>
    <w:rsid w:val="2B9D1E83"/>
    <w:rsid w:val="2B9D3E32"/>
    <w:rsid w:val="2B9D4F25"/>
    <w:rsid w:val="2B9E2E72"/>
    <w:rsid w:val="2B9E594C"/>
    <w:rsid w:val="2B9E7027"/>
    <w:rsid w:val="2BA2121F"/>
    <w:rsid w:val="2BA26F2D"/>
    <w:rsid w:val="2BA271EA"/>
    <w:rsid w:val="2BA363D4"/>
    <w:rsid w:val="2BA411B4"/>
    <w:rsid w:val="2BA47406"/>
    <w:rsid w:val="2BA537A3"/>
    <w:rsid w:val="2BA724C0"/>
    <w:rsid w:val="2BA72FB4"/>
    <w:rsid w:val="2BA81D07"/>
    <w:rsid w:val="2BA83950"/>
    <w:rsid w:val="2BA9515B"/>
    <w:rsid w:val="2BA979B1"/>
    <w:rsid w:val="2BAA2542"/>
    <w:rsid w:val="2BAA42F0"/>
    <w:rsid w:val="2BAD1F11"/>
    <w:rsid w:val="2BAD4BF1"/>
    <w:rsid w:val="2BAE2033"/>
    <w:rsid w:val="2BAF1907"/>
    <w:rsid w:val="2BAF3823"/>
    <w:rsid w:val="2BB03572"/>
    <w:rsid w:val="2BB04259"/>
    <w:rsid w:val="2BB05DAB"/>
    <w:rsid w:val="2BB1742D"/>
    <w:rsid w:val="2BB24484"/>
    <w:rsid w:val="2BB30224"/>
    <w:rsid w:val="2BB313F7"/>
    <w:rsid w:val="2BB4516F"/>
    <w:rsid w:val="2BB533C1"/>
    <w:rsid w:val="2BB55F54"/>
    <w:rsid w:val="2BB60EE7"/>
    <w:rsid w:val="2BB67139"/>
    <w:rsid w:val="2BB708BD"/>
    <w:rsid w:val="2BB861EE"/>
    <w:rsid w:val="2BB872D8"/>
    <w:rsid w:val="2BB92785"/>
    <w:rsid w:val="2BBA09D7"/>
    <w:rsid w:val="2BBA71F5"/>
    <w:rsid w:val="2BBB474F"/>
    <w:rsid w:val="2BBB592D"/>
    <w:rsid w:val="2BBC6DB0"/>
    <w:rsid w:val="2BBC711E"/>
    <w:rsid w:val="2BBC74DF"/>
    <w:rsid w:val="2BBD04C8"/>
    <w:rsid w:val="2BBE1B4A"/>
    <w:rsid w:val="2BBE7D9C"/>
    <w:rsid w:val="2BBF2213"/>
    <w:rsid w:val="2BC039B7"/>
    <w:rsid w:val="2BC04358"/>
    <w:rsid w:val="2BC16CD6"/>
    <w:rsid w:val="2BC2163A"/>
    <w:rsid w:val="2BC23E8D"/>
    <w:rsid w:val="2BC36512"/>
    <w:rsid w:val="2BC37160"/>
    <w:rsid w:val="2BC5112A"/>
    <w:rsid w:val="2BC5452F"/>
    <w:rsid w:val="2BC5737C"/>
    <w:rsid w:val="2BC63B60"/>
    <w:rsid w:val="2BC703B4"/>
    <w:rsid w:val="2BC730F4"/>
    <w:rsid w:val="2BC74EA2"/>
    <w:rsid w:val="2BC76623"/>
    <w:rsid w:val="2BC76C50"/>
    <w:rsid w:val="2BC90C1A"/>
    <w:rsid w:val="2BCA6741"/>
    <w:rsid w:val="2BCB18BB"/>
    <w:rsid w:val="2BCC24B9"/>
    <w:rsid w:val="2BCC4267"/>
    <w:rsid w:val="2BCD6DAC"/>
    <w:rsid w:val="2BCE0BE6"/>
    <w:rsid w:val="2BCE4483"/>
    <w:rsid w:val="2BCE6231"/>
    <w:rsid w:val="2BCF2927"/>
    <w:rsid w:val="2BD10EA5"/>
    <w:rsid w:val="2BD17ACF"/>
    <w:rsid w:val="2BD31CF9"/>
    <w:rsid w:val="2BD355F5"/>
    <w:rsid w:val="2BD4136D"/>
    <w:rsid w:val="2BD44EA2"/>
    <w:rsid w:val="2BD51A72"/>
    <w:rsid w:val="2BD650E5"/>
    <w:rsid w:val="2BD71CD3"/>
    <w:rsid w:val="2BD72A2F"/>
    <w:rsid w:val="2BD861D3"/>
    <w:rsid w:val="2BD870AF"/>
    <w:rsid w:val="2BDA4BD6"/>
    <w:rsid w:val="2BDB1BA3"/>
    <w:rsid w:val="2BDB26FC"/>
    <w:rsid w:val="2BDC2840"/>
    <w:rsid w:val="2BDD0222"/>
    <w:rsid w:val="2BDD6D47"/>
    <w:rsid w:val="2BDE7D31"/>
    <w:rsid w:val="2BE00F10"/>
    <w:rsid w:val="2BE00F59"/>
    <w:rsid w:val="2BE23A8A"/>
    <w:rsid w:val="2BE25279"/>
    <w:rsid w:val="2BE315B0"/>
    <w:rsid w:val="2BE40C1A"/>
    <w:rsid w:val="2BE52636"/>
    <w:rsid w:val="2BE5357A"/>
    <w:rsid w:val="2BE5711C"/>
    <w:rsid w:val="2BE617CC"/>
    <w:rsid w:val="2BE67688"/>
    <w:rsid w:val="2BE710A1"/>
    <w:rsid w:val="2BE77953"/>
    <w:rsid w:val="2BE912BD"/>
    <w:rsid w:val="2BEA293F"/>
    <w:rsid w:val="2BEA56D2"/>
    <w:rsid w:val="2BEA5976"/>
    <w:rsid w:val="2BEB11B4"/>
    <w:rsid w:val="2BEB67E8"/>
    <w:rsid w:val="2BEB6DE3"/>
    <w:rsid w:val="2BED76EA"/>
    <w:rsid w:val="2BEE2754"/>
    <w:rsid w:val="2BEF354D"/>
    <w:rsid w:val="2BEF7F55"/>
    <w:rsid w:val="2BF11F1F"/>
    <w:rsid w:val="2BF13CCD"/>
    <w:rsid w:val="2BF3791C"/>
    <w:rsid w:val="2BF437BD"/>
    <w:rsid w:val="2BF51A0F"/>
    <w:rsid w:val="2BF57C61"/>
    <w:rsid w:val="2BF612E4"/>
    <w:rsid w:val="2BF63E4E"/>
    <w:rsid w:val="2BF65788"/>
    <w:rsid w:val="2BF805AE"/>
    <w:rsid w:val="2BF81500"/>
    <w:rsid w:val="2BF832AE"/>
    <w:rsid w:val="2BF901A8"/>
    <w:rsid w:val="2BF970BE"/>
    <w:rsid w:val="2BFA1E04"/>
    <w:rsid w:val="2BFB2D9E"/>
    <w:rsid w:val="2BFB7259"/>
    <w:rsid w:val="2BFC0B5D"/>
    <w:rsid w:val="2BFC1D01"/>
    <w:rsid w:val="2BFD6B16"/>
    <w:rsid w:val="2C0003B4"/>
    <w:rsid w:val="2C002162"/>
    <w:rsid w:val="2C007235"/>
    <w:rsid w:val="2C007F6F"/>
    <w:rsid w:val="2C02412C"/>
    <w:rsid w:val="2C0559CB"/>
    <w:rsid w:val="2C063C1D"/>
    <w:rsid w:val="2C0734F1"/>
    <w:rsid w:val="2C0A2998"/>
    <w:rsid w:val="2C0B1233"/>
    <w:rsid w:val="2C0B28F8"/>
    <w:rsid w:val="2C0C6228"/>
    <w:rsid w:val="2C0D130E"/>
    <w:rsid w:val="2C0E2ED8"/>
    <w:rsid w:val="2C0E47C8"/>
    <w:rsid w:val="2C0F23A5"/>
    <w:rsid w:val="2C105956"/>
    <w:rsid w:val="2C106849"/>
    <w:rsid w:val="2C11611D"/>
    <w:rsid w:val="2C131E96"/>
    <w:rsid w:val="2C142BCF"/>
    <w:rsid w:val="2C1520B2"/>
    <w:rsid w:val="2C154D84"/>
    <w:rsid w:val="2C163734"/>
    <w:rsid w:val="2C183950"/>
    <w:rsid w:val="2C1856FE"/>
    <w:rsid w:val="2C1A3224"/>
    <w:rsid w:val="2C1B0D4A"/>
    <w:rsid w:val="2C1C3440"/>
    <w:rsid w:val="2C1C3E0A"/>
    <w:rsid w:val="2C1C537D"/>
    <w:rsid w:val="2C1D1163"/>
    <w:rsid w:val="2C1E671D"/>
    <w:rsid w:val="2C1F4CDE"/>
    <w:rsid w:val="2C1F6A8C"/>
    <w:rsid w:val="2C2048AF"/>
    <w:rsid w:val="2C2063A3"/>
    <w:rsid w:val="2C22032B"/>
    <w:rsid w:val="2C220743"/>
    <w:rsid w:val="2C262215"/>
    <w:rsid w:val="2C271DE5"/>
    <w:rsid w:val="2C27377B"/>
    <w:rsid w:val="2C273B93"/>
    <w:rsid w:val="2C275941"/>
    <w:rsid w:val="2C291829"/>
    <w:rsid w:val="2C29790B"/>
    <w:rsid w:val="2C2A71DF"/>
    <w:rsid w:val="2C2B0C7F"/>
    <w:rsid w:val="2C2B3683"/>
    <w:rsid w:val="2C2C00F4"/>
    <w:rsid w:val="2C2C2F57"/>
    <w:rsid w:val="2C2C73FB"/>
    <w:rsid w:val="2C2E6CCF"/>
    <w:rsid w:val="2C2F4908"/>
    <w:rsid w:val="2C30560B"/>
    <w:rsid w:val="2C31056E"/>
    <w:rsid w:val="2C31246D"/>
    <w:rsid w:val="2C321063"/>
    <w:rsid w:val="2C324A12"/>
    <w:rsid w:val="2C33078A"/>
    <w:rsid w:val="2C335F5A"/>
    <w:rsid w:val="2C344011"/>
    <w:rsid w:val="2C351E0C"/>
    <w:rsid w:val="2C3562B0"/>
    <w:rsid w:val="2C367450"/>
    <w:rsid w:val="2C37112D"/>
    <w:rsid w:val="2C374EB1"/>
    <w:rsid w:val="2C37663D"/>
    <w:rsid w:val="2C377265"/>
    <w:rsid w:val="2C387B4E"/>
    <w:rsid w:val="2C3A1B18"/>
    <w:rsid w:val="2C3A76BB"/>
    <w:rsid w:val="2C3B1B1B"/>
    <w:rsid w:val="2C3C1215"/>
    <w:rsid w:val="2C3C5B7C"/>
    <w:rsid w:val="2C3C763E"/>
    <w:rsid w:val="2C3E7A06"/>
    <w:rsid w:val="2C3F0EDD"/>
    <w:rsid w:val="2C3F285F"/>
    <w:rsid w:val="2C3F2BBA"/>
    <w:rsid w:val="2C3F712F"/>
    <w:rsid w:val="2C3F7A2A"/>
    <w:rsid w:val="2C405431"/>
    <w:rsid w:val="2C40598D"/>
    <w:rsid w:val="2C415E85"/>
    <w:rsid w:val="2C4209CD"/>
    <w:rsid w:val="2C420FD2"/>
    <w:rsid w:val="2C42277B"/>
    <w:rsid w:val="2C424529"/>
    <w:rsid w:val="2C4330AB"/>
    <w:rsid w:val="2C453E2B"/>
    <w:rsid w:val="2C46067B"/>
    <w:rsid w:val="2C46293E"/>
    <w:rsid w:val="2C471B3F"/>
    <w:rsid w:val="2C472C8F"/>
    <w:rsid w:val="2C475FE3"/>
    <w:rsid w:val="2C490AFB"/>
    <w:rsid w:val="2C491D5B"/>
    <w:rsid w:val="2C493B09"/>
    <w:rsid w:val="2C4958B7"/>
    <w:rsid w:val="2C4A3CC1"/>
    <w:rsid w:val="2C4B162F"/>
    <w:rsid w:val="2C4C35F9"/>
    <w:rsid w:val="2C4D184B"/>
    <w:rsid w:val="2C4D1DAB"/>
    <w:rsid w:val="2C4E17F6"/>
    <w:rsid w:val="2C4E6D35"/>
    <w:rsid w:val="2C504E98"/>
    <w:rsid w:val="2C5129BE"/>
    <w:rsid w:val="2C5150FA"/>
    <w:rsid w:val="2C520AB7"/>
    <w:rsid w:val="2C531885"/>
    <w:rsid w:val="2C532BDA"/>
    <w:rsid w:val="2C532DA0"/>
    <w:rsid w:val="2C53378E"/>
    <w:rsid w:val="2C536736"/>
    <w:rsid w:val="2C5408D6"/>
    <w:rsid w:val="2C542B89"/>
    <w:rsid w:val="2C543488"/>
    <w:rsid w:val="2C550700"/>
    <w:rsid w:val="2C55280F"/>
    <w:rsid w:val="2C5612F4"/>
    <w:rsid w:val="2C5673D1"/>
    <w:rsid w:val="2C570C58"/>
    <w:rsid w:val="2C574478"/>
    <w:rsid w:val="2C5A3F68"/>
    <w:rsid w:val="2C5A7AC4"/>
    <w:rsid w:val="2C5B55EB"/>
    <w:rsid w:val="2C5C1A8E"/>
    <w:rsid w:val="2C5D1363"/>
    <w:rsid w:val="2C5D5807"/>
    <w:rsid w:val="2C5E7A86"/>
    <w:rsid w:val="2C5F01AC"/>
    <w:rsid w:val="2C5F332D"/>
    <w:rsid w:val="2C5F5147"/>
    <w:rsid w:val="2C6011C3"/>
    <w:rsid w:val="2C602C01"/>
    <w:rsid w:val="2C605B3C"/>
    <w:rsid w:val="2C610F9B"/>
    <w:rsid w:val="2C6170A5"/>
    <w:rsid w:val="2C626192"/>
    <w:rsid w:val="2C63061C"/>
    <w:rsid w:val="2C646B95"/>
    <w:rsid w:val="2C6646BB"/>
    <w:rsid w:val="2C6721E1"/>
    <w:rsid w:val="2C6B1436"/>
    <w:rsid w:val="2C6C324C"/>
    <w:rsid w:val="2C6C7279"/>
    <w:rsid w:val="2C6D103F"/>
    <w:rsid w:val="2C6F0A0B"/>
    <w:rsid w:val="2C721808"/>
    <w:rsid w:val="2C7219A3"/>
    <w:rsid w:val="2C727379"/>
    <w:rsid w:val="2C73502A"/>
    <w:rsid w:val="2C736DD8"/>
    <w:rsid w:val="2C742F1C"/>
    <w:rsid w:val="2C75153D"/>
    <w:rsid w:val="2C7548FE"/>
    <w:rsid w:val="2C7566AC"/>
    <w:rsid w:val="2C76790E"/>
    <w:rsid w:val="2C7768C8"/>
    <w:rsid w:val="2C78619D"/>
    <w:rsid w:val="2C792640"/>
    <w:rsid w:val="2C793E9C"/>
    <w:rsid w:val="2C7A3CC3"/>
    <w:rsid w:val="2C7B6540"/>
    <w:rsid w:val="2C7C3EDF"/>
    <w:rsid w:val="2C7C7926"/>
    <w:rsid w:val="2C7C7A3B"/>
    <w:rsid w:val="2C7E2C78"/>
    <w:rsid w:val="2C7F752B"/>
    <w:rsid w:val="2C802752"/>
    <w:rsid w:val="2C8071F5"/>
    <w:rsid w:val="2C817E71"/>
    <w:rsid w:val="2C820DC9"/>
    <w:rsid w:val="2C834CE4"/>
    <w:rsid w:val="2C840FE5"/>
    <w:rsid w:val="2C8417A1"/>
    <w:rsid w:val="2C86060B"/>
    <w:rsid w:val="2C871A1E"/>
    <w:rsid w:val="2C8763E0"/>
    <w:rsid w:val="2C882884"/>
    <w:rsid w:val="2C89498C"/>
    <w:rsid w:val="2C8A3ED2"/>
    <w:rsid w:val="2C8A732B"/>
    <w:rsid w:val="2C8B05AE"/>
    <w:rsid w:val="2C8B4122"/>
    <w:rsid w:val="2C8C68A7"/>
    <w:rsid w:val="2C8D1C48"/>
    <w:rsid w:val="2C8E1404"/>
    <w:rsid w:val="2C8E3C12"/>
    <w:rsid w:val="2C8E7E8C"/>
    <w:rsid w:val="2C9034E6"/>
    <w:rsid w:val="2C9111D4"/>
    <w:rsid w:val="2C920BF7"/>
    <w:rsid w:val="2C9254B0"/>
    <w:rsid w:val="2C932FD6"/>
    <w:rsid w:val="2C935267"/>
    <w:rsid w:val="2C954FA0"/>
    <w:rsid w:val="2C956603"/>
    <w:rsid w:val="2C956D4E"/>
    <w:rsid w:val="2C972AC7"/>
    <w:rsid w:val="2C993C8A"/>
    <w:rsid w:val="2C9A2B5C"/>
    <w:rsid w:val="2C9A4361"/>
    <w:rsid w:val="2C9A6113"/>
    <w:rsid w:val="2C9B4937"/>
    <w:rsid w:val="2C9C183D"/>
    <w:rsid w:val="2C9C1E8B"/>
    <w:rsid w:val="2C9D0974"/>
    <w:rsid w:val="2C9D5C3F"/>
    <w:rsid w:val="2C9E04B4"/>
    <w:rsid w:val="2C9E3E55"/>
    <w:rsid w:val="2C9F3B44"/>
    <w:rsid w:val="2C9F5E1F"/>
    <w:rsid w:val="2C9F63A9"/>
    <w:rsid w:val="2CA002BF"/>
    <w:rsid w:val="2CA0696F"/>
    <w:rsid w:val="2CA13945"/>
    <w:rsid w:val="2CA156F3"/>
    <w:rsid w:val="2CA23219"/>
    <w:rsid w:val="2CA3146B"/>
    <w:rsid w:val="2CA361BA"/>
    <w:rsid w:val="2CA376BD"/>
    <w:rsid w:val="2CA43435"/>
    <w:rsid w:val="2CA46F92"/>
    <w:rsid w:val="2CA4764A"/>
    <w:rsid w:val="2CA60F5C"/>
    <w:rsid w:val="2CA62D0A"/>
    <w:rsid w:val="2CA64AB8"/>
    <w:rsid w:val="2CA67D76"/>
    <w:rsid w:val="2CA70830"/>
    <w:rsid w:val="2CA827D9"/>
    <w:rsid w:val="2CA84CD4"/>
    <w:rsid w:val="2CA86A82"/>
    <w:rsid w:val="2CA93F28"/>
    <w:rsid w:val="2CA94CAD"/>
    <w:rsid w:val="2CAA01B6"/>
    <w:rsid w:val="2CAB0320"/>
    <w:rsid w:val="2CAB47C4"/>
    <w:rsid w:val="2CAB50E6"/>
    <w:rsid w:val="2CAD5E46"/>
    <w:rsid w:val="2CB03B88"/>
    <w:rsid w:val="2CB17563"/>
    <w:rsid w:val="2CB21EE6"/>
    <w:rsid w:val="2CB35427"/>
    <w:rsid w:val="2CB43679"/>
    <w:rsid w:val="2CB45BC6"/>
    <w:rsid w:val="2CB573C5"/>
    <w:rsid w:val="2CB573F1"/>
    <w:rsid w:val="2CB75D05"/>
    <w:rsid w:val="2CB80691"/>
    <w:rsid w:val="2CB82CA9"/>
    <w:rsid w:val="2CB9303B"/>
    <w:rsid w:val="2CB9707F"/>
    <w:rsid w:val="2CBA5AE4"/>
    <w:rsid w:val="2CBB49CC"/>
    <w:rsid w:val="2CBB544D"/>
    <w:rsid w:val="2CBC252D"/>
    <w:rsid w:val="2CBC4CB8"/>
    <w:rsid w:val="2CBE62A5"/>
    <w:rsid w:val="2CBE63FE"/>
    <w:rsid w:val="2CBF1390"/>
    <w:rsid w:val="2CBF201D"/>
    <w:rsid w:val="2CBF3DCB"/>
    <w:rsid w:val="2CBF5B79"/>
    <w:rsid w:val="2CBF6E23"/>
    <w:rsid w:val="2CC15CC4"/>
    <w:rsid w:val="2CC17B44"/>
    <w:rsid w:val="2CC31B0E"/>
    <w:rsid w:val="2CC34063"/>
    <w:rsid w:val="2CC3566A"/>
    <w:rsid w:val="2CC413E2"/>
    <w:rsid w:val="2CC43190"/>
    <w:rsid w:val="2CC55886"/>
    <w:rsid w:val="2CC61554"/>
    <w:rsid w:val="2CC777C8"/>
    <w:rsid w:val="2CC8062C"/>
    <w:rsid w:val="2CC80B4D"/>
    <w:rsid w:val="2CC80ED2"/>
    <w:rsid w:val="2CC86FAF"/>
    <w:rsid w:val="2CC969F8"/>
    <w:rsid w:val="2CCA2E9C"/>
    <w:rsid w:val="2CCB2770"/>
    <w:rsid w:val="2CCC70F5"/>
    <w:rsid w:val="2CCD0296"/>
    <w:rsid w:val="2CCD69B1"/>
    <w:rsid w:val="2CCF6074"/>
    <w:rsid w:val="2CD152E1"/>
    <w:rsid w:val="2CD21D51"/>
    <w:rsid w:val="2CD31625"/>
    <w:rsid w:val="2CD44DBC"/>
    <w:rsid w:val="2CD47877"/>
    <w:rsid w:val="2CD5539D"/>
    <w:rsid w:val="2CD609DF"/>
    <w:rsid w:val="2CD624D9"/>
    <w:rsid w:val="2CD71266"/>
    <w:rsid w:val="2CD72E37"/>
    <w:rsid w:val="2CD755B9"/>
    <w:rsid w:val="2CD77367"/>
    <w:rsid w:val="2CD77A96"/>
    <w:rsid w:val="2CD92F03"/>
    <w:rsid w:val="2CD93DF9"/>
    <w:rsid w:val="2CD944AA"/>
    <w:rsid w:val="2CD94F5A"/>
    <w:rsid w:val="2CDA0C05"/>
    <w:rsid w:val="2CDA29B3"/>
    <w:rsid w:val="2CDA6697"/>
    <w:rsid w:val="2CDB3FD1"/>
    <w:rsid w:val="2CDC2BCF"/>
    <w:rsid w:val="2CDD35CF"/>
    <w:rsid w:val="2CDF7FCA"/>
    <w:rsid w:val="2CE06A21"/>
    <w:rsid w:val="2CE06F89"/>
    <w:rsid w:val="2CE11F94"/>
    <w:rsid w:val="2CE13D42"/>
    <w:rsid w:val="2CE157EA"/>
    <w:rsid w:val="2CE322B4"/>
    <w:rsid w:val="2CE40551"/>
    <w:rsid w:val="2CE455E0"/>
    <w:rsid w:val="2CE5183E"/>
    <w:rsid w:val="2CE55D84"/>
    <w:rsid w:val="2CE564A3"/>
    <w:rsid w:val="2CE63FAE"/>
    <w:rsid w:val="2CE675AA"/>
    <w:rsid w:val="2CE767BE"/>
    <w:rsid w:val="2CE81574"/>
    <w:rsid w:val="2CE90E48"/>
    <w:rsid w:val="2CEA52EC"/>
    <w:rsid w:val="2CEA709A"/>
    <w:rsid w:val="2CEB2E12"/>
    <w:rsid w:val="2CEF0DEF"/>
    <w:rsid w:val="2CF021D7"/>
    <w:rsid w:val="2CF03F85"/>
    <w:rsid w:val="2CF20E1A"/>
    <w:rsid w:val="2CF241A1"/>
    <w:rsid w:val="2CF24B28"/>
    <w:rsid w:val="2CF25F4F"/>
    <w:rsid w:val="2CF30CDD"/>
    <w:rsid w:val="2CF33A75"/>
    <w:rsid w:val="2CF354B3"/>
    <w:rsid w:val="2CF4389A"/>
    <w:rsid w:val="2CF47F19"/>
    <w:rsid w:val="2CF55A62"/>
    <w:rsid w:val="2CF66EF2"/>
    <w:rsid w:val="2CF717B7"/>
    <w:rsid w:val="2CF75313"/>
    <w:rsid w:val="2CF84E03"/>
    <w:rsid w:val="2CF9108B"/>
    <w:rsid w:val="2CFA6D03"/>
    <w:rsid w:val="2CFB18D4"/>
    <w:rsid w:val="2CFB56C0"/>
    <w:rsid w:val="2CFC5020"/>
    <w:rsid w:val="2CFD5684"/>
    <w:rsid w:val="2CFE2B46"/>
    <w:rsid w:val="2CFE66A2"/>
    <w:rsid w:val="2CFF0B2E"/>
    <w:rsid w:val="2CFF16E5"/>
    <w:rsid w:val="2D0068BE"/>
    <w:rsid w:val="2D012636"/>
    <w:rsid w:val="2D0143E4"/>
    <w:rsid w:val="2D016192"/>
    <w:rsid w:val="2D017AFB"/>
    <w:rsid w:val="2D020066"/>
    <w:rsid w:val="2D031F0A"/>
    <w:rsid w:val="2D032C37"/>
    <w:rsid w:val="2D0336E6"/>
    <w:rsid w:val="2D033DF6"/>
    <w:rsid w:val="2D0363AE"/>
    <w:rsid w:val="2D040005"/>
    <w:rsid w:val="2D040353"/>
    <w:rsid w:val="2D0465C5"/>
    <w:rsid w:val="2D051093"/>
    <w:rsid w:val="2D053ED4"/>
    <w:rsid w:val="2D054F24"/>
    <w:rsid w:val="2D0621F1"/>
    <w:rsid w:val="2D06703A"/>
    <w:rsid w:val="2D067C4C"/>
    <w:rsid w:val="2D0839C4"/>
    <w:rsid w:val="2D085772"/>
    <w:rsid w:val="2D0871C8"/>
    <w:rsid w:val="2D087E6E"/>
    <w:rsid w:val="2D095047"/>
    <w:rsid w:val="2D095368"/>
    <w:rsid w:val="2D0A07F1"/>
    <w:rsid w:val="2D0A0CC2"/>
    <w:rsid w:val="2D0A14EA"/>
    <w:rsid w:val="2D0A291E"/>
    <w:rsid w:val="2D0A773C"/>
    <w:rsid w:val="2D0B5263"/>
    <w:rsid w:val="2D0D0FDB"/>
    <w:rsid w:val="2D0D2D89"/>
    <w:rsid w:val="2D0D4B37"/>
    <w:rsid w:val="2D104627"/>
    <w:rsid w:val="2D10523A"/>
    <w:rsid w:val="2D1063D5"/>
    <w:rsid w:val="2D113E1B"/>
    <w:rsid w:val="2D1153C2"/>
    <w:rsid w:val="2D1161A8"/>
    <w:rsid w:val="2D12039F"/>
    <w:rsid w:val="2D12214D"/>
    <w:rsid w:val="2D125BFD"/>
    <w:rsid w:val="2D132788"/>
    <w:rsid w:val="2D1402AF"/>
    <w:rsid w:val="2D142369"/>
    <w:rsid w:val="2D144117"/>
    <w:rsid w:val="2D151C3D"/>
    <w:rsid w:val="2D157E8F"/>
    <w:rsid w:val="2D1660E1"/>
    <w:rsid w:val="2D173C07"/>
    <w:rsid w:val="2D190948"/>
    <w:rsid w:val="2D1934DC"/>
    <w:rsid w:val="2D1A7254"/>
    <w:rsid w:val="2D1B777C"/>
    <w:rsid w:val="2D1C7470"/>
    <w:rsid w:val="2D1F71EF"/>
    <w:rsid w:val="2D202013"/>
    <w:rsid w:val="2D202ABC"/>
    <w:rsid w:val="2D205BB7"/>
    <w:rsid w:val="2D2105E2"/>
    <w:rsid w:val="2D2135EE"/>
    <w:rsid w:val="2D214A86"/>
    <w:rsid w:val="2D215175"/>
    <w:rsid w:val="2D215B59"/>
    <w:rsid w:val="2D222BFC"/>
    <w:rsid w:val="2D24457C"/>
    <w:rsid w:val="2D247BB8"/>
    <w:rsid w:val="2D2500D2"/>
    <w:rsid w:val="2D256324"/>
    <w:rsid w:val="2D26209C"/>
    <w:rsid w:val="2D263E4A"/>
    <w:rsid w:val="2D264D2D"/>
    <w:rsid w:val="2D265BF9"/>
    <w:rsid w:val="2D271AD0"/>
    <w:rsid w:val="2D2759D7"/>
    <w:rsid w:val="2D281971"/>
    <w:rsid w:val="2D281BA0"/>
    <w:rsid w:val="2D29575F"/>
    <w:rsid w:val="2D2A0B7C"/>
    <w:rsid w:val="2D2A56E9"/>
    <w:rsid w:val="2D2B320F"/>
    <w:rsid w:val="2D2C5868"/>
    <w:rsid w:val="2D2C6148"/>
    <w:rsid w:val="2D2C76B3"/>
    <w:rsid w:val="2D2E4FCC"/>
    <w:rsid w:val="2D2F7082"/>
    <w:rsid w:val="2D306A77"/>
    <w:rsid w:val="2D306CC2"/>
    <w:rsid w:val="2D336CD0"/>
    <w:rsid w:val="2D340315"/>
    <w:rsid w:val="2D35408E"/>
    <w:rsid w:val="2D355E3C"/>
    <w:rsid w:val="2D361C05"/>
    <w:rsid w:val="2D3622E0"/>
    <w:rsid w:val="2D373DBD"/>
    <w:rsid w:val="2D376058"/>
    <w:rsid w:val="2D377E06"/>
    <w:rsid w:val="2D381D46"/>
    <w:rsid w:val="2D391DD0"/>
    <w:rsid w:val="2D392D05"/>
    <w:rsid w:val="2D395367"/>
    <w:rsid w:val="2D39592C"/>
    <w:rsid w:val="2D3A415E"/>
    <w:rsid w:val="2D3B63B2"/>
    <w:rsid w:val="2D3B78F6"/>
    <w:rsid w:val="2D3C0143"/>
    <w:rsid w:val="2D3C390E"/>
    <w:rsid w:val="2D3C3AD3"/>
    <w:rsid w:val="2D3C533F"/>
    <w:rsid w:val="2D3C541C"/>
    <w:rsid w:val="2D3E1194"/>
    <w:rsid w:val="2D3E1277"/>
    <w:rsid w:val="2D3E2F42"/>
    <w:rsid w:val="2D3E3E66"/>
    <w:rsid w:val="2D401748"/>
    <w:rsid w:val="2D40315E"/>
    <w:rsid w:val="2D42458F"/>
    <w:rsid w:val="2D4349FC"/>
    <w:rsid w:val="2D46702E"/>
    <w:rsid w:val="2D4744ED"/>
    <w:rsid w:val="2D475309"/>
    <w:rsid w:val="2D480265"/>
    <w:rsid w:val="2D48196F"/>
    <w:rsid w:val="2D485B6F"/>
    <w:rsid w:val="2D4860D7"/>
    <w:rsid w:val="2D4927FA"/>
    <w:rsid w:val="2D493BEB"/>
    <w:rsid w:val="2D4A5D8B"/>
    <w:rsid w:val="2D4B19B6"/>
    <w:rsid w:val="2D4C475F"/>
    <w:rsid w:val="2D4D587B"/>
    <w:rsid w:val="2D510EC7"/>
    <w:rsid w:val="2D5269EE"/>
    <w:rsid w:val="2D531E74"/>
    <w:rsid w:val="2D542766"/>
    <w:rsid w:val="2D55022E"/>
    <w:rsid w:val="2D55028C"/>
    <w:rsid w:val="2D5664DE"/>
    <w:rsid w:val="2D595FCE"/>
    <w:rsid w:val="2D5B1D46"/>
    <w:rsid w:val="2D5B3AF4"/>
    <w:rsid w:val="2D5B6835"/>
    <w:rsid w:val="2D5B7DD4"/>
    <w:rsid w:val="2D5C161A"/>
    <w:rsid w:val="2D5C550F"/>
    <w:rsid w:val="2D5C609F"/>
    <w:rsid w:val="2D5E5392"/>
    <w:rsid w:val="2D5F4A20"/>
    <w:rsid w:val="2D614E83"/>
    <w:rsid w:val="2D615B87"/>
    <w:rsid w:val="2D6329A9"/>
    <w:rsid w:val="2D647324"/>
    <w:rsid w:val="2D654973"/>
    <w:rsid w:val="2D661D22"/>
    <w:rsid w:val="2D6A01DB"/>
    <w:rsid w:val="2D6A1F89"/>
    <w:rsid w:val="2D6A3D37"/>
    <w:rsid w:val="2D6D5DB6"/>
    <w:rsid w:val="2D6D6201"/>
    <w:rsid w:val="2D6E2CD7"/>
    <w:rsid w:val="2D6E7A04"/>
    <w:rsid w:val="2D6F134E"/>
    <w:rsid w:val="2D713949"/>
    <w:rsid w:val="2D7217E1"/>
    <w:rsid w:val="2D722604"/>
    <w:rsid w:val="2D723768"/>
    <w:rsid w:val="2D732BE7"/>
    <w:rsid w:val="2D736563"/>
    <w:rsid w:val="2D776454"/>
    <w:rsid w:val="2D790198"/>
    <w:rsid w:val="2D7918D9"/>
    <w:rsid w:val="2D7921CC"/>
    <w:rsid w:val="2D797C1F"/>
    <w:rsid w:val="2D7A2D69"/>
    <w:rsid w:val="2D7B2AB8"/>
    <w:rsid w:val="2D7B4196"/>
    <w:rsid w:val="2D7B5F44"/>
    <w:rsid w:val="2D7D0B30"/>
    <w:rsid w:val="2D7D7F0E"/>
    <w:rsid w:val="2D7E00F3"/>
    <w:rsid w:val="2D7E2DFB"/>
    <w:rsid w:val="2D7E3C87"/>
    <w:rsid w:val="2D7F1366"/>
    <w:rsid w:val="2D80149F"/>
    <w:rsid w:val="2D8017AD"/>
    <w:rsid w:val="2D83129D"/>
    <w:rsid w:val="2D8350FA"/>
    <w:rsid w:val="2D8748E9"/>
    <w:rsid w:val="2D8774C4"/>
    <w:rsid w:val="2D88240F"/>
    <w:rsid w:val="2D885DEC"/>
    <w:rsid w:val="2D8868B3"/>
    <w:rsid w:val="2D8A262B"/>
    <w:rsid w:val="2D8A2DDB"/>
    <w:rsid w:val="2D8A3A45"/>
    <w:rsid w:val="2D8C1F00"/>
    <w:rsid w:val="2D8C6FB1"/>
    <w:rsid w:val="2D8D2243"/>
    <w:rsid w:val="2D8D3A62"/>
    <w:rsid w:val="2D8F1DD6"/>
    <w:rsid w:val="2D8F7C42"/>
    <w:rsid w:val="2D915768"/>
    <w:rsid w:val="2D9214E0"/>
    <w:rsid w:val="2D940DB4"/>
    <w:rsid w:val="2D962D7E"/>
    <w:rsid w:val="2D972956"/>
    <w:rsid w:val="2D974F9E"/>
    <w:rsid w:val="2D986AF6"/>
    <w:rsid w:val="2D990AC0"/>
    <w:rsid w:val="2D99461C"/>
    <w:rsid w:val="2D997782"/>
    <w:rsid w:val="2D9A13C2"/>
    <w:rsid w:val="2D9A5E8F"/>
    <w:rsid w:val="2D9B2143"/>
    <w:rsid w:val="2D9C3697"/>
    <w:rsid w:val="2D9D11AB"/>
    <w:rsid w:val="2D9D1E47"/>
    <w:rsid w:val="2D9D49C2"/>
    <w:rsid w:val="2DA07759"/>
    <w:rsid w:val="2DA11316"/>
    <w:rsid w:val="2DA134D1"/>
    <w:rsid w:val="2DA60AE7"/>
    <w:rsid w:val="2DA73216"/>
    <w:rsid w:val="2DA84860"/>
    <w:rsid w:val="2DAA05D8"/>
    <w:rsid w:val="2DAA09F9"/>
    <w:rsid w:val="2DAA4A7C"/>
    <w:rsid w:val="2DAA682A"/>
    <w:rsid w:val="2DAB01C3"/>
    <w:rsid w:val="2DAB1B97"/>
    <w:rsid w:val="2DAC4350"/>
    <w:rsid w:val="2DAE0518"/>
    <w:rsid w:val="2DB068A4"/>
    <w:rsid w:val="2DB1548D"/>
    <w:rsid w:val="2DB17BB8"/>
    <w:rsid w:val="2DB24D4A"/>
    <w:rsid w:val="2DB317B9"/>
    <w:rsid w:val="2DB31B82"/>
    <w:rsid w:val="2DB32EFA"/>
    <w:rsid w:val="2DB33BB2"/>
    <w:rsid w:val="2DB453E7"/>
    <w:rsid w:val="2DB476A8"/>
    <w:rsid w:val="2DB54A70"/>
    <w:rsid w:val="2DB5720A"/>
    <w:rsid w:val="2DB57BB5"/>
    <w:rsid w:val="2DB63420"/>
    <w:rsid w:val="2DB66F7C"/>
    <w:rsid w:val="2DB717FA"/>
    <w:rsid w:val="2DB7491B"/>
    <w:rsid w:val="2DB82548"/>
    <w:rsid w:val="2DB9081B"/>
    <w:rsid w:val="2DB94CBF"/>
    <w:rsid w:val="2DBA01FC"/>
    <w:rsid w:val="2DBB0A37"/>
    <w:rsid w:val="2DBB27E5"/>
    <w:rsid w:val="2DBB4593"/>
    <w:rsid w:val="2DBB7F2D"/>
    <w:rsid w:val="2DBB7F93"/>
    <w:rsid w:val="2DBC0F60"/>
    <w:rsid w:val="2DBD47AF"/>
    <w:rsid w:val="2DBE1D8D"/>
    <w:rsid w:val="2DBE543C"/>
    <w:rsid w:val="2DBF3721"/>
    <w:rsid w:val="2DC031A8"/>
    <w:rsid w:val="2DC11CAD"/>
    <w:rsid w:val="2DC16C9C"/>
    <w:rsid w:val="2DC21B72"/>
    <w:rsid w:val="2DC21DC5"/>
    <w:rsid w:val="2DC31699"/>
    <w:rsid w:val="2DC518B5"/>
    <w:rsid w:val="2DC53663"/>
    <w:rsid w:val="2DC55411"/>
    <w:rsid w:val="2DC6697F"/>
    <w:rsid w:val="2DC773DC"/>
    <w:rsid w:val="2DC867B0"/>
    <w:rsid w:val="2DCA2A28"/>
    <w:rsid w:val="2DCA6ECC"/>
    <w:rsid w:val="2DCC054E"/>
    <w:rsid w:val="2DCC2C44"/>
    <w:rsid w:val="2DCC5BED"/>
    <w:rsid w:val="2DCE2518"/>
    <w:rsid w:val="2DCF17E4"/>
    <w:rsid w:val="2DCF44E2"/>
    <w:rsid w:val="2DCF7851"/>
    <w:rsid w:val="2DD00B5C"/>
    <w:rsid w:val="2DD10AED"/>
    <w:rsid w:val="2DD14ADC"/>
    <w:rsid w:val="2DD17B6D"/>
    <w:rsid w:val="2DD439C6"/>
    <w:rsid w:val="2DD54FC4"/>
    <w:rsid w:val="2DD66F8C"/>
    <w:rsid w:val="2DD6761F"/>
    <w:rsid w:val="2DD92C6B"/>
    <w:rsid w:val="2DDB0EC9"/>
    <w:rsid w:val="2DDB2E87"/>
    <w:rsid w:val="2DDC3596"/>
    <w:rsid w:val="2DDD1D98"/>
    <w:rsid w:val="2DDD6BFF"/>
    <w:rsid w:val="2DDE47E9"/>
    <w:rsid w:val="2DE24215"/>
    <w:rsid w:val="2DE27408"/>
    <w:rsid w:val="2DE47918"/>
    <w:rsid w:val="2DE47F8D"/>
    <w:rsid w:val="2DE53D06"/>
    <w:rsid w:val="2DE56725"/>
    <w:rsid w:val="2DE610BC"/>
    <w:rsid w:val="2DE65149"/>
    <w:rsid w:val="2DE7182C"/>
    <w:rsid w:val="2DE76DB3"/>
    <w:rsid w:val="2DE81100"/>
    <w:rsid w:val="2DE85F3E"/>
    <w:rsid w:val="2DE955A4"/>
    <w:rsid w:val="2DEA131C"/>
    <w:rsid w:val="2DEA4E78"/>
    <w:rsid w:val="2DEB27B2"/>
    <w:rsid w:val="2DEB638E"/>
    <w:rsid w:val="2DEC299E"/>
    <w:rsid w:val="2DEC2E91"/>
    <w:rsid w:val="2DEC308B"/>
    <w:rsid w:val="2DED6716"/>
    <w:rsid w:val="2DEE2BBA"/>
    <w:rsid w:val="2DEE4968"/>
    <w:rsid w:val="2DEE6B16"/>
    <w:rsid w:val="2DEF248E"/>
    <w:rsid w:val="2DF16206"/>
    <w:rsid w:val="2DF216A9"/>
    <w:rsid w:val="2DF27A54"/>
    <w:rsid w:val="2DF301D1"/>
    <w:rsid w:val="2DF33D2D"/>
    <w:rsid w:val="2DF45CF7"/>
    <w:rsid w:val="2DF81343"/>
    <w:rsid w:val="2DF83A39"/>
    <w:rsid w:val="2DF87595"/>
    <w:rsid w:val="2DF9330D"/>
    <w:rsid w:val="2DF940C9"/>
    <w:rsid w:val="2DF96942"/>
    <w:rsid w:val="2DFB0E33"/>
    <w:rsid w:val="2DFB2F86"/>
    <w:rsid w:val="2DFB4EDC"/>
    <w:rsid w:val="2DFB52D7"/>
    <w:rsid w:val="2DFB6B1F"/>
    <w:rsid w:val="2DFD4010"/>
    <w:rsid w:val="2DFD4BAB"/>
    <w:rsid w:val="2DFF04B7"/>
    <w:rsid w:val="2E0025AF"/>
    <w:rsid w:val="2E0028ED"/>
    <w:rsid w:val="2E00644A"/>
    <w:rsid w:val="2E011D23"/>
    <w:rsid w:val="2E015A5D"/>
    <w:rsid w:val="2E020414"/>
    <w:rsid w:val="2E0423DE"/>
    <w:rsid w:val="2E051346"/>
    <w:rsid w:val="2E051E23"/>
    <w:rsid w:val="2E053A60"/>
    <w:rsid w:val="2E073C7C"/>
    <w:rsid w:val="2E075A2A"/>
    <w:rsid w:val="2E0777D8"/>
    <w:rsid w:val="2E0979F4"/>
    <w:rsid w:val="2E0A551A"/>
    <w:rsid w:val="2E0C1888"/>
    <w:rsid w:val="2E0D0484"/>
    <w:rsid w:val="2E0E3854"/>
    <w:rsid w:val="2E0E6DB8"/>
    <w:rsid w:val="2E0F19C7"/>
    <w:rsid w:val="2E0F2B31"/>
    <w:rsid w:val="2E100D83"/>
    <w:rsid w:val="2E110657"/>
    <w:rsid w:val="2E112405"/>
    <w:rsid w:val="2E122595"/>
    <w:rsid w:val="2E1343CF"/>
    <w:rsid w:val="2E14742B"/>
    <w:rsid w:val="2E155912"/>
    <w:rsid w:val="2E156399"/>
    <w:rsid w:val="2E162111"/>
    <w:rsid w:val="2E183793"/>
    <w:rsid w:val="2E186047"/>
    <w:rsid w:val="2E1903AF"/>
    <w:rsid w:val="2E190993"/>
    <w:rsid w:val="2E1A1DF7"/>
    <w:rsid w:val="2E1A575D"/>
    <w:rsid w:val="2E1A71B1"/>
    <w:rsid w:val="2E1C2EF5"/>
    <w:rsid w:val="2E1E3EC8"/>
    <w:rsid w:val="2E20199F"/>
    <w:rsid w:val="2E220AB6"/>
    <w:rsid w:val="2E2277CA"/>
    <w:rsid w:val="2E232138"/>
    <w:rsid w:val="2E24038A"/>
    <w:rsid w:val="2E245782"/>
    <w:rsid w:val="2E251112"/>
    <w:rsid w:val="2E25582A"/>
    <w:rsid w:val="2E255EB0"/>
    <w:rsid w:val="2E262354"/>
    <w:rsid w:val="2E271C28"/>
    <w:rsid w:val="2E273547"/>
    <w:rsid w:val="2E276A03"/>
    <w:rsid w:val="2E281104"/>
    <w:rsid w:val="2E2831C7"/>
    <w:rsid w:val="2E2A1718"/>
    <w:rsid w:val="2E2B3142"/>
    <w:rsid w:val="2E2B3406"/>
    <w:rsid w:val="2E2B3573"/>
    <w:rsid w:val="2E2C36E3"/>
    <w:rsid w:val="2E2C5491"/>
    <w:rsid w:val="2E2E4107"/>
    <w:rsid w:val="2E2F6D2F"/>
    <w:rsid w:val="2E30169A"/>
    <w:rsid w:val="2E30178D"/>
    <w:rsid w:val="2E3031D3"/>
    <w:rsid w:val="2E314855"/>
    <w:rsid w:val="2E322CA3"/>
    <w:rsid w:val="2E3237B2"/>
    <w:rsid w:val="2E3305CD"/>
    <w:rsid w:val="2E340676"/>
    <w:rsid w:val="2E3507E9"/>
    <w:rsid w:val="2E3651EC"/>
    <w:rsid w:val="2E390E7D"/>
    <w:rsid w:val="2E3A2E51"/>
    <w:rsid w:val="2E3B2871"/>
    <w:rsid w:val="2E3B56D4"/>
    <w:rsid w:val="2E3D58F0"/>
    <w:rsid w:val="2E3E3B7F"/>
    <w:rsid w:val="2E3F5EC9"/>
    <w:rsid w:val="2E3F6F72"/>
    <w:rsid w:val="2E402CEA"/>
    <w:rsid w:val="2E4153C2"/>
    <w:rsid w:val="2E41718E"/>
    <w:rsid w:val="2E422F06"/>
    <w:rsid w:val="2E424AD5"/>
    <w:rsid w:val="2E425882"/>
    <w:rsid w:val="2E426A62"/>
    <w:rsid w:val="2E434920"/>
    <w:rsid w:val="2E444588"/>
    <w:rsid w:val="2E4839E5"/>
    <w:rsid w:val="2E496043"/>
    <w:rsid w:val="2E497DF1"/>
    <w:rsid w:val="2E4A4A48"/>
    <w:rsid w:val="2E4A5542"/>
    <w:rsid w:val="2E4C5B33"/>
    <w:rsid w:val="2E4C78E1"/>
    <w:rsid w:val="2E4E18AB"/>
    <w:rsid w:val="2E4E3659"/>
    <w:rsid w:val="2E4E5407"/>
    <w:rsid w:val="2E503871"/>
    <w:rsid w:val="2E504D48"/>
    <w:rsid w:val="2E5073D1"/>
    <w:rsid w:val="2E5161D8"/>
    <w:rsid w:val="2E542FDC"/>
    <w:rsid w:val="2E5549E7"/>
    <w:rsid w:val="2E574A5B"/>
    <w:rsid w:val="2E5757F3"/>
    <w:rsid w:val="2E5844D8"/>
    <w:rsid w:val="2E586286"/>
    <w:rsid w:val="2E5A79C8"/>
    <w:rsid w:val="2E5A7BB6"/>
    <w:rsid w:val="2E5B6ECF"/>
    <w:rsid w:val="2E5C75C9"/>
    <w:rsid w:val="2E5F13C2"/>
    <w:rsid w:val="2E5F7F8E"/>
    <w:rsid w:val="2E6017EF"/>
    <w:rsid w:val="2E6044DE"/>
    <w:rsid w:val="2E61458C"/>
    <w:rsid w:val="2E620EB2"/>
    <w:rsid w:val="2E627104"/>
    <w:rsid w:val="2E633762"/>
    <w:rsid w:val="2E64464E"/>
    <w:rsid w:val="2E652F92"/>
    <w:rsid w:val="2E655860"/>
    <w:rsid w:val="2E6609A2"/>
    <w:rsid w:val="2E67296D"/>
    <w:rsid w:val="2E6764C9"/>
    <w:rsid w:val="2E682842"/>
    <w:rsid w:val="2E6966E5"/>
    <w:rsid w:val="2E6A1006"/>
    <w:rsid w:val="2E6B5FB9"/>
    <w:rsid w:val="2E6C1134"/>
    <w:rsid w:val="2E6C3ADF"/>
    <w:rsid w:val="2E6C7D72"/>
    <w:rsid w:val="2E6D4943"/>
    <w:rsid w:val="2E701821"/>
    <w:rsid w:val="2E70537D"/>
    <w:rsid w:val="2E707285"/>
    <w:rsid w:val="2E7117CD"/>
    <w:rsid w:val="2E725511"/>
    <w:rsid w:val="2E726C52"/>
    <w:rsid w:val="2E7300E2"/>
    <w:rsid w:val="2E734E6D"/>
    <w:rsid w:val="2E7542BF"/>
    <w:rsid w:val="2E76495E"/>
    <w:rsid w:val="2E765069"/>
    <w:rsid w:val="2E785913"/>
    <w:rsid w:val="2E786928"/>
    <w:rsid w:val="2E7A444E"/>
    <w:rsid w:val="2E7A61FC"/>
    <w:rsid w:val="2E7B1445"/>
    <w:rsid w:val="2E7B7D04"/>
    <w:rsid w:val="2E7C01C6"/>
    <w:rsid w:val="2E7C61BE"/>
    <w:rsid w:val="2E7D5295"/>
    <w:rsid w:val="2E7D5CEC"/>
    <w:rsid w:val="2E7E31A4"/>
    <w:rsid w:val="2E7F7CB6"/>
    <w:rsid w:val="2E806920"/>
    <w:rsid w:val="2E8157DC"/>
    <w:rsid w:val="2E8171E2"/>
    <w:rsid w:val="2E821554"/>
    <w:rsid w:val="2E824C94"/>
    <w:rsid w:val="2E831067"/>
    <w:rsid w:val="2E8452CD"/>
    <w:rsid w:val="2E84707B"/>
    <w:rsid w:val="2E847F18"/>
    <w:rsid w:val="2E853986"/>
    <w:rsid w:val="2E8548C9"/>
    <w:rsid w:val="2E864BA1"/>
    <w:rsid w:val="2E870057"/>
    <w:rsid w:val="2E871EC5"/>
    <w:rsid w:val="2E884DBD"/>
    <w:rsid w:val="2E8928E3"/>
    <w:rsid w:val="2E8B0409"/>
    <w:rsid w:val="2E8B274E"/>
    <w:rsid w:val="2E8C0AE2"/>
    <w:rsid w:val="2E8C4181"/>
    <w:rsid w:val="2E8C44C1"/>
    <w:rsid w:val="2E8D3859"/>
    <w:rsid w:val="2E8E1CA7"/>
    <w:rsid w:val="2E8E614B"/>
    <w:rsid w:val="2E8E794E"/>
    <w:rsid w:val="2E90020C"/>
    <w:rsid w:val="2E905A1F"/>
    <w:rsid w:val="2E907989"/>
    <w:rsid w:val="2E914C4C"/>
    <w:rsid w:val="2E9153DA"/>
    <w:rsid w:val="2E923616"/>
    <w:rsid w:val="2E9279E9"/>
    <w:rsid w:val="2E9333E2"/>
    <w:rsid w:val="2E933762"/>
    <w:rsid w:val="2E945A58"/>
    <w:rsid w:val="2E975000"/>
    <w:rsid w:val="2E9848D4"/>
    <w:rsid w:val="2E9A5E5D"/>
    <w:rsid w:val="2E9D0144"/>
    <w:rsid w:val="2E9D638E"/>
    <w:rsid w:val="2E9E582E"/>
    <w:rsid w:val="2E9E6507"/>
    <w:rsid w:val="2E9F2106"/>
    <w:rsid w:val="2EA03096"/>
    <w:rsid w:val="2EA0749F"/>
    <w:rsid w:val="2EA1527D"/>
    <w:rsid w:val="2EA15E7F"/>
    <w:rsid w:val="2EA25753"/>
    <w:rsid w:val="2EA30E7D"/>
    <w:rsid w:val="2EA43279"/>
    <w:rsid w:val="2EA4771D"/>
    <w:rsid w:val="2EA65243"/>
    <w:rsid w:val="2EA72D69"/>
    <w:rsid w:val="2EA74B17"/>
    <w:rsid w:val="2EA7602B"/>
    <w:rsid w:val="2EA81517"/>
    <w:rsid w:val="2EA94D33"/>
    <w:rsid w:val="2EA96F04"/>
    <w:rsid w:val="2EAB4BEB"/>
    <w:rsid w:val="2EAB6DE2"/>
    <w:rsid w:val="2EAB6E76"/>
    <w:rsid w:val="2EAC037F"/>
    <w:rsid w:val="2EAD4823"/>
    <w:rsid w:val="2EAE2349"/>
    <w:rsid w:val="2EAE5763"/>
    <w:rsid w:val="2EAE5EA6"/>
    <w:rsid w:val="2EB00083"/>
    <w:rsid w:val="2EB01214"/>
    <w:rsid w:val="2EB021A6"/>
    <w:rsid w:val="2EB11513"/>
    <w:rsid w:val="2EB40A21"/>
    <w:rsid w:val="2EB45BB2"/>
    <w:rsid w:val="2EB4672C"/>
    <w:rsid w:val="2EB536D8"/>
    <w:rsid w:val="2EB5573A"/>
    <w:rsid w:val="2EB711FE"/>
    <w:rsid w:val="2EB84E21"/>
    <w:rsid w:val="2EB857A7"/>
    <w:rsid w:val="2EB85D4C"/>
    <w:rsid w:val="2EB86423"/>
    <w:rsid w:val="2EB86AFF"/>
    <w:rsid w:val="2EB86D24"/>
    <w:rsid w:val="2EB901EB"/>
    <w:rsid w:val="2EBA2061"/>
    <w:rsid w:val="2EBA2A9C"/>
    <w:rsid w:val="2EBA6491"/>
    <w:rsid w:val="2EBB5B59"/>
    <w:rsid w:val="2EBC4A66"/>
    <w:rsid w:val="2EBC6814"/>
    <w:rsid w:val="2EBD00A1"/>
    <w:rsid w:val="2EBF4557"/>
    <w:rsid w:val="2EC079A6"/>
    <w:rsid w:val="2EC25B2C"/>
    <w:rsid w:val="2EC27BA3"/>
    <w:rsid w:val="2EC41B6D"/>
    <w:rsid w:val="2EC4391B"/>
    <w:rsid w:val="2EC50E19"/>
    <w:rsid w:val="2EC517F7"/>
    <w:rsid w:val="2EC6037C"/>
    <w:rsid w:val="2EC6148C"/>
    <w:rsid w:val="2EC701BE"/>
    <w:rsid w:val="2EC851B9"/>
    <w:rsid w:val="2EC92CDF"/>
    <w:rsid w:val="2EC9748C"/>
    <w:rsid w:val="2ECB345D"/>
    <w:rsid w:val="2ECB4055"/>
    <w:rsid w:val="2ECD0A22"/>
    <w:rsid w:val="2ECD481B"/>
    <w:rsid w:val="2ECE0A3B"/>
    <w:rsid w:val="2ECF4A9C"/>
    <w:rsid w:val="2ECF6AEB"/>
    <w:rsid w:val="2ED0406E"/>
    <w:rsid w:val="2ED075DC"/>
    <w:rsid w:val="2ED27DE6"/>
    <w:rsid w:val="2ED35172"/>
    <w:rsid w:val="2ED53072"/>
    <w:rsid w:val="2ED60F40"/>
    <w:rsid w:val="2ED753FC"/>
    <w:rsid w:val="2ED856F7"/>
    <w:rsid w:val="2EDA42DD"/>
    <w:rsid w:val="2EDA4EED"/>
    <w:rsid w:val="2EDC6EB7"/>
    <w:rsid w:val="2EDD678B"/>
    <w:rsid w:val="2EDE49DD"/>
    <w:rsid w:val="2EDF69A7"/>
    <w:rsid w:val="2EE00B92"/>
    <w:rsid w:val="2EE10029"/>
    <w:rsid w:val="2EE144CD"/>
    <w:rsid w:val="2EE1627B"/>
    <w:rsid w:val="2EE1755E"/>
    <w:rsid w:val="2EE27C7F"/>
    <w:rsid w:val="2EE30245"/>
    <w:rsid w:val="2EE31FF3"/>
    <w:rsid w:val="2EE61AE3"/>
    <w:rsid w:val="2EE6563F"/>
    <w:rsid w:val="2EE77703"/>
    <w:rsid w:val="2EE84EB6"/>
    <w:rsid w:val="2EE8585B"/>
    <w:rsid w:val="2EE8607E"/>
    <w:rsid w:val="2EE93E1C"/>
    <w:rsid w:val="2EE95130"/>
    <w:rsid w:val="2EEA4609"/>
    <w:rsid w:val="2EEB0EA8"/>
    <w:rsid w:val="2EEB534C"/>
    <w:rsid w:val="2EEB70FA"/>
    <w:rsid w:val="2EEE0998"/>
    <w:rsid w:val="2EEE2746"/>
    <w:rsid w:val="2EEF6BEA"/>
    <w:rsid w:val="2EF20488"/>
    <w:rsid w:val="2EF266DA"/>
    <w:rsid w:val="2EF2748F"/>
    <w:rsid w:val="2EF57F78"/>
    <w:rsid w:val="2EF637C3"/>
    <w:rsid w:val="2EF741B2"/>
    <w:rsid w:val="2EF84F00"/>
    <w:rsid w:val="2EF865F5"/>
    <w:rsid w:val="2EFA3932"/>
    <w:rsid w:val="2EFA6479"/>
    <w:rsid w:val="2EFA65C8"/>
    <w:rsid w:val="2EFC1307"/>
    <w:rsid w:val="2EFC1D12"/>
    <w:rsid w:val="2EFE7B1A"/>
    <w:rsid w:val="2EFF0321"/>
    <w:rsid w:val="2EFF3921"/>
    <w:rsid w:val="2EFF6701"/>
    <w:rsid w:val="2EFF7C10"/>
    <w:rsid w:val="2F0106CB"/>
    <w:rsid w:val="2F012479"/>
    <w:rsid w:val="2F032695"/>
    <w:rsid w:val="2F034443"/>
    <w:rsid w:val="2F040B13"/>
    <w:rsid w:val="2F041F69"/>
    <w:rsid w:val="2F0445CA"/>
    <w:rsid w:val="2F05640D"/>
    <w:rsid w:val="2F063F34"/>
    <w:rsid w:val="2F06615A"/>
    <w:rsid w:val="2F08379D"/>
    <w:rsid w:val="2F0957D2"/>
    <w:rsid w:val="2F0A3A24"/>
    <w:rsid w:val="2F0A60BD"/>
    <w:rsid w:val="2F0B154A"/>
    <w:rsid w:val="2F0B779C"/>
    <w:rsid w:val="2F0C122D"/>
    <w:rsid w:val="2F0D52C2"/>
    <w:rsid w:val="2F0D7070"/>
    <w:rsid w:val="2F0F103A"/>
    <w:rsid w:val="2F0F4084"/>
    <w:rsid w:val="2F120B2A"/>
    <w:rsid w:val="2F1228D8"/>
    <w:rsid w:val="2F131FDE"/>
    <w:rsid w:val="2F1321AD"/>
    <w:rsid w:val="2F140FA7"/>
    <w:rsid w:val="2F146FFE"/>
    <w:rsid w:val="2F164660"/>
    <w:rsid w:val="2F176141"/>
    <w:rsid w:val="2F1943E0"/>
    <w:rsid w:val="2F1A0783"/>
    <w:rsid w:val="2F1A178D"/>
    <w:rsid w:val="2F1A389B"/>
    <w:rsid w:val="2F1A68CC"/>
    <w:rsid w:val="2F1A79DF"/>
    <w:rsid w:val="2F1C30A3"/>
    <w:rsid w:val="2F1C3757"/>
    <w:rsid w:val="2F1C5505"/>
    <w:rsid w:val="2F1D4533"/>
    <w:rsid w:val="2F1E7104"/>
    <w:rsid w:val="2F1F20B3"/>
    <w:rsid w:val="2F202EB4"/>
    <w:rsid w:val="2F212B1B"/>
    <w:rsid w:val="2F2131FE"/>
    <w:rsid w:val="2F2443BA"/>
    <w:rsid w:val="2F265F14"/>
    <w:rsid w:val="2F2755E5"/>
    <w:rsid w:val="2F2820FC"/>
    <w:rsid w:val="2F283EAA"/>
    <w:rsid w:val="2F2907E2"/>
    <w:rsid w:val="2F294217"/>
    <w:rsid w:val="2F296A92"/>
    <w:rsid w:val="2F2A56A7"/>
    <w:rsid w:val="2F2A7C22"/>
    <w:rsid w:val="2F2B5748"/>
    <w:rsid w:val="2F2B74F6"/>
    <w:rsid w:val="2F2D14C0"/>
    <w:rsid w:val="2F2D326E"/>
    <w:rsid w:val="2F2D7712"/>
    <w:rsid w:val="2F2E3D45"/>
    <w:rsid w:val="2F2F5238"/>
    <w:rsid w:val="2F320885"/>
    <w:rsid w:val="2F324D29"/>
    <w:rsid w:val="2F340AA1"/>
    <w:rsid w:val="2F3445FD"/>
    <w:rsid w:val="2F350375"/>
    <w:rsid w:val="2F3529D4"/>
    <w:rsid w:val="2F357B07"/>
    <w:rsid w:val="2F360358"/>
    <w:rsid w:val="2F3650DA"/>
    <w:rsid w:val="2F37233F"/>
    <w:rsid w:val="2F3740ED"/>
    <w:rsid w:val="2F3741C1"/>
    <w:rsid w:val="2F391C13"/>
    <w:rsid w:val="2F3945C8"/>
    <w:rsid w:val="2F397E65"/>
    <w:rsid w:val="2F3A0937"/>
    <w:rsid w:val="2F3A40A7"/>
    <w:rsid w:val="2F3B3032"/>
    <w:rsid w:val="2F3D23DC"/>
    <w:rsid w:val="2F3D28DA"/>
    <w:rsid w:val="2F3E191F"/>
    <w:rsid w:val="2F3E547B"/>
    <w:rsid w:val="2F3E7229"/>
    <w:rsid w:val="2F3F2FA2"/>
    <w:rsid w:val="2F407445"/>
    <w:rsid w:val="2F4175EC"/>
    <w:rsid w:val="2F436F36"/>
    <w:rsid w:val="2F4405B8"/>
    <w:rsid w:val="2F451D68"/>
    <w:rsid w:val="2F452CAE"/>
    <w:rsid w:val="2F454A5C"/>
    <w:rsid w:val="2F4800A8"/>
    <w:rsid w:val="2F4862FA"/>
    <w:rsid w:val="2F4A02C4"/>
    <w:rsid w:val="2F4A2072"/>
    <w:rsid w:val="2F4B29FE"/>
    <w:rsid w:val="2F4D1B62"/>
    <w:rsid w:val="2F4D1ED1"/>
    <w:rsid w:val="2F4D3910"/>
    <w:rsid w:val="2F4E3E29"/>
    <w:rsid w:val="2F4F58DB"/>
    <w:rsid w:val="2F4F5F32"/>
    <w:rsid w:val="2F5042AE"/>
    <w:rsid w:val="2F510852"/>
    <w:rsid w:val="2F527179"/>
    <w:rsid w:val="2F546A4D"/>
    <w:rsid w:val="2F560569"/>
    <w:rsid w:val="2F560A17"/>
    <w:rsid w:val="2F5643E8"/>
    <w:rsid w:val="2F5702EB"/>
    <w:rsid w:val="2F57478F"/>
    <w:rsid w:val="2F574FCA"/>
    <w:rsid w:val="2F5838B9"/>
    <w:rsid w:val="2F58587F"/>
    <w:rsid w:val="2F586A72"/>
    <w:rsid w:val="2F587873"/>
    <w:rsid w:val="2F593922"/>
    <w:rsid w:val="2F5946A3"/>
    <w:rsid w:val="2F5B427F"/>
    <w:rsid w:val="2F5B5800"/>
    <w:rsid w:val="2F5B73C0"/>
    <w:rsid w:val="2F5C1DA5"/>
    <w:rsid w:val="2F5C3B54"/>
    <w:rsid w:val="2F5C7820"/>
    <w:rsid w:val="2F5C7FF7"/>
    <w:rsid w:val="2F5D21E8"/>
    <w:rsid w:val="2F5F4047"/>
    <w:rsid w:val="2F61560E"/>
    <w:rsid w:val="2F6173BC"/>
    <w:rsid w:val="2F6234D3"/>
    <w:rsid w:val="2F6264E7"/>
    <w:rsid w:val="2F633B47"/>
    <w:rsid w:val="2F6340F7"/>
    <w:rsid w:val="2F634EE2"/>
    <w:rsid w:val="2F6446E6"/>
    <w:rsid w:val="2F656EAC"/>
    <w:rsid w:val="2F662571"/>
    <w:rsid w:val="2F6708E2"/>
    <w:rsid w:val="2F6968F9"/>
    <w:rsid w:val="2F6A001E"/>
    <w:rsid w:val="2F6A2714"/>
    <w:rsid w:val="2F6B1FE9"/>
    <w:rsid w:val="2F6B545A"/>
    <w:rsid w:val="2F6C023B"/>
    <w:rsid w:val="2F6F1AD9"/>
    <w:rsid w:val="2F7013AD"/>
    <w:rsid w:val="2F7075FF"/>
    <w:rsid w:val="2F713AA3"/>
    <w:rsid w:val="2F715851"/>
    <w:rsid w:val="2F715B87"/>
    <w:rsid w:val="2F7215C9"/>
    <w:rsid w:val="2F723377"/>
    <w:rsid w:val="2F725125"/>
    <w:rsid w:val="2F732410"/>
    <w:rsid w:val="2F73653C"/>
    <w:rsid w:val="2F745091"/>
    <w:rsid w:val="2F753FA1"/>
    <w:rsid w:val="2F754C15"/>
    <w:rsid w:val="2F7610B9"/>
    <w:rsid w:val="2F762E69"/>
    <w:rsid w:val="2F763CAE"/>
    <w:rsid w:val="2F776BDF"/>
    <w:rsid w:val="2F792957"/>
    <w:rsid w:val="2F7A3ABF"/>
    <w:rsid w:val="2F7A6F55"/>
    <w:rsid w:val="2F7B6A78"/>
    <w:rsid w:val="2F7C5FA4"/>
    <w:rsid w:val="2F7D000B"/>
    <w:rsid w:val="2F7D2981"/>
    <w:rsid w:val="2F7D7343"/>
    <w:rsid w:val="2F7E38A6"/>
    <w:rsid w:val="2F7E7836"/>
    <w:rsid w:val="2F807931"/>
    <w:rsid w:val="2F810D19"/>
    <w:rsid w:val="2F811BAB"/>
    <w:rsid w:val="2F82170A"/>
    <w:rsid w:val="2F8512FC"/>
    <w:rsid w:val="2F854E58"/>
    <w:rsid w:val="2F86538B"/>
    <w:rsid w:val="2F895743"/>
    <w:rsid w:val="2F8A246F"/>
    <w:rsid w:val="2F8D7364"/>
    <w:rsid w:val="2F8E270B"/>
    <w:rsid w:val="2F8F18E7"/>
    <w:rsid w:val="2F8F1C84"/>
    <w:rsid w:val="2F8F217B"/>
    <w:rsid w:val="2F8F3F29"/>
    <w:rsid w:val="2F8F4955"/>
    <w:rsid w:val="2F907B20"/>
    <w:rsid w:val="2F910C4A"/>
    <w:rsid w:val="2F911A4F"/>
    <w:rsid w:val="2F912073"/>
    <w:rsid w:val="2F912594"/>
    <w:rsid w:val="2F91371B"/>
    <w:rsid w:val="2F917CA1"/>
    <w:rsid w:val="2F925CF0"/>
    <w:rsid w:val="2F926F97"/>
    <w:rsid w:val="2F927575"/>
    <w:rsid w:val="2F936C13"/>
    <w:rsid w:val="2F94153F"/>
    <w:rsid w:val="2F95651B"/>
    <w:rsid w:val="2F960D2A"/>
    <w:rsid w:val="2F963509"/>
    <w:rsid w:val="2F9742DA"/>
    <w:rsid w:val="2F994DA8"/>
    <w:rsid w:val="2F9B0B20"/>
    <w:rsid w:val="2F9C21A2"/>
    <w:rsid w:val="2F9D1621"/>
    <w:rsid w:val="2F9D6324"/>
    <w:rsid w:val="2F9F686C"/>
    <w:rsid w:val="2FA15A0A"/>
    <w:rsid w:val="2FA2183B"/>
    <w:rsid w:val="2FA21EAE"/>
    <w:rsid w:val="2FA240C1"/>
    <w:rsid w:val="2FA258B6"/>
    <w:rsid w:val="2FA32F55"/>
    <w:rsid w:val="2FA33530"/>
    <w:rsid w:val="2FA37E1C"/>
    <w:rsid w:val="2FA4415B"/>
    <w:rsid w:val="2FA5126A"/>
    <w:rsid w:val="2FA555EB"/>
    <w:rsid w:val="2FA572A9"/>
    <w:rsid w:val="2FA70302"/>
    <w:rsid w:val="2FA81929"/>
    <w:rsid w:val="2FA953FC"/>
    <w:rsid w:val="2FA96665"/>
    <w:rsid w:val="2FAA0D63"/>
    <w:rsid w:val="2FAA2B11"/>
    <w:rsid w:val="2FAB145D"/>
    <w:rsid w:val="2FAB4538"/>
    <w:rsid w:val="2FAC3D7D"/>
    <w:rsid w:val="2FAC519C"/>
    <w:rsid w:val="2FAD5D50"/>
    <w:rsid w:val="2FAE3708"/>
    <w:rsid w:val="2FB040D9"/>
    <w:rsid w:val="2FB13E9F"/>
    <w:rsid w:val="2FB15C4D"/>
    <w:rsid w:val="2FB27BEF"/>
    <w:rsid w:val="2FB3661D"/>
    <w:rsid w:val="2FB607B7"/>
    <w:rsid w:val="2FB614B6"/>
    <w:rsid w:val="2FB63264"/>
    <w:rsid w:val="2FB63E65"/>
    <w:rsid w:val="2FB71568"/>
    <w:rsid w:val="2FB7522E"/>
    <w:rsid w:val="2FB83480"/>
    <w:rsid w:val="2FB90FA6"/>
    <w:rsid w:val="2FB92BEB"/>
    <w:rsid w:val="2FB92D54"/>
    <w:rsid w:val="2FB93D78"/>
    <w:rsid w:val="2FB971F8"/>
    <w:rsid w:val="2FBA37D4"/>
    <w:rsid w:val="2FBB2678"/>
    <w:rsid w:val="2FBB4731"/>
    <w:rsid w:val="2FBB7B31"/>
    <w:rsid w:val="2FBC2844"/>
    <w:rsid w:val="2FBC67AE"/>
    <w:rsid w:val="2FBD0A96"/>
    <w:rsid w:val="2FBD1AAD"/>
    <w:rsid w:val="2FBE2364"/>
    <w:rsid w:val="2FBE65BC"/>
    <w:rsid w:val="2FC005B8"/>
    <w:rsid w:val="2FC14228"/>
    <w:rsid w:val="2FC16254"/>
    <w:rsid w:val="2FC276E4"/>
    <w:rsid w:val="2FC31E25"/>
    <w:rsid w:val="2FC324F5"/>
    <w:rsid w:val="2FC33BD3"/>
    <w:rsid w:val="2FC35FA3"/>
    <w:rsid w:val="2FC42004"/>
    <w:rsid w:val="2FC433C7"/>
    <w:rsid w:val="2FC46D35"/>
    <w:rsid w:val="2FC516F9"/>
    <w:rsid w:val="2FC55B9D"/>
    <w:rsid w:val="2FC71915"/>
    <w:rsid w:val="2FC93DFE"/>
    <w:rsid w:val="2FC949E6"/>
    <w:rsid w:val="2FC96354"/>
    <w:rsid w:val="2FCA31B3"/>
    <w:rsid w:val="2FCA6D0F"/>
    <w:rsid w:val="2FCB6DCE"/>
    <w:rsid w:val="2FCB7306"/>
    <w:rsid w:val="2FCC0CD9"/>
    <w:rsid w:val="2FCC0EF7"/>
    <w:rsid w:val="2FCC2A87"/>
    <w:rsid w:val="2FCE003F"/>
    <w:rsid w:val="2FCE2CA3"/>
    <w:rsid w:val="2FCF4325"/>
    <w:rsid w:val="2FD13178"/>
    <w:rsid w:val="2FD1395A"/>
    <w:rsid w:val="2FD2773C"/>
    <w:rsid w:val="2FD33F24"/>
    <w:rsid w:val="2FD62CF5"/>
    <w:rsid w:val="2FD64419"/>
    <w:rsid w:val="2FD656B4"/>
    <w:rsid w:val="2FD8767E"/>
    <w:rsid w:val="2FD91648"/>
    <w:rsid w:val="2FD95F39"/>
    <w:rsid w:val="2FDA6B8A"/>
    <w:rsid w:val="2FDB2CCA"/>
    <w:rsid w:val="2FDB59D4"/>
    <w:rsid w:val="2FDC6A42"/>
    <w:rsid w:val="2FDD18E2"/>
    <w:rsid w:val="2FDD2EE6"/>
    <w:rsid w:val="2FDD71F1"/>
    <w:rsid w:val="2FDE6C5E"/>
    <w:rsid w:val="2FDF2F73"/>
    <w:rsid w:val="2FDF6AFD"/>
    <w:rsid w:val="2FE1071D"/>
    <w:rsid w:val="2FE35AF7"/>
    <w:rsid w:val="2FE37DD1"/>
    <w:rsid w:val="2FE53B49"/>
    <w:rsid w:val="2FE57FED"/>
    <w:rsid w:val="2FE7539E"/>
    <w:rsid w:val="2FEC4ED7"/>
    <w:rsid w:val="2FEC7704"/>
    <w:rsid w:val="2FED26A0"/>
    <w:rsid w:val="2FEE5271"/>
    <w:rsid w:val="2FEF6776"/>
    <w:rsid w:val="2FEF72D2"/>
    <w:rsid w:val="2FF06809"/>
    <w:rsid w:val="2FF15575"/>
    <w:rsid w:val="2FF16992"/>
    <w:rsid w:val="2FF26266"/>
    <w:rsid w:val="2FF3176C"/>
    <w:rsid w:val="2FF346DE"/>
    <w:rsid w:val="2FF41FDE"/>
    <w:rsid w:val="2FF50339"/>
    <w:rsid w:val="2FF60F64"/>
    <w:rsid w:val="2FF67B04"/>
    <w:rsid w:val="2FF700B2"/>
    <w:rsid w:val="2FF9065A"/>
    <w:rsid w:val="2FF93023"/>
    <w:rsid w:val="2FFC08B9"/>
    <w:rsid w:val="2FFC5EEA"/>
    <w:rsid w:val="2FFD0E93"/>
    <w:rsid w:val="2FFD66D2"/>
    <w:rsid w:val="2FFD7EBA"/>
    <w:rsid w:val="2FFD7F73"/>
    <w:rsid w:val="2FFF10AF"/>
    <w:rsid w:val="2FFF439B"/>
    <w:rsid w:val="2FFF534B"/>
    <w:rsid w:val="30000D21"/>
    <w:rsid w:val="30004E27"/>
    <w:rsid w:val="30006BD5"/>
    <w:rsid w:val="30006FF4"/>
    <w:rsid w:val="300200C4"/>
    <w:rsid w:val="3002294D"/>
    <w:rsid w:val="300264A9"/>
    <w:rsid w:val="30032221"/>
    <w:rsid w:val="300356AE"/>
    <w:rsid w:val="30035F45"/>
    <w:rsid w:val="300366FC"/>
    <w:rsid w:val="300373A5"/>
    <w:rsid w:val="30041C4E"/>
    <w:rsid w:val="30050C0E"/>
    <w:rsid w:val="30051D38"/>
    <w:rsid w:val="30056039"/>
    <w:rsid w:val="30060CBF"/>
    <w:rsid w:val="30073ABF"/>
    <w:rsid w:val="3007467D"/>
    <w:rsid w:val="300761B5"/>
    <w:rsid w:val="30085A89"/>
    <w:rsid w:val="30091E78"/>
    <w:rsid w:val="3009227F"/>
    <w:rsid w:val="300A35B0"/>
    <w:rsid w:val="300A4087"/>
    <w:rsid w:val="300A7A53"/>
    <w:rsid w:val="300B7A9A"/>
    <w:rsid w:val="300C07F9"/>
    <w:rsid w:val="300C7328"/>
    <w:rsid w:val="300C7EE4"/>
    <w:rsid w:val="300D3D16"/>
    <w:rsid w:val="300E12F2"/>
    <w:rsid w:val="300F0BC6"/>
    <w:rsid w:val="300F506A"/>
    <w:rsid w:val="300F7596"/>
    <w:rsid w:val="30103113"/>
    <w:rsid w:val="301109B7"/>
    <w:rsid w:val="30112B90"/>
    <w:rsid w:val="30121DEE"/>
    <w:rsid w:val="301343BA"/>
    <w:rsid w:val="3013573C"/>
    <w:rsid w:val="30142680"/>
    <w:rsid w:val="30143D58"/>
    <w:rsid w:val="30146867"/>
    <w:rsid w:val="30146F4B"/>
    <w:rsid w:val="30146F8B"/>
    <w:rsid w:val="30157844"/>
    <w:rsid w:val="301601A6"/>
    <w:rsid w:val="30160EAD"/>
    <w:rsid w:val="301618AB"/>
    <w:rsid w:val="301663F8"/>
    <w:rsid w:val="3019019F"/>
    <w:rsid w:val="30191A45"/>
    <w:rsid w:val="30192C80"/>
    <w:rsid w:val="30193F93"/>
    <w:rsid w:val="301B3A0F"/>
    <w:rsid w:val="301B428D"/>
    <w:rsid w:val="301B57BD"/>
    <w:rsid w:val="301C25D9"/>
    <w:rsid w:val="301C53B5"/>
    <w:rsid w:val="301D649F"/>
    <w:rsid w:val="301E2C0E"/>
    <w:rsid w:val="301E705B"/>
    <w:rsid w:val="301F6C59"/>
    <w:rsid w:val="30202DD3"/>
    <w:rsid w:val="30233EAF"/>
    <w:rsid w:val="30234671"/>
    <w:rsid w:val="3025663B"/>
    <w:rsid w:val="302723B3"/>
    <w:rsid w:val="30272B7C"/>
    <w:rsid w:val="30274161"/>
    <w:rsid w:val="30281468"/>
    <w:rsid w:val="30286891"/>
    <w:rsid w:val="30295150"/>
    <w:rsid w:val="30295C73"/>
    <w:rsid w:val="30297EDA"/>
    <w:rsid w:val="302A11B1"/>
    <w:rsid w:val="302C1778"/>
    <w:rsid w:val="302C5C1C"/>
    <w:rsid w:val="302C79CA"/>
    <w:rsid w:val="302D758F"/>
    <w:rsid w:val="302E2BD7"/>
    <w:rsid w:val="302E5B2C"/>
    <w:rsid w:val="302F0E08"/>
    <w:rsid w:val="302F3016"/>
    <w:rsid w:val="30300350"/>
    <w:rsid w:val="303008F8"/>
    <w:rsid w:val="303074BA"/>
    <w:rsid w:val="30313232"/>
    <w:rsid w:val="30314917"/>
    <w:rsid w:val="30316AAF"/>
    <w:rsid w:val="303348B4"/>
    <w:rsid w:val="30337B03"/>
    <w:rsid w:val="3034687E"/>
    <w:rsid w:val="30347D4D"/>
    <w:rsid w:val="30357A05"/>
    <w:rsid w:val="30357ABB"/>
    <w:rsid w:val="303625F7"/>
    <w:rsid w:val="3038636F"/>
    <w:rsid w:val="303A20E7"/>
    <w:rsid w:val="303A6612"/>
    <w:rsid w:val="303B3A87"/>
    <w:rsid w:val="303B5E5F"/>
    <w:rsid w:val="303C4D07"/>
    <w:rsid w:val="303C6197"/>
    <w:rsid w:val="303D3985"/>
    <w:rsid w:val="303D7320"/>
    <w:rsid w:val="303E14AB"/>
    <w:rsid w:val="303E76E8"/>
    <w:rsid w:val="303F2EE9"/>
    <w:rsid w:val="303F6897"/>
    <w:rsid w:val="303F76FD"/>
    <w:rsid w:val="30403475"/>
    <w:rsid w:val="30404B18"/>
    <w:rsid w:val="30405CA0"/>
    <w:rsid w:val="30420F9B"/>
    <w:rsid w:val="30424047"/>
    <w:rsid w:val="304308C8"/>
    <w:rsid w:val="30431BC2"/>
    <w:rsid w:val="304417EB"/>
    <w:rsid w:val="304651C4"/>
    <w:rsid w:val="3046533C"/>
    <w:rsid w:val="30466CDD"/>
    <w:rsid w:val="304720AE"/>
    <w:rsid w:val="30476D7A"/>
    <w:rsid w:val="30492B1F"/>
    <w:rsid w:val="30495115"/>
    <w:rsid w:val="304A284C"/>
    <w:rsid w:val="304C1E1A"/>
    <w:rsid w:val="304C5976"/>
    <w:rsid w:val="304D122A"/>
    <w:rsid w:val="304D5781"/>
    <w:rsid w:val="304E165C"/>
    <w:rsid w:val="304F1A3C"/>
    <w:rsid w:val="304F26CF"/>
    <w:rsid w:val="304F5466"/>
    <w:rsid w:val="3050190A"/>
    <w:rsid w:val="30503E51"/>
    <w:rsid w:val="30515682"/>
    <w:rsid w:val="30517430"/>
    <w:rsid w:val="305303BD"/>
    <w:rsid w:val="30542A7D"/>
    <w:rsid w:val="305458DB"/>
    <w:rsid w:val="30550CCF"/>
    <w:rsid w:val="30556F21"/>
    <w:rsid w:val="3056486D"/>
    <w:rsid w:val="305A6FA0"/>
    <w:rsid w:val="305B205D"/>
    <w:rsid w:val="305C4CED"/>
    <w:rsid w:val="305D4027"/>
    <w:rsid w:val="305D574B"/>
    <w:rsid w:val="305E675C"/>
    <w:rsid w:val="305F05DF"/>
    <w:rsid w:val="305F1B4D"/>
    <w:rsid w:val="305F7D9F"/>
    <w:rsid w:val="306233EC"/>
    <w:rsid w:val="30640F12"/>
    <w:rsid w:val="306453B6"/>
    <w:rsid w:val="30654C8A"/>
    <w:rsid w:val="30665592"/>
    <w:rsid w:val="30671649"/>
    <w:rsid w:val="306727B0"/>
    <w:rsid w:val="30676AC5"/>
    <w:rsid w:val="306929CC"/>
    <w:rsid w:val="3069477A"/>
    <w:rsid w:val="30696528"/>
    <w:rsid w:val="306B3002"/>
    <w:rsid w:val="306B5906"/>
    <w:rsid w:val="306B7271"/>
    <w:rsid w:val="306C3A94"/>
    <w:rsid w:val="306C415A"/>
    <w:rsid w:val="306C6018"/>
    <w:rsid w:val="306C7DC6"/>
    <w:rsid w:val="306D011C"/>
    <w:rsid w:val="306E3B3E"/>
    <w:rsid w:val="306F163B"/>
    <w:rsid w:val="306F78B6"/>
    <w:rsid w:val="306F78E5"/>
    <w:rsid w:val="30701766"/>
    <w:rsid w:val="307024B6"/>
    <w:rsid w:val="30703D5A"/>
    <w:rsid w:val="30712018"/>
    <w:rsid w:val="30713277"/>
    <w:rsid w:val="30745830"/>
    <w:rsid w:val="3075311F"/>
    <w:rsid w:val="30760C45"/>
    <w:rsid w:val="30762520"/>
    <w:rsid w:val="30766E97"/>
    <w:rsid w:val="30775A34"/>
    <w:rsid w:val="30782C0F"/>
    <w:rsid w:val="3078676B"/>
    <w:rsid w:val="30790319"/>
    <w:rsid w:val="307920D8"/>
    <w:rsid w:val="307A24E3"/>
    <w:rsid w:val="307A69CA"/>
    <w:rsid w:val="307A7A7C"/>
    <w:rsid w:val="307B4034"/>
    <w:rsid w:val="307B59E5"/>
    <w:rsid w:val="307B75C9"/>
    <w:rsid w:val="307C362A"/>
    <w:rsid w:val="307C7BA6"/>
    <w:rsid w:val="307D0225"/>
    <w:rsid w:val="307D1FD3"/>
    <w:rsid w:val="307F5119"/>
    <w:rsid w:val="307F5D4C"/>
    <w:rsid w:val="30803872"/>
    <w:rsid w:val="30817D16"/>
    <w:rsid w:val="30834405"/>
    <w:rsid w:val="30837FDD"/>
    <w:rsid w:val="3086532C"/>
    <w:rsid w:val="30874C00"/>
    <w:rsid w:val="308800D6"/>
    <w:rsid w:val="30882A9B"/>
    <w:rsid w:val="30890978"/>
    <w:rsid w:val="30893731"/>
    <w:rsid w:val="30896BCA"/>
    <w:rsid w:val="308B46F0"/>
    <w:rsid w:val="308B5171"/>
    <w:rsid w:val="308C66BA"/>
    <w:rsid w:val="308E41E1"/>
    <w:rsid w:val="308E5F8F"/>
    <w:rsid w:val="309061AB"/>
    <w:rsid w:val="30907F59"/>
    <w:rsid w:val="30913CD1"/>
    <w:rsid w:val="3091782D"/>
    <w:rsid w:val="30927B9C"/>
    <w:rsid w:val="30945E61"/>
    <w:rsid w:val="3095556F"/>
    <w:rsid w:val="3095731D"/>
    <w:rsid w:val="30973901"/>
    <w:rsid w:val="30977539"/>
    <w:rsid w:val="309857E4"/>
    <w:rsid w:val="30995D24"/>
    <w:rsid w:val="309A16B5"/>
    <w:rsid w:val="309C68FD"/>
    <w:rsid w:val="309D08C8"/>
    <w:rsid w:val="309D2676"/>
    <w:rsid w:val="309D61D2"/>
    <w:rsid w:val="309F69C4"/>
    <w:rsid w:val="30A04ED9"/>
    <w:rsid w:val="30A0509E"/>
    <w:rsid w:val="30A10FB0"/>
    <w:rsid w:val="30A12166"/>
    <w:rsid w:val="30A457B2"/>
    <w:rsid w:val="30A47560"/>
    <w:rsid w:val="30A51ACE"/>
    <w:rsid w:val="30A532D8"/>
    <w:rsid w:val="30A53D13"/>
    <w:rsid w:val="30A6152A"/>
    <w:rsid w:val="30A63876"/>
    <w:rsid w:val="30A74C5B"/>
    <w:rsid w:val="30A74E11"/>
    <w:rsid w:val="30A752A2"/>
    <w:rsid w:val="30AA08EF"/>
    <w:rsid w:val="30AA495D"/>
    <w:rsid w:val="30AB4D93"/>
    <w:rsid w:val="30AB534B"/>
    <w:rsid w:val="30AD0B0B"/>
    <w:rsid w:val="30AD1D5B"/>
    <w:rsid w:val="30AE22AE"/>
    <w:rsid w:val="30AE4883"/>
    <w:rsid w:val="30AE72F6"/>
    <w:rsid w:val="30B023A9"/>
    <w:rsid w:val="30B05F05"/>
    <w:rsid w:val="30B0681D"/>
    <w:rsid w:val="30B10DD9"/>
    <w:rsid w:val="30B14F43"/>
    <w:rsid w:val="30B17ECF"/>
    <w:rsid w:val="30B31E99"/>
    <w:rsid w:val="30B33C47"/>
    <w:rsid w:val="30B43E40"/>
    <w:rsid w:val="30B5176D"/>
    <w:rsid w:val="30B55C11"/>
    <w:rsid w:val="30B579BF"/>
    <w:rsid w:val="30B6207A"/>
    <w:rsid w:val="30B73737"/>
    <w:rsid w:val="30B874AF"/>
    <w:rsid w:val="30BA4FD6"/>
    <w:rsid w:val="30BA6D84"/>
    <w:rsid w:val="30BC44EE"/>
    <w:rsid w:val="30BF083E"/>
    <w:rsid w:val="30BF3918"/>
    <w:rsid w:val="30C066F6"/>
    <w:rsid w:val="30C10112"/>
    <w:rsid w:val="30C1295E"/>
    <w:rsid w:val="30C145B6"/>
    <w:rsid w:val="30C22CAC"/>
    <w:rsid w:val="30C24B7A"/>
    <w:rsid w:val="30C26694"/>
    <w:rsid w:val="30C619CB"/>
    <w:rsid w:val="30C6397A"/>
    <w:rsid w:val="30C711DB"/>
    <w:rsid w:val="30C71DA6"/>
    <w:rsid w:val="30C72A82"/>
    <w:rsid w:val="30C776F3"/>
    <w:rsid w:val="30C83E5F"/>
    <w:rsid w:val="30C916BD"/>
    <w:rsid w:val="30C95219"/>
    <w:rsid w:val="30C96FC7"/>
    <w:rsid w:val="30CB0F91"/>
    <w:rsid w:val="30CB12C0"/>
    <w:rsid w:val="30CB5EF4"/>
    <w:rsid w:val="30CC121C"/>
    <w:rsid w:val="30CE60BA"/>
    <w:rsid w:val="30CE6CD3"/>
    <w:rsid w:val="30CF3C85"/>
    <w:rsid w:val="30D140CD"/>
    <w:rsid w:val="30D15E23"/>
    <w:rsid w:val="30D20571"/>
    <w:rsid w:val="30D2231F"/>
    <w:rsid w:val="30D342E9"/>
    <w:rsid w:val="30D41687"/>
    <w:rsid w:val="30D455A5"/>
    <w:rsid w:val="30D55A07"/>
    <w:rsid w:val="30D616E4"/>
    <w:rsid w:val="30D73E25"/>
    <w:rsid w:val="30D77936"/>
    <w:rsid w:val="30D836AE"/>
    <w:rsid w:val="30D96CC6"/>
    <w:rsid w:val="30DB6CFA"/>
    <w:rsid w:val="30DC319E"/>
    <w:rsid w:val="30DD6F16"/>
    <w:rsid w:val="30DE0BEC"/>
    <w:rsid w:val="30DE0D56"/>
    <w:rsid w:val="30DF1286"/>
    <w:rsid w:val="30DF7CE7"/>
    <w:rsid w:val="30E00E21"/>
    <w:rsid w:val="30E20088"/>
    <w:rsid w:val="30E3277E"/>
    <w:rsid w:val="30E43E01"/>
    <w:rsid w:val="30E5290F"/>
    <w:rsid w:val="30E5717A"/>
    <w:rsid w:val="30E6176D"/>
    <w:rsid w:val="30E61893"/>
    <w:rsid w:val="30E6401D"/>
    <w:rsid w:val="30E738F1"/>
    <w:rsid w:val="30E81A5D"/>
    <w:rsid w:val="30E90748"/>
    <w:rsid w:val="30E958BB"/>
    <w:rsid w:val="30EA17A6"/>
    <w:rsid w:val="30EB33E1"/>
    <w:rsid w:val="30EB518F"/>
    <w:rsid w:val="30ED4FC8"/>
    <w:rsid w:val="30ED72EB"/>
    <w:rsid w:val="30EE1123"/>
    <w:rsid w:val="30EE62EE"/>
    <w:rsid w:val="30EF0D7B"/>
    <w:rsid w:val="30EF226D"/>
    <w:rsid w:val="30EF2B0C"/>
    <w:rsid w:val="30EF6EBB"/>
    <w:rsid w:val="30EF709E"/>
    <w:rsid w:val="30F10937"/>
    <w:rsid w:val="30F1651D"/>
    <w:rsid w:val="30F229C1"/>
    <w:rsid w:val="30F2476F"/>
    <w:rsid w:val="30F32296"/>
    <w:rsid w:val="30F44202"/>
    <w:rsid w:val="30F700C8"/>
    <w:rsid w:val="30F71D86"/>
    <w:rsid w:val="30F77FD8"/>
    <w:rsid w:val="30F85AFE"/>
    <w:rsid w:val="30FA3300"/>
    <w:rsid w:val="30FA3624"/>
    <w:rsid w:val="30FC0F59"/>
    <w:rsid w:val="30FD4EC2"/>
    <w:rsid w:val="30FE1366"/>
    <w:rsid w:val="30FE1ACC"/>
    <w:rsid w:val="30FF6E8C"/>
    <w:rsid w:val="31000A61"/>
    <w:rsid w:val="31017184"/>
    <w:rsid w:val="310224D9"/>
    <w:rsid w:val="310444A3"/>
    <w:rsid w:val="310446E2"/>
    <w:rsid w:val="31044A7B"/>
    <w:rsid w:val="31046251"/>
    <w:rsid w:val="3106021B"/>
    <w:rsid w:val="31060D09"/>
    <w:rsid w:val="31067002"/>
    <w:rsid w:val="31077AEF"/>
    <w:rsid w:val="310840B9"/>
    <w:rsid w:val="31085D41"/>
    <w:rsid w:val="310874EC"/>
    <w:rsid w:val="31087FD0"/>
    <w:rsid w:val="310A12DF"/>
    <w:rsid w:val="310A1AA8"/>
    <w:rsid w:val="310A6E13"/>
    <w:rsid w:val="310B520B"/>
    <w:rsid w:val="310B66D2"/>
    <w:rsid w:val="310D15A9"/>
    <w:rsid w:val="310D3357"/>
    <w:rsid w:val="310E568A"/>
    <w:rsid w:val="310E70CF"/>
    <w:rsid w:val="310F17F5"/>
    <w:rsid w:val="310F550E"/>
    <w:rsid w:val="31101099"/>
    <w:rsid w:val="31102C85"/>
    <w:rsid w:val="31102E48"/>
    <w:rsid w:val="31104BF6"/>
    <w:rsid w:val="311105DE"/>
    <w:rsid w:val="31112094"/>
    <w:rsid w:val="31117BD6"/>
    <w:rsid w:val="311255A5"/>
    <w:rsid w:val="31132938"/>
    <w:rsid w:val="311436B1"/>
    <w:rsid w:val="311517F8"/>
    <w:rsid w:val="3115220C"/>
    <w:rsid w:val="31155563"/>
    <w:rsid w:val="31163521"/>
    <w:rsid w:val="31187057"/>
    <w:rsid w:val="31191585"/>
    <w:rsid w:val="3119173B"/>
    <w:rsid w:val="311B7F4D"/>
    <w:rsid w:val="311C17EC"/>
    <w:rsid w:val="311C7A3E"/>
    <w:rsid w:val="311E7E5A"/>
    <w:rsid w:val="311F12DD"/>
    <w:rsid w:val="311F12EA"/>
    <w:rsid w:val="31224FC7"/>
    <w:rsid w:val="312406A1"/>
    <w:rsid w:val="312468F3"/>
    <w:rsid w:val="312601DA"/>
    <w:rsid w:val="3127060C"/>
    <w:rsid w:val="312863E3"/>
    <w:rsid w:val="31293F09"/>
    <w:rsid w:val="31294F6D"/>
    <w:rsid w:val="312C3C9C"/>
    <w:rsid w:val="312E1520"/>
    <w:rsid w:val="312F604A"/>
    <w:rsid w:val="313034EA"/>
    <w:rsid w:val="31311FBE"/>
    <w:rsid w:val="31321010"/>
    <w:rsid w:val="31324B8F"/>
    <w:rsid w:val="313360B0"/>
    <w:rsid w:val="31350C4C"/>
    <w:rsid w:val="313528AE"/>
    <w:rsid w:val="31372143"/>
    <w:rsid w:val="31374B9C"/>
    <w:rsid w:val="31375948"/>
    <w:rsid w:val="3138142D"/>
    <w:rsid w:val="31395838"/>
    <w:rsid w:val="313A63D7"/>
    <w:rsid w:val="313A7EC4"/>
    <w:rsid w:val="313B7382"/>
    <w:rsid w:val="313C3C3D"/>
    <w:rsid w:val="313D27D5"/>
    <w:rsid w:val="313E1763"/>
    <w:rsid w:val="313F1A67"/>
    <w:rsid w:val="3140197F"/>
    <w:rsid w:val="31411253"/>
    <w:rsid w:val="314158FC"/>
    <w:rsid w:val="3142375B"/>
    <w:rsid w:val="314237F1"/>
    <w:rsid w:val="314407FC"/>
    <w:rsid w:val="31440D1D"/>
    <w:rsid w:val="31442502"/>
    <w:rsid w:val="31442AF1"/>
    <w:rsid w:val="314450F4"/>
    <w:rsid w:val="31445658"/>
    <w:rsid w:val="31456F95"/>
    <w:rsid w:val="31462D0D"/>
    <w:rsid w:val="3146400C"/>
    <w:rsid w:val="31464ABB"/>
    <w:rsid w:val="31466937"/>
    <w:rsid w:val="31467E61"/>
    <w:rsid w:val="31472781"/>
    <w:rsid w:val="31496359"/>
    <w:rsid w:val="314A42A6"/>
    <w:rsid w:val="314A6693"/>
    <w:rsid w:val="314B5736"/>
    <w:rsid w:val="314C47A1"/>
    <w:rsid w:val="314D7BF8"/>
    <w:rsid w:val="314E1239"/>
    <w:rsid w:val="314F1BC2"/>
    <w:rsid w:val="314F3970"/>
    <w:rsid w:val="314F5B4B"/>
    <w:rsid w:val="31501496"/>
    <w:rsid w:val="3150795D"/>
    <w:rsid w:val="31520E5F"/>
    <w:rsid w:val="315216B2"/>
    <w:rsid w:val="31522A38"/>
    <w:rsid w:val="31532EF3"/>
    <w:rsid w:val="31535609"/>
    <w:rsid w:val="31552AFA"/>
    <w:rsid w:val="31553A81"/>
    <w:rsid w:val="31556AAC"/>
    <w:rsid w:val="31563F8A"/>
    <w:rsid w:val="315728F1"/>
    <w:rsid w:val="31591E07"/>
    <w:rsid w:val="31592A40"/>
    <w:rsid w:val="31593C23"/>
    <w:rsid w:val="3159659D"/>
    <w:rsid w:val="315C42DF"/>
    <w:rsid w:val="315C70B4"/>
    <w:rsid w:val="315D49E8"/>
    <w:rsid w:val="315F0828"/>
    <w:rsid w:val="315F3BAC"/>
    <w:rsid w:val="31603DCF"/>
    <w:rsid w:val="316157B6"/>
    <w:rsid w:val="31624F2A"/>
    <w:rsid w:val="316311C9"/>
    <w:rsid w:val="3163741B"/>
    <w:rsid w:val="31644F41"/>
    <w:rsid w:val="31662A68"/>
    <w:rsid w:val="31680246"/>
    <w:rsid w:val="316867E0"/>
    <w:rsid w:val="316B2774"/>
    <w:rsid w:val="316B4D20"/>
    <w:rsid w:val="316E67C5"/>
    <w:rsid w:val="316E7B6E"/>
    <w:rsid w:val="316F5BA4"/>
    <w:rsid w:val="31701B38"/>
    <w:rsid w:val="317038E6"/>
    <w:rsid w:val="31704B31"/>
    <w:rsid w:val="317071EE"/>
    <w:rsid w:val="31707702"/>
    <w:rsid w:val="31711667"/>
    <w:rsid w:val="317258B0"/>
    <w:rsid w:val="31727460"/>
    <w:rsid w:val="3172765E"/>
    <w:rsid w:val="317321A3"/>
    <w:rsid w:val="31737E9A"/>
    <w:rsid w:val="317415E5"/>
    <w:rsid w:val="317433D6"/>
    <w:rsid w:val="31752A77"/>
    <w:rsid w:val="3175714F"/>
    <w:rsid w:val="31771119"/>
    <w:rsid w:val="31772AF1"/>
    <w:rsid w:val="31772EC7"/>
    <w:rsid w:val="3177339F"/>
    <w:rsid w:val="31785E93"/>
    <w:rsid w:val="31794E91"/>
    <w:rsid w:val="317963F2"/>
    <w:rsid w:val="31796C3F"/>
    <w:rsid w:val="317A086B"/>
    <w:rsid w:val="317A0B17"/>
    <w:rsid w:val="317A1348"/>
    <w:rsid w:val="317D7134"/>
    <w:rsid w:val="317E3EC4"/>
    <w:rsid w:val="317E7743"/>
    <w:rsid w:val="317F1A54"/>
    <w:rsid w:val="317F2F39"/>
    <w:rsid w:val="317F31D4"/>
    <w:rsid w:val="31813D45"/>
    <w:rsid w:val="318178A1"/>
    <w:rsid w:val="318365C5"/>
    <w:rsid w:val="318555E4"/>
    <w:rsid w:val="31857392"/>
    <w:rsid w:val="31864EB8"/>
    <w:rsid w:val="318850D4"/>
    <w:rsid w:val="31894DB4"/>
    <w:rsid w:val="318A2BFA"/>
    <w:rsid w:val="318A3E8E"/>
    <w:rsid w:val="318B24CE"/>
    <w:rsid w:val="318B2BC8"/>
    <w:rsid w:val="318C4BC4"/>
    <w:rsid w:val="318D26EA"/>
    <w:rsid w:val="318D3FEB"/>
    <w:rsid w:val="318E6987"/>
    <w:rsid w:val="318F0210"/>
    <w:rsid w:val="318F1FBE"/>
    <w:rsid w:val="31902112"/>
    <w:rsid w:val="31903F88"/>
    <w:rsid w:val="31905D36"/>
    <w:rsid w:val="3191165D"/>
    <w:rsid w:val="31912165"/>
    <w:rsid w:val="31921AAF"/>
    <w:rsid w:val="3192385D"/>
    <w:rsid w:val="31927D00"/>
    <w:rsid w:val="31943A79"/>
    <w:rsid w:val="31945827"/>
    <w:rsid w:val="31964151"/>
    <w:rsid w:val="31975317"/>
    <w:rsid w:val="319770C5"/>
    <w:rsid w:val="31982E5C"/>
    <w:rsid w:val="31992E3D"/>
    <w:rsid w:val="319941E5"/>
    <w:rsid w:val="31994BEB"/>
    <w:rsid w:val="3199690D"/>
    <w:rsid w:val="31997D9D"/>
    <w:rsid w:val="319A0B43"/>
    <w:rsid w:val="319A122D"/>
    <w:rsid w:val="319B3709"/>
    <w:rsid w:val="319D51F7"/>
    <w:rsid w:val="319E48F7"/>
    <w:rsid w:val="319E66A5"/>
    <w:rsid w:val="319F4DC7"/>
    <w:rsid w:val="319F5F79"/>
    <w:rsid w:val="31A03506"/>
    <w:rsid w:val="31A31F0E"/>
    <w:rsid w:val="31A36B64"/>
    <w:rsid w:val="31A43590"/>
    <w:rsid w:val="31A44824"/>
    <w:rsid w:val="31A517E2"/>
    <w:rsid w:val="31A57A34"/>
    <w:rsid w:val="31A67308"/>
    <w:rsid w:val="31A677D0"/>
    <w:rsid w:val="31A70C60"/>
    <w:rsid w:val="31A75130"/>
    <w:rsid w:val="31A76597"/>
    <w:rsid w:val="31A8128A"/>
    <w:rsid w:val="31A876A2"/>
    <w:rsid w:val="31A94CC1"/>
    <w:rsid w:val="31AA329C"/>
    <w:rsid w:val="31AA504A"/>
    <w:rsid w:val="31AA6DF8"/>
    <w:rsid w:val="31AB1FA4"/>
    <w:rsid w:val="31AC0DC2"/>
    <w:rsid w:val="31AD49A8"/>
    <w:rsid w:val="31AD4B3A"/>
    <w:rsid w:val="31AD68E8"/>
    <w:rsid w:val="31B03453"/>
    <w:rsid w:val="31B22151"/>
    <w:rsid w:val="31B24DBE"/>
    <w:rsid w:val="31B25CAD"/>
    <w:rsid w:val="31B31CA8"/>
    <w:rsid w:val="31B41A25"/>
    <w:rsid w:val="31B41DD4"/>
    <w:rsid w:val="31B4207E"/>
    <w:rsid w:val="31B47C77"/>
    <w:rsid w:val="31B57180"/>
    <w:rsid w:val="31B639EF"/>
    <w:rsid w:val="31B77767"/>
    <w:rsid w:val="31B8573C"/>
    <w:rsid w:val="31B9260E"/>
    <w:rsid w:val="31BA09C4"/>
    <w:rsid w:val="31BA18DC"/>
    <w:rsid w:val="31BB4D3B"/>
    <w:rsid w:val="31BB7257"/>
    <w:rsid w:val="31BC0770"/>
    <w:rsid w:val="31BD2FCF"/>
    <w:rsid w:val="31BE28A4"/>
    <w:rsid w:val="31BE5924"/>
    <w:rsid w:val="31BE7198"/>
    <w:rsid w:val="31BF1AB8"/>
    <w:rsid w:val="31BF3545"/>
    <w:rsid w:val="31C003CA"/>
    <w:rsid w:val="31C0661C"/>
    <w:rsid w:val="31C2234D"/>
    <w:rsid w:val="31C24C08"/>
    <w:rsid w:val="31C559E0"/>
    <w:rsid w:val="31C61758"/>
    <w:rsid w:val="31C75BFC"/>
    <w:rsid w:val="31C854D0"/>
    <w:rsid w:val="31C94250"/>
    <w:rsid w:val="31CB6D6E"/>
    <w:rsid w:val="31CC708F"/>
    <w:rsid w:val="31CD0D39"/>
    <w:rsid w:val="31CD6F8B"/>
    <w:rsid w:val="31CE38CC"/>
    <w:rsid w:val="31CF69DC"/>
    <w:rsid w:val="31D125D7"/>
    <w:rsid w:val="31D16A7B"/>
    <w:rsid w:val="31D200FD"/>
    <w:rsid w:val="31D2274A"/>
    <w:rsid w:val="31D245A1"/>
    <w:rsid w:val="31D40319"/>
    <w:rsid w:val="31D43E75"/>
    <w:rsid w:val="31D51561"/>
    <w:rsid w:val="31D54EF7"/>
    <w:rsid w:val="31D64091"/>
    <w:rsid w:val="31D6516E"/>
    <w:rsid w:val="31D71BB7"/>
    <w:rsid w:val="31D75713"/>
    <w:rsid w:val="31D976DD"/>
    <w:rsid w:val="31DA3AEF"/>
    <w:rsid w:val="31DB16A7"/>
    <w:rsid w:val="31DB5204"/>
    <w:rsid w:val="31DC0F7C"/>
    <w:rsid w:val="31DD71CE"/>
    <w:rsid w:val="31DE2F46"/>
    <w:rsid w:val="31E22A36"/>
    <w:rsid w:val="31E362E2"/>
    <w:rsid w:val="31E4118E"/>
    <w:rsid w:val="31E42322"/>
    <w:rsid w:val="31E56082"/>
    <w:rsid w:val="31E63BA8"/>
    <w:rsid w:val="31E651EC"/>
    <w:rsid w:val="31E77834"/>
    <w:rsid w:val="31E87920"/>
    <w:rsid w:val="31E92910"/>
    <w:rsid w:val="31EA3F30"/>
    <w:rsid w:val="31EA5447"/>
    <w:rsid w:val="31EB0625"/>
    <w:rsid w:val="31EC73DA"/>
    <w:rsid w:val="31ED4F37"/>
    <w:rsid w:val="31EF2933"/>
    <w:rsid w:val="31EF5153"/>
    <w:rsid w:val="31EF7700"/>
    <w:rsid w:val="31F12C79"/>
    <w:rsid w:val="31F2079F"/>
    <w:rsid w:val="31F2254D"/>
    <w:rsid w:val="31F30A35"/>
    <w:rsid w:val="31F33FC6"/>
    <w:rsid w:val="31F4367C"/>
    <w:rsid w:val="31F443CB"/>
    <w:rsid w:val="31F46964"/>
    <w:rsid w:val="31F577F3"/>
    <w:rsid w:val="31F6028F"/>
    <w:rsid w:val="31F61B87"/>
    <w:rsid w:val="31F6203D"/>
    <w:rsid w:val="31F7003E"/>
    <w:rsid w:val="31F70D0A"/>
    <w:rsid w:val="31F77B64"/>
    <w:rsid w:val="31F80C2C"/>
    <w:rsid w:val="31F81946"/>
    <w:rsid w:val="31F86264"/>
    <w:rsid w:val="31F91B2E"/>
    <w:rsid w:val="31FB410C"/>
    <w:rsid w:val="31FC33CC"/>
    <w:rsid w:val="31FC517A"/>
    <w:rsid w:val="31FC546F"/>
    <w:rsid w:val="31FD161E"/>
    <w:rsid w:val="31FE5396"/>
    <w:rsid w:val="31FE6223"/>
    <w:rsid w:val="32007DD4"/>
    <w:rsid w:val="32021D4D"/>
    <w:rsid w:val="3202689B"/>
    <w:rsid w:val="32026C34"/>
    <w:rsid w:val="320329AC"/>
    <w:rsid w:val="32036508"/>
    <w:rsid w:val="32044D41"/>
    <w:rsid w:val="3205071B"/>
    <w:rsid w:val="32056724"/>
    <w:rsid w:val="32075FF9"/>
    <w:rsid w:val="32081D71"/>
    <w:rsid w:val="320A0C5D"/>
    <w:rsid w:val="320A5AE9"/>
    <w:rsid w:val="320A7897"/>
    <w:rsid w:val="320B54EE"/>
    <w:rsid w:val="320D55D9"/>
    <w:rsid w:val="320D7387"/>
    <w:rsid w:val="320F4EAD"/>
    <w:rsid w:val="321033A8"/>
    <w:rsid w:val="321150C9"/>
    <w:rsid w:val="32116E77"/>
    <w:rsid w:val="321227F0"/>
    <w:rsid w:val="3212499D"/>
    <w:rsid w:val="32132174"/>
    <w:rsid w:val="32132BEF"/>
    <w:rsid w:val="32132FE6"/>
    <w:rsid w:val="32140715"/>
    <w:rsid w:val="32165937"/>
    <w:rsid w:val="321921D0"/>
    <w:rsid w:val="32193F7E"/>
    <w:rsid w:val="32195D2C"/>
    <w:rsid w:val="321B5F48"/>
    <w:rsid w:val="321D3148"/>
    <w:rsid w:val="321D3A6E"/>
    <w:rsid w:val="321D524B"/>
    <w:rsid w:val="321D7903"/>
    <w:rsid w:val="321E1594"/>
    <w:rsid w:val="321E63D2"/>
    <w:rsid w:val="321E77E6"/>
    <w:rsid w:val="321F34EA"/>
    <w:rsid w:val="3220355E"/>
    <w:rsid w:val="3220530C"/>
    <w:rsid w:val="32223D4C"/>
    <w:rsid w:val="32244DFC"/>
    <w:rsid w:val="32252923"/>
    <w:rsid w:val="3225547A"/>
    <w:rsid w:val="32272ACB"/>
    <w:rsid w:val="3227669B"/>
    <w:rsid w:val="322841C1"/>
    <w:rsid w:val="322A7F39"/>
    <w:rsid w:val="322B32C2"/>
    <w:rsid w:val="322B7D76"/>
    <w:rsid w:val="322C3397"/>
    <w:rsid w:val="322E7A29"/>
    <w:rsid w:val="322F37A1"/>
    <w:rsid w:val="322F4F27"/>
    <w:rsid w:val="322F554F"/>
    <w:rsid w:val="3230372C"/>
    <w:rsid w:val="323112C7"/>
    <w:rsid w:val="32315357"/>
    <w:rsid w:val="32317519"/>
    <w:rsid w:val="32321014"/>
    <w:rsid w:val="32340DB8"/>
    <w:rsid w:val="323572CB"/>
    <w:rsid w:val="3237307B"/>
    <w:rsid w:val="323963CE"/>
    <w:rsid w:val="323A4620"/>
    <w:rsid w:val="323B1B8B"/>
    <w:rsid w:val="323B3EF4"/>
    <w:rsid w:val="323C53BB"/>
    <w:rsid w:val="323C7ACF"/>
    <w:rsid w:val="323C7F64"/>
    <w:rsid w:val="323D5EBE"/>
    <w:rsid w:val="323D60FF"/>
    <w:rsid w:val="323E5792"/>
    <w:rsid w:val="323F6356"/>
    <w:rsid w:val="324043DE"/>
    <w:rsid w:val="324218CF"/>
    <w:rsid w:val="324234D5"/>
    <w:rsid w:val="32427031"/>
    <w:rsid w:val="32432DA9"/>
    <w:rsid w:val="32433D76"/>
    <w:rsid w:val="32436ED8"/>
    <w:rsid w:val="32452FC5"/>
    <w:rsid w:val="324616E0"/>
    <w:rsid w:val="324651F3"/>
    <w:rsid w:val="32470904"/>
    <w:rsid w:val="32472899"/>
    <w:rsid w:val="32474A5E"/>
    <w:rsid w:val="32476D3D"/>
    <w:rsid w:val="32494863"/>
    <w:rsid w:val="32496BD1"/>
    <w:rsid w:val="324A05DB"/>
    <w:rsid w:val="324A2389"/>
    <w:rsid w:val="324A38F6"/>
    <w:rsid w:val="324C1B91"/>
    <w:rsid w:val="324C2981"/>
    <w:rsid w:val="324C2B6E"/>
    <w:rsid w:val="324C5552"/>
    <w:rsid w:val="324C6F1E"/>
    <w:rsid w:val="324C7EAF"/>
    <w:rsid w:val="324D6FF0"/>
    <w:rsid w:val="32506BF9"/>
    <w:rsid w:val="32510297"/>
    <w:rsid w:val="32511F78"/>
    <w:rsid w:val="3251268D"/>
    <w:rsid w:val="325133BE"/>
    <w:rsid w:val="325154C6"/>
    <w:rsid w:val="3252471B"/>
    <w:rsid w:val="325356E2"/>
    <w:rsid w:val="32543208"/>
    <w:rsid w:val="32544A18"/>
    <w:rsid w:val="32547CAE"/>
    <w:rsid w:val="32560D2E"/>
    <w:rsid w:val="3257477C"/>
    <w:rsid w:val="32576AD2"/>
    <w:rsid w:val="32577FC7"/>
    <w:rsid w:val="32585834"/>
    <w:rsid w:val="325A18A6"/>
    <w:rsid w:val="325B0FE6"/>
    <w:rsid w:val="325B3674"/>
    <w:rsid w:val="325B4D8C"/>
    <w:rsid w:val="325B54BF"/>
    <w:rsid w:val="325B6344"/>
    <w:rsid w:val="325C44C2"/>
    <w:rsid w:val="325D4D96"/>
    <w:rsid w:val="325E0C84"/>
    <w:rsid w:val="325E0FE6"/>
    <w:rsid w:val="325E7BE3"/>
    <w:rsid w:val="325F0DF7"/>
    <w:rsid w:val="325F5E35"/>
    <w:rsid w:val="32602287"/>
    <w:rsid w:val="3260395B"/>
    <w:rsid w:val="32604FAD"/>
    <w:rsid w:val="32607450"/>
    <w:rsid w:val="32615418"/>
    <w:rsid w:val="32617BCD"/>
    <w:rsid w:val="32627778"/>
    <w:rsid w:val="32641DFE"/>
    <w:rsid w:val="3264344B"/>
    <w:rsid w:val="32655415"/>
    <w:rsid w:val="32672F3B"/>
    <w:rsid w:val="32676A97"/>
    <w:rsid w:val="3268280F"/>
    <w:rsid w:val="32686602"/>
    <w:rsid w:val="326935B9"/>
    <w:rsid w:val="32696CB3"/>
    <w:rsid w:val="326A1CC6"/>
    <w:rsid w:val="326A6587"/>
    <w:rsid w:val="326C2300"/>
    <w:rsid w:val="326E027C"/>
    <w:rsid w:val="326E6078"/>
    <w:rsid w:val="32713DBA"/>
    <w:rsid w:val="32717916"/>
    <w:rsid w:val="3273368E"/>
    <w:rsid w:val="327360D5"/>
    <w:rsid w:val="32736925"/>
    <w:rsid w:val="32740D77"/>
    <w:rsid w:val="327411B4"/>
    <w:rsid w:val="3274125D"/>
    <w:rsid w:val="32752D2D"/>
    <w:rsid w:val="32755658"/>
    <w:rsid w:val="3275602C"/>
    <w:rsid w:val="32756B3F"/>
    <w:rsid w:val="32764F2C"/>
    <w:rsid w:val="32772BB5"/>
    <w:rsid w:val="32787B12"/>
    <w:rsid w:val="32790947"/>
    <w:rsid w:val="327A0EC0"/>
    <w:rsid w:val="327A59FF"/>
    <w:rsid w:val="327A5A60"/>
    <w:rsid w:val="327B61AD"/>
    <w:rsid w:val="327B7550"/>
    <w:rsid w:val="327E298E"/>
    <w:rsid w:val="327F3F5D"/>
    <w:rsid w:val="327F40E6"/>
    <w:rsid w:val="32803FFD"/>
    <w:rsid w:val="32804328"/>
    <w:rsid w:val="32816F96"/>
    <w:rsid w:val="328324E3"/>
    <w:rsid w:val="32836AB1"/>
    <w:rsid w:val="328400CE"/>
    <w:rsid w:val="32851613"/>
    <w:rsid w:val="3286628C"/>
    <w:rsid w:val="32867865"/>
    <w:rsid w:val="3287138D"/>
    <w:rsid w:val="3287175B"/>
    <w:rsid w:val="32877139"/>
    <w:rsid w:val="32893939"/>
    <w:rsid w:val="328A56AC"/>
    <w:rsid w:val="328A67A6"/>
    <w:rsid w:val="328B2FF6"/>
    <w:rsid w:val="328B4E7C"/>
    <w:rsid w:val="328B5B85"/>
    <w:rsid w:val="328D3E75"/>
    <w:rsid w:val="328E04C8"/>
    <w:rsid w:val="328E2276"/>
    <w:rsid w:val="328E5305"/>
    <w:rsid w:val="328E671A"/>
    <w:rsid w:val="328F1215"/>
    <w:rsid w:val="328F5FEE"/>
    <w:rsid w:val="32913F27"/>
    <w:rsid w:val="329230F8"/>
    <w:rsid w:val="32935ADE"/>
    <w:rsid w:val="3293788C"/>
    <w:rsid w:val="32941177"/>
    <w:rsid w:val="32951856"/>
    <w:rsid w:val="32957AA8"/>
    <w:rsid w:val="32963820"/>
    <w:rsid w:val="329655CE"/>
    <w:rsid w:val="3296737C"/>
    <w:rsid w:val="32972FC3"/>
    <w:rsid w:val="32975E5E"/>
    <w:rsid w:val="32980F88"/>
    <w:rsid w:val="329830F5"/>
    <w:rsid w:val="32990C1B"/>
    <w:rsid w:val="329A50BF"/>
    <w:rsid w:val="329B0E37"/>
    <w:rsid w:val="329C7909"/>
    <w:rsid w:val="329D070B"/>
    <w:rsid w:val="329D08C8"/>
    <w:rsid w:val="329D0BD7"/>
    <w:rsid w:val="329E4925"/>
    <w:rsid w:val="329F0927"/>
    <w:rsid w:val="32A0644D"/>
    <w:rsid w:val="32A10AC2"/>
    <w:rsid w:val="32A12944"/>
    <w:rsid w:val="32A15AF9"/>
    <w:rsid w:val="32A221C5"/>
    <w:rsid w:val="32A23532"/>
    <w:rsid w:val="32A25D21"/>
    <w:rsid w:val="32A36A1D"/>
    <w:rsid w:val="32A36D88"/>
    <w:rsid w:val="32A45F3D"/>
    <w:rsid w:val="32A71BF8"/>
    <w:rsid w:val="32A777DC"/>
    <w:rsid w:val="32A80A7D"/>
    <w:rsid w:val="32A90AE2"/>
    <w:rsid w:val="32A95302"/>
    <w:rsid w:val="32AA2E28"/>
    <w:rsid w:val="32AA2FFF"/>
    <w:rsid w:val="32AB72CC"/>
    <w:rsid w:val="32AB7818"/>
    <w:rsid w:val="32AC094E"/>
    <w:rsid w:val="32AC4DF2"/>
    <w:rsid w:val="32AD727A"/>
    <w:rsid w:val="32AE46C6"/>
    <w:rsid w:val="32B048E2"/>
    <w:rsid w:val="32B06690"/>
    <w:rsid w:val="32B113B0"/>
    <w:rsid w:val="32B12408"/>
    <w:rsid w:val="32B24DB7"/>
    <w:rsid w:val="32B441F2"/>
    <w:rsid w:val="32B55A55"/>
    <w:rsid w:val="32B67A1F"/>
    <w:rsid w:val="32B819E9"/>
    <w:rsid w:val="32BA12BD"/>
    <w:rsid w:val="32BA306B"/>
    <w:rsid w:val="32BA63E8"/>
    <w:rsid w:val="32BC307A"/>
    <w:rsid w:val="32BC3287"/>
    <w:rsid w:val="32BC6996"/>
    <w:rsid w:val="32BD15AC"/>
    <w:rsid w:val="32BD6C42"/>
    <w:rsid w:val="32BF2D77"/>
    <w:rsid w:val="32BF4133"/>
    <w:rsid w:val="32C0264B"/>
    <w:rsid w:val="32C21624"/>
    <w:rsid w:val="32C228CC"/>
    <w:rsid w:val="32C263C3"/>
    <w:rsid w:val="32C40954"/>
    <w:rsid w:val="32C4213C"/>
    <w:rsid w:val="32C43EEA"/>
    <w:rsid w:val="32C57C62"/>
    <w:rsid w:val="32C65EB4"/>
    <w:rsid w:val="32C7195C"/>
    <w:rsid w:val="32C74721"/>
    <w:rsid w:val="32C75788"/>
    <w:rsid w:val="32C8766B"/>
    <w:rsid w:val="32C97DB6"/>
    <w:rsid w:val="32CA2FE7"/>
    <w:rsid w:val="32CC2D9E"/>
    <w:rsid w:val="32CC7242"/>
    <w:rsid w:val="32CE55AF"/>
    <w:rsid w:val="32CE6A40"/>
    <w:rsid w:val="32D03532"/>
    <w:rsid w:val="32D03D1A"/>
    <w:rsid w:val="32D11119"/>
    <w:rsid w:val="32D14858"/>
    <w:rsid w:val="32D14DDA"/>
    <w:rsid w:val="32D17F26"/>
    <w:rsid w:val="32D22AAA"/>
    <w:rsid w:val="32D3237F"/>
    <w:rsid w:val="32D379FB"/>
    <w:rsid w:val="32D52EA8"/>
    <w:rsid w:val="32D54349"/>
    <w:rsid w:val="32D629B9"/>
    <w:rsid w:val="32D66A3C"/>
    <w:rsid w:val="32D7722C"/>
    <w:rsid w:val="32D85BE7"/>
    <w:rsid w:val="32D87995"/>
    <w:rsid w:val="32D912FC"/>
    <w:rsid w:val="32D94CDA"/>
    <w:rsid w:val="32DA370D"/>
    <w:rsid w:val="32DB1233"/>
    <w:rsid w:val="32DB21CB"/>
    <w:rsid w:val="32DB79E4"/>
    <w:rsid w:val="32DD0307"/>
    <w:rsid w:val="32DD0B47"/>
    <w:rsid w:val="32DD144F"/>
    <w:rsid w:val="32DE6FB3"/>
    <w:rsid w:val="32E02167"/>
    <w:rsid w:val="32E04BAD"/>
    <w:rsid w:val="32E12CEE"/>
    <w:rsid w:val="32E14A9C"/>
    <w:rsid w:val="32E33692"/>
    <w:rsid w:val="32E347A0"/>
    <w:rsid w:val="32E427DE"/>
    <w:rsid w:val="32E4458C"/>
    <w:rsid w:val="32E620B2"/>
    <w:rsid w:val="32E7407C"/>
    <w:rsid w:val="32E75E2A"/>
    <w:rsid w:val="32E77BD8"/>
    <w:rsid w:val="32E87C65"/>
    <w:rsid w:val="32E91BA2"/>
    <w:rsid w:val="32EB1476"/>
    <w:rsid w:val="32EB3B6C"/>
    <w:rsid w:val="32EB591A"/>
    <w:rsid w:val="32EC48A6"/>
    <w:rsid w:val="32EC5E34"/>
    <w:rsid w:val="32EC7F66"/>
    <w:rsid w:val="32ED680E"/>
    <w:rsid w:val="32EF1395"/>
    <w:rsid w:val="32F00761"/>
    <w:rsid w:val="32F02F31"/>
    <w:rsid w:val="32F04CDF"/>
    <w:rsid w:val="32F07114"/>
    <w:rsid w:val="32F15922"/>
    <w:rsid w:val="32F318C8"/>
    <w:rsid w:val="32F33022"/>
    <w:rsid w:val="32F50547"/>
    <w:rsid w:val="32F56799"/>
    <w:rsid w:val="32F75029"/>
    <w:rsid w:val="32F81DE5"/>
    <w:rsid w:val="32F83B93"/>
    <w:rsid w:val="32F8632E"/>
    <w:rsid w:val="32F90896"/>
    <w:rsid w:val="32FA5B5D"/>
    <w:rsid w:val="32FA790B"/>
    <w:rsid w:val="32FB47A8"/>
    <w:rsid w:val="32FC2C44"/>
    <w:rsid w:val="32FC709A"/>
    <w:rsid w:val="32FD11AA"/>
    <w:rsid w:val="3300373A"/>
    <w:rsid w:val="33005676"/>
    <w:rsid w:val="33010C9A"/>
    <w:rsid w:val="33011F07"/>
    <w:rsid w:val="33016EEC"/>
    <w:rsid w:val="33022C64"/>
    <w:rsid w:val="330304B7"/>
    <w:rsid w:val="33033B61"/>
    <w:rsid w:val="33042538"/>
    <w:rsid w:val="330428CD"/>
    <w:rsid w:val="33044C2E"/>
    <w:rsid w:val="33044FC4"/>
    <w:rsid w:val="33053EEB"/>
    <w:rsid w:val="3307027A"/>
    <w:rsid w:val="33071F33"/>
    <w:rsid w:val="33073005"/>
    <w:rsid w:val="33084256"/>
    <w:rsid w:val="33087A52"/>
    <w:rsid w:val="33092244"/>
    <w:rsid w:val="330B38C7"/>
    <w:rsid w:val="330D3AE3"/>
    <w:rsid w:val="330E3F00"/>
    <w:rsid w:val="330E64E9"/>
    <w:rsid w:val="330F16FF"/>
    <w:rsid w:val="330F2322"/>
    <w:rsid w:val="33105381"/>
    <w:rsid w:val="3310712F"/>
    <w:rsid w:val="33114C55"/>
    <w:rsid w:val="331210F9"/>
    <w:rsid w:val="33122EA7"/>
    <w:rsid w:val="33127A3B"/>
    <w:rsid w:val="33152997"/>
    <w:rsid w:val="33154F2C"/>
    <w:rsid w:val="3316226B"/>
    <w:rsid w:val="331731F6"/>
    <w:rsid w:val="3317670F"/>
    <w:rsid w:val="33183833"/>
    <w:rsid w:val="33184235"/>
    <w:rsid w:val="33185FE3"/>
    <w:rsid w:val="331A1D5C"/>
    <w:rsid w:val="331A3752"/>
    <w:rsid w:val="331A7FAD"/>
    <w:rsid w:val="331C30A4"/>
    <w:rsid w:val="331C5AD4"/>
    <w:rsid w:val="331F7372"/>
    <w:rsid w:val="3321133C"/>
    <w:rsid w:val="33212520"/>
    <w:rsid w:val="33214207"/>
    <w:rsid w:val="33232E73"/>
    <w:rsid w:val="33233306"/>
    <w:rsid w:val="3323670F"/>
    <w:rsid w:val="33257DE2"/>
    <w:rsid w:val="33260A64"/>
    <w:rsid w:val="3326268C"/>
    <w:rsid w:val="33262BA7"/>
    <w:rsid w:val="33263A32"/>
    <w:rsid w:val="33270FD5"/>
    <w:rsid w:val="33276825"/>
    <w:rsid w:val="33284C49"/>
    <w:rsid w:val="3328713F"/>
    <w:rsid w:val="332901F1"/>
    <w:rsid w:val="332903BC"/>
    <w:rsid w:val="33296443"/>
    <w:rsid w:val="332B1863"/>
    <w:rsid w:val="332B6E12"/>
    <w:rsid w:val="332C1A8F"/>
    <w:rsid w:val="332D1A72"/>
    <w:rsid w:val="332D5F33"/>
    <w:rsid w:val="332D7CE1"/>
    <w:rsid w:val="332E2F02"/>
    <w:rsid w:val="332E733A"/>
    <w:rsid w:val="332F0517"/>
    <w:rsid w:val="333170A5"/>
    <w:rsid w:val="33332E1D"/>
    <w:rsid w:val="333358E4"/>
    <w:rsid w:val="333460D2"/>
    <w:rsid w:val="333472C1"/>
    <w:rsid w:val="33354DE7"/>
    <w:rsid w:val="33370B5F"/>
    <w:rsid w:val="333746BC"/>
    <w:rsid w:val="333756F5"/>
    <w:rsid w:val="33385BB6"/>
    <w:rsid w:val="33386686"/>
    <w:rsid w:val="33386B85"/>
    <w:rsid w:val="33391BEB"/>
    <w:rsid w:val="33392E38"/>
    <w:rsid w:val="333948D8"/>
    <w:rsid w:val="333A0E5D"/>
    <w:rsid w:val="333C6176"/>
    <w:rsid w:val="333C781C"/>
    <w:rsid w:val="333D4138"/>
    <w:rsid w:val="333D5A4A"/>
    <w:rsid w:val="333F0433"/>
    <w:rsid w:val="333F17C2"/>
    <w:rsid w:val="3340232D"/>
    <w:rsid w:val="334212B2"/>
    <w:rsid w:val="33423B44"/>
    <w:rsid w:val="3344502A"/>
    <w:rsid w:val="33451189"/>
    <w:rsid w:val="33462B51"/>
    <w:rsid w:val="3347072B"/>
    <w:rsid w:val="33471E0F"/>
    <w:rsid w:val="33484B1B"/>
    <w:rsid w:val="33490893"/>
    <w:rsid w:val="33492641"/>
    <w:rsid w:val="33497B0A"/>
    <w:rsid w:val="334A3B6B"/>
    <w:rsid w:val="334B460B"/>
    <w:rsid w:val="334C1344"/>
    <w:rsid w:val="334C7BCC"/>
    <w:rsid w:val="334D2131"/>
    <w:rsid w:val="334E68C0"/>
    <w:rsid w:val="334E7C57"/>
    <w:rsid w:val="334F40FB"/>
    <w:rsid w:val="334F51E5"/>
    <w:rsid w:val="33505792"/>
    <w:rsid w:val="33515598"/>
    <w:rsid w:val="33516010"/>
    <w:rsid w:val="33520A10"/>
    <w:rsid w:val="33527747"/>
    <w:rsid w:val="33531A91"/>
    <w:rsid w:val="335330BB"/>
    <w:rsid w:val="33541711"/>
    <w:rsid w:val="33541CF7"/>
    <w:rsid w:val="335477EE"/>
    <w:rsid w:val="33572FA7"/>
    <w:rsid w:val="33572FB0"/>
    <w:rsid w:val="33574880"/>
    <w:rsid w:val="33576B0C"/>
    <w:rsid w:val="33582884"/>
    <w:rsid w:val="3358470A"/>
    <w:rsid w:val="33584A7B"/>
    <w:rsid w:val="33590AD6"/>
    <w:rsid w:val="3359561A"/>
    <w:rsid w:val="335A484E"/>
    <w:rsid w:val="335B4D4D"/>
    <w:rsid w:val="335C05C6"/>
    <w:rsid w:val="335C2374"/>
    <w:rsid w:val="335E08A0"/>
    <w:rsid w:val="335E433E"/>
    <w:rsid w:val="335E60EC"/>
    <w:rsid w:val="335F00B6"/>
    <w:rsid w:val="335F2614"/>
    <w:rsid w:val="33615BDC"/>
    <w:rsid w:val="33625697"/>
    <w:rsid w:val="33631954"/>
    <w:rsid w:val="33632873"/>
    <w:rsid w:val="3363364D"/>
    <w:rsid w:val="33634D15"/>
    <w:rsid w:val="33642270"/>
    <w:rsid w:val="3364747B"/>
    <w:rsid w:val="3365120E"/>
    <w:rsid w:val="3366208C"/>
    <w:rsid w:val="336631F3"/>
    <w:rsid w:val="33664FA1"/>
    <w:rsid w:val="33666D58"/>
    <w:rsid w:val="336744FC"/>
    <w:rsid w:val="33683D52"/>
    <w:rsid w:val="33685128"/>
    <w:rsid w:val="3369683F"/>
    <w:rsid w:val="336A1A14"/>
    <w:rsid w:val="336A3A39"/>
    <w:rsid w:val="336B04AD"/>
    <w:rsid w:val="336B4FE8"/>
    <w:rsid w:val="336D043E"/>
    <w:rsid w:val="336D1AD6"/>
    <w:rsid w:val="336D2077"/>
    <w:rsid w:val="336D2E31"/>
    <w:rsid w:val="336F02F9"/>
    <w:rsid w:val="33705E1F"/>
    <w:rsid w:val="33720F64"/>
    <w:rsid w:val="337272C1"/>
    <w:rsid w:val="33743DD7"/>
    <w:rsid w:val="337544E7"/>
    <w:rsid w:val="337551E4"/>
    <w:rsid w:val="337607DA"/>
    <w:rsid w:val="33775400"/>
    <w:rsid w:val="3378547C"/>
    <w:rsid w:val="337872AD"/>
    <w:rsid w:val="33792F26"/>
    <w:rsid w:val="337A0A4C"/>
    <w:rsid w:val="337B0E24"/>
    <w:rsid w:val="337C556A"/>
    <w:rsid w:val="337C6572"/>
    <w:rsid w:val="337D24B8"/>
    <w:rsid w:val="337E4BC0"/>
    <w:rsid w:val="337F3EEB"/>
    <w:rsid w:val="337F42B4"/>
    <w:rsid w:val="337F6063"/>
    <w:rsid w:val="3380634C"/>
    <w:rsid w:val="3381002D"/>
    <w:rsid w:val="33811DDB"/>
    <w:rsid w:val="33813B89"/>
    <w:rsid w:val="3381627F"/>
    <w:rsid w:val="3381639C"/>
    <w:rsid w:val="33823918"/>
    <w:rsid w:val="33833DA5"/>
    <w:rsid w:val="338420B1"/>
    <w:rsid w:val="33863ECA"/>
    <w:rsid w:val="33884F17"/>
    <w:rsid w:val="33887E3F"/>
    <w:rsid w:val="33890C8F"/>
    <w:rsid w:val="33896EE1"/>
    <w:rsid w:val="338B1137"/>
    <w:rsid w:val="338B2C59"/>
    <w:rsid w:val="338F16A0"/>
    <w:rsid w:val="338F52EF"/>
    <w:rsid w:val="33904E70"/>
    <w:rsid w:val="33907A61"/>
    <w:rsid w:val="33912141"/>
    <w:rsid w:val="33914AC0"/>
    <w:rsid w:val="3392223A"/>
    <w:rsid w:val="3393015E"/>
    <w:rsid w:val="33950CAF"/>
    <w:rsid w:val="33962680"/>
    <w:rsid w:val="339628D2"/>
    <w:rsid w:val="339A0AF3"/>
    <w:rsid w:val="339A41FE"/>
    <w:rsid w:val="339A5368"/>
    <w:rsid w:val="339B0B4A"/>
    <w:rsid w:val="339B3E8E"/>
    <w:rsid w:val="339C4E66"/>
    <w:rsid w:val="339E0904"/>
    <w:rsid w:val="339E473B"/>
    <w:rsid w:val="339F04B3"/>
    <w:rsid w:val="339F7DC0"/>
    <w:rsid w:val="33A06705"/>
    <w:rsid w:val="33A27074"/>
    <w:rsid w:val="33A31A67"/>
    <w:rsid w:val="33A31D51"/>
    <w:rsid w:val="33A37FA3"/>
    <w:rsid w:val="33A42BEC"/>
    <w:rsid w:val="33A50B0A"/>
    <w:rsid w:val="33A53D1B"/>
    <w:rsid w:val="33A5774B"/>
    <w:rsid w:val="33A6180C"/>
    <w:rsid w:val="33A61841"/>
    <w:rsid w:val="33A67A93"/>
    <w:rsid w:val="33A8380B"/>
    <w:rsid w:val="33A9221B"/>
    <w:rsid w:val="33AB50A9"/>
    <w:rsid w:val="33AC270D"/>
    <w:rsid w:val="33AC3669"/>
    <w:rsid w:val="33AC5FDE"/>
    <w:rsid w:val="33AD24F1"/>
    <w:rsid w:val="33AD318F"/>
    <w:rsid w:val="33AD4398"/>
    <w:rsid w:val="33AD497E"/>
    <w:rsid w:val="33AE06F6"/>
    <w:rsid w:val="33AE7BB3"/>
    <w:rsid w:val="33B026C0"/>
    <w:rsid w:val="33B03E68"/>
    <w:rsid w:val="33B05C81"/>
    <w:rsid w:val="33B1023A"/>
    <w:rsid w:val="33B141A9"/>
    <w:rsid w:val="33B16D42"/>
    <w:rsid w:val="33B2026B"/>
    <w:rsid w:val="33B45D0C"/>
    <w:rsid w:val="33B606DF"/>
    <w:rsid w:val="33B65F28"/>
    <w:rsid w:val="33B7001B"/>
    <w:rsid w:val="33B71CA0"/>
    <w:rsid w:val="33B73BA0"/>
    <w:rsid w:val="33B74D71"/>
    <w:rsid w:val="33B77665"/>
    <w:rsid w:val="33B901FD"/>
    <w:rsid w:val="33B92B69"/>
    <w:rsid w:val="33B94C62"/>
    <w:rsid w:val="33BC1065"/>
    <w:rsid w:val="33BC12BC"/>
    <w:rsid w:val="33BC2E13"/>
    <w:rsid w:val="33BD3E8D"/>
    <w:rsid w:val="33BE4DDD"/>
    <w:rsid w:val="33BF2903"/>
    <w:rsid w:val="33C148CD"/>
    <w:rsid w:val="33C14B36"/>
    <w:rsid w:val="33C16753"/>
    <w:rsid w:val="33C223DE"/>
    <w:rsid w:val="33C235E5"/>
    <w:rsid w:val="33C31B1E"/>
    <w:rsid w:val="33C41CCE"/>
    <w:rsid w:val="33C42F42"/>
    <w:rsid w:val="33C57F19"/>
    <w:rsid w:val="33C63C91"/>
    <w:rsid w:val="33C65F5B"/>
    <w:rsid w:val="33C663E2"/>
    <w:rsid w:val="33C817B8"/>
    <w:rsid w:val="33C85C5B"/>
    <w:rsid w:val="33CA3782"/>
    <w:rsid w:val="33CC0DB1"/>
    <w:rsid w:val="33CC24F2"/>
    <w:rsid w:val="33CD2B8C"/>
    <w:rsid w:val="33CD3272"/>
    <w:rsid w:val="33CD5020"/>
    <w:rsid w:val="33CF0D98"/>
    <w:rsid w:val="33CF2B46"/>
    <w:rsid w:val="33CF6FEA"/>
    <w:rsid w:val="33D068BE"/>
    <w:rsid w:val="33D13D60"/>
    <w:rsid w:val="33D2699B"/>
    <w:rsid w:val="33D36C24"/>
    <w:rsid w:val="33D57E6D"/>
    <w:rsid w:val="33D60249"/>
    <w:rsid w:val="33D61747"/>
    <w:rsid w:val="33D62126"/>
    <w:rsid w:val="33D75E9F"/>
    <w:rsid w:val="33D75EC4"/>
    <w:rsid w:val="33D77C4D"/>
    <w:rsid w:val="33D80A95"/>
    <w:rsid w:val="33D8534E"/>
    <w:rsid w:val="33D91C17"/>
    <w:rsid w:val="33DB54F7"/>
    <w:rsid w:val="33DB7416"/>
    <w:rsid w:val="33DB773D"/>
    <w:rsid w:val="33DC08A6"/>
    <w:rsid w:val="33DC623C"/>
    <w:rsid w:val="33DD3477"/>
    <w:rsid w:val="33DF25B8"/>
    <w:rsid w:val="33DF75D9"/>
    <w:rsid w:val="33E02FA5"/>
    <w:rsid w:val="33E03262"/>
    <w:rsid w:val="33E04D53"/>
    <w:rsid w:val="33E12879"/>
    <w:rsid w:val="33E13288"/>
    <w:rsid w:val="33E1441C"/>
    <w:rsid w:val="33E32A95"/>
    <w:rsid w:val="33E41C73"/>
    <w:rsid w:val="33E443DD"/>
    <w:rsid w:val="33E505BB"/>
    <w:rsid w:val="33E5680D"/>
    <w:rsid w:val="33E61958"/>
    <w:rsid w:val="33E652A9"/>
    <w:rsid w:val="33E660E2"/>
    <w:rsid w:val="33E8058A"/>
    <w:rsid w:val="33E83C08"/>
    <w:rsid w:val="33E96D6C"/>
    <w:rsid w:val="33E97C32"/>
    <w:rsid w:val="33EB6F0B"/>
    <w:rsid w:val="33EC194A"/>
    <w:rsid w:val="33ED121E"/>
    <w:rsid w:val="33ED7470"/>
    <w:rsid w:val="33EE35F9"/>
    <w:rsid w:val="33EF31E8"/>
    <w:rsid w:val="33EF414B"/>
    <w:rsid w:val="33EF6A0C"/>
    <w:rsid w:val="33F0093A"/>
    <w:rsid w:val="33F05CCA"/>
    <w:rsid w:val="33F144DC"/>
    <w:rsid w:val="33F14D68"/>
    <w:rsid w:val="33F153DA"/>
    <w:rsid w:val="33F22CD8"/>
    <w:rsid w:val="33F32E69"/>
    <w:rsid w:val="33F46A50"/>
    <w:rsid w:val="33F508A6"/>
    <w:rsid w:val="33F61C82"/>
    <w:rsid w:val="33F65C41"/>
    <w:rsid w:val="33F67EC4"/>
    <w:rsid w:val="33F7221B"/>
    <w:rsid w:val="33F8203A"/>
    <w:rsid w:val="33F86541"/>
    <w:rsid w:val="33F86629"/>
    <w:rsid w:val="33F94067"/>
    <w:rsid w:val="33FB393B"/>
    <w:rsid w:val="33FB7DDF"/>
    <w:rsid w:val="33FD6ED4"/>
    <w:rsid w:val="33FE03BD"/>
    <w:rsid w:val="33FE342B"/>
    <w:rsid w:val="33FE78CF"/>
    <w:rsid w:val="34007CA1"/>
    <w:rsid w:val="340121D5"/>
    <w:rsid w:val="34027993"/>
    <w:rsid w:val="34034EE6"/>
    <w:rsid w:val="34044EE1"/>
    <w:rsid w:val="34050C5E"/>
    <w:rsid w:val="340824D7"/>
    <w:rsid w:val="340824FC"/>
    <w:rsid w:val="34083ADF"/>
    <w:rsid w:val="340842AA"/>
    <w:rsid w:val="340A0B8E"/>
    <w:rsid w:val="340B4DB4"/>
    <w:rsid w:val="340C0F9D"/>
    <w:rsid w:val="340C3D9A"/>
    <w:rsid w:val="340D18C0"/>
    <w:rsid w:val="340D366E"/>
    <w:rsid w:val="340D76D4"/>
    <w:rsid w:val="340D7B12"/>
    <w:rsid w:val="340E5974"/>
    <w:rsid w:val="340F05EB"/>
    <w:rsid w:val="3410072B"/>
    <w:rsid w:val="3410282D"/>
    <w:rsid w:val="34110B64"/>
    <w:rsid w:val="34110C26"/>
    <w:rsid w:val="341113B0"/>
    <w:rsid w:val="34126ED7"/>
    <w:rsid w:val="34142C4F"/>
    <w:rsid w:val="3414533F"/>
    <w:rsid w:val="34146DE0"/>
    <w:rsid w:val="3415093E"/>
    <w:rsid w:val="341510AC"/>
    <w:rsid w:val="34151734"/>
    <w:rsid w:val="34160775"/>
    <w:rsid w:val="34164C19"/>
    <w:rsid w:val="3416678C"/>
    <w:rsid w:val="34190265"/>
    <w:rsid w:val="341964B7"/>
    <w:rsid w:val="341B222F"/>
    <w:rsid w:val="341E0667"/>
    <w:rsid w:val="341E0F18"/>
    <w:rsid w:val="341E3ACD"/>
    <w:rsid w:val="341E7629"/>
    <w:rsid w:val="342015F4"/>
    <w:rsid w:val="342033A2"/>
    <w:rsid w:val="34207846"/>
    <w:rsid w:val="342130C7"/>
    <w:rsid w:val="34214375"/>
    <w:rsid w:val="3421711A"/>
    <w:rsid w:val="3422536C"/>
    <w:rsid w:val="34226FAB"/>
    <w:rsid w:val="34232E92"/>
    <w:rsid w:val="342401BA"/>
    <w:rsid w:val="34242F5C"/>
    <w:rsid w:val="342434B6"/>
    <w:rsid w:val="34264510"/>
    <w:rsid w:val="34266DEB"/>
    <w:rsid w:val="34267352"/>
    <w:rsid w:val="3428192B"/>
    <w:rsid w:val="342961AF"/>
    <w:rsid w:val="342C61EA"/>
    <w:rsid w:val="342C7416"/>
    <w:rsid w:val="342D0CDC"/>
    <w:rsid w:val="342D57A0"/>
    <w:rsid w:val="342E1F62"/>
    <w:rsid w:val="342E3B69"/>
    <w:rsid w:val="342F1837"/>
    <w:rsid w:val="342F41AF"/>
    <w:rsid w:val="342F51C4"/>
    <w:rsid w:val="34311A53"/>
    <w:rsid w:val="3431735D"/>
    <w:rsid w:val="34321327"/>
    <w:rsid w:val="34336CC1"/>
    <w:rsid w:val="34337579"/>
    <w:rsid w:val="34343FC0"/>
    <w:rsid w:val="34347003"/>
    <w:rsid w:val="343477BE"/>
    <w:rsid w:val="34354C76"/>
    <w:rsid w:val="34355450"/>
    <w:rsid w:val="3438258B"/>
    <w:rsid w:val="34384B8F"/>
    <w:rsid w:val="343926B5"/>
    <w:rsid w:val="343A43BC"/>
    <w:rsid w:val="343B30E4"/>
    <w:rsid w:val="343C3F54"/>
    <w:rsid w:val="343D7A98"/>
    <w:rsid w:val="343D7DFF"/>
    <w:rsid w:val="343E1A7A"/>
    <w:rsid w:val="343E5134"/>
    <w:rsid w:val="343E7CCC"/>
    <w:rsid w:val="343F40C7"/>
    <w:rsid w:val="344021C2"/>
    <w:rsid w:val="34403A44"/>
    <w:rsid w:val="344130AB"/>
    <w:rsid w:val="34422100"/>
    <w:rsid w:val="344258F1"/>
    <w:rsid w:val="344352E2"/>
    <w:rsid w:val="34441786"/>
    <w:rsid w:val="34443AB5"/>
    <w:rsid w:val="34454F45"/>
    <w:rsid w:val="344751FE"/>
    <w:rsid w:val="34476B80"/>
    <w:rsid w:val="34480B4A"/>
    <w:rsid w:val="34491CA1"/>
    <w:rsid w:val="34497789"/>
    <w:rsid w:val="344A3C19"/>
    <w:rsid w:val="344A61E6"/>
    <w:rsid w:val="344C23E9"/>
    <w:rsid w:val="344C4197"/>
    <w:rsid w:val="344D7F0F"/>
    <w:rsid w:val="344F3C87"/>
    <w:rsid w:val="34512A81"/>
    <w:rsid w:val="34514978"/>
    <w:rsid w:val="34533777"/>
    <w:rsid w:val="34545741"/>
    <w:rsid w:val="345474EF"/>
    <w:rsid w:val="34554A3F"/>
    <w:rsid w:val="34555ECA"/>
    <w:rsid w:val="345614B9"/>
    <w:rsid w:val="34561A0A"/>
    <w:rsid w:val="34562001"/>
    <w:rsid w:val="34563E2A"/>
    <w:rsid w:val="34565015"/>
    <w:rsid w:val="34567DF2"/>
    <w:rsid w:val="345700FB"/>
    <w:rsid w:val="34580D8D"/>
    <w:rsid w:val="34586FDF"/>
    <w:rsid w:val="345903C9"/>
    <w:rsid w:val="345937DD"/>
    <w:rsid w:val="345B087E"/>
    <w:rsid w:val="345B0EA7"/>
    <w:rsid w:val="345C0152"/>
    <w:rsid w:val="345D2848"/>
    <w:rsid w:val="345D465C"/>
    <w:rsid w:val="345F6CD7"/>
    <w:rsid w:val="346076F7"/>
    <w:rsid w:val="34607A77"/>
    <w:rsid w:val="34607C42"/>
    <w:rsid w:val="34626EAA"/>
    <w:rsid w:val="34630D9F"/>
    <w:rsid w:val="346317C9"/>
    <w:rsid w:val="346507BE"/>
    <w:rsid w:val="346516EC"/>
    <w:rsid w:val="346534AA"/>
    <w:rsid w:val="346559BF"/>
    <w:rsid w:val="34666E4F"/>
    <w:rsid w:val="34672C61"/>
    <w:rsid w:val="34690693"/>
    <w:rsid w:val="346911EC"/>
    <w:rsid w:val="34692BFE"/>
    <w:rsid w:val="346B1830"/>
    <w:rsid w:val="346B473F"/>
    <w:rsid w:val="346B7135"/>
    <w:rsid w:val="346C65E7"/>
    <w:rsid w:val="346E234B"/>
    <w:rsid w:val="34711E4F"/>
    <w:rsid w:val="34713BFD"/>
    <w:rsid w:val="34721BAC"/>
    <w:rsid w:val="347278D8"/>
    <w:rsid w:val="34727975"/>
    <w:rsid w:val="34730F40"/>
    <w:rsid w:val="347436ED"/>
    <w:rsid w:val="34753343"/>
    <w:rsid w:val="34757B91"/>
    <w:rsid w:val="347608E1"/>
    <w:rsid w:val="34761214"/>
    <w:rsid w:val="347665C1"/>
    <w:rsid w:val="34766943"/>
    <w:rsid w:val="34767465"/>
    <w:rsid w:val="347743C7"/>
    <w:rsid w:val="347831DE"/>
    <w:rsid w:val="34784F8C"/>
    <w:rsid w:val="3479133A"/>
    <w:rsid w:val="34791C0D"/>
    <w:rsid w:val="347926F3"/>
    <w:rsid w:val="347B0F20"/>
    <w:rsid w:val="347C59A6"/>
    <w:rsid w:val="347E456C"/>
    <w:rsid w:val="347E50D5"/>
    <w:rsid w:val="347E631A"/>
    <w:rsid w:val="347E748C"/>
    <w:rsid w:val="347F27BE"/>
    <w:rsid w:val="348002E4"/>
    <w:rsid w:val="3481537F"/>
    <w:rsid w:val="348311E2"/>
    <w:rsid w:val="34841945"/>
    <w:rsid w:val="34847806"/>
    <w:rsid w:val="348538A9"/>
    <w:rsid w:val="34853B4C"/>
    <w:rsid w:val="348630C6"/>
    <w:rsid w:val="34897AF5"/>
    <w:rsid w:val="348A2878"/>
    <w:rsid w:val="348A2F11"/>
    <w:rsid w:val="348A4CBF"/>
    <w:rsid w:val="348A654E"/>
    <w:rsid w:val="348B193F"/>
    <w:rsid w:val="348C0A37"/>
    <w:rsid w:val="348C46C9"/>
    <w:rsid w:val="348C6811"/>
    <w:rsid w:val="348C6C89"/>
    <w:rsid w:val="348D10FE"/>
    <w:rsid w:val="348D5860"/>
    <w:rsid w:val="348F605A"/>
    <w:rsid w:val="348F6779"/>
    <w:rsid w:val="34920226"/>
    <w:rsid w:val="349242B2"/>
    <w:rsid w:val="34930017"/>
    <w:rsid w:val="34930875"/>
    <w:rsid w:val="34935693"/>
    <w:rsid w:val="34943D90"/>
    <w:rsid w:val="34957761"/>
    <w:rsid w:val="34963664"/>
    <w:rsid w:val="349642F8"/>
    <w:rsid w:val="34983880"/>
    <w:rsid w:val="34992B04"/>
    <w:rsid w:val="349A13A6"/>
    <w:rsid w:val="349B3370"/>
    <w:rsid w:val="349B511E"/>
    <w:rsid w:val="349B6ECC"/>
    <w:rsid w:val="349B7996"/>
    <w:rsid w:val="349C35B5"/>
    <w:rsid w:val="349E1E18"/>
    <w:rsid w:val="349E4B2E"/>
    <w:rsid w:val="349F69BC"/>
    <w:rsid w:val="34A0197A"/>
    <w:rsid w:val="34A0626C"/>
    <w:rsid w:val="34A2025B"/>
    <w:rsid w:val="34A22009"/>
    <w:rsid w:val="34A22D8F"/>
    <w:rsid w:val="34A244D0"/>
    <w:rsid w:val="34A246FE"/>
    <w:rsid w:val="34A31ADA"/>
    <w:rsid w:val="34A3421F"/>
    <w:rsid w:val="34A35D81"/>
    <w:rsid w:val="34A37D74"/>
    <w:rsid w:val="34A42225"/>
    <w:rsid w:val="34A53ED9"/>
    <w:rsid w:val="34A71D15"/>
    <w:rsid w:val="34A72BA0"/>
    <w:rsid w:val="34A83397"/>
    <w:rsid w:val="34A845B2"/>
    <w:rsid w:val="34AA5B2B"/>
    <w:rsid w:val="34AA710F"/>
    <w:rsid w:val="34AB35B3"/>
    <w:rsid w:val="34AC10D9"/>
    <w:rsid w:val="34AC5582"/>
    <w:rsid w:val="34AC6367"/>
    <w:rsid w:val="34AE6BFF"/>
    <w:rsid w:val="34AF28D0"/>
    <w:rsid w:val="34AF41CD"/>
    <w:rsid w:val="34AF4725"/>
    <w:rsid w:val="34AF4CDE"/>
    <w:rsid w:val="34AF6AD4"/>
    <w:rsid w:val="34AF7A4B"/>
    <w:rsid w:val="34B00BC9"/>
    <w:rsid w:val="34B1049E"/>
    <w:rsid w:val="34B14942"/>
    <w:rsid w:val="34B151D1"/>
    <w:rsid w:val="34B21AF2"/>
    <w:rsid w:val="34B306BA"/>
    <w:rsid w:val="34B32468"/>
    <w:rsid w:val="34B44D27"/>
    <w:rsid w:val="34B47F8E"/>
    <w:rsid w:val="34B51A43"/>
    <w:rsid w:val="34B63DD6"/>
    <w:rsid w:val="34B65AB4"/>
    <w:rsid w:val="34B85CD0"/>
    <w:rsid w:val="34B87A7E"/>
    <w:rsid w:val="34B970E3"/>
    <w:rsid w:val="34BA1192"/>
    <w:rsid w:val="34BA1455"/>
    <w:rsid w:val="34BC0A16"/>
    <w:rsid w:val="34BD32E6"/>
    <w:rsid w:val="34BD6E42"/>
    <w:rsid w:val="34BE40EE"/>
    <w:rsid w:val="34BF705E"/>
    <w:rsid w:val="34C06933"/>
    <w:rsid w:val="34C10EE9"/>
    <w:rsid w:val="34C12DD7"/>
    <w:rsid w:val="34C15E73"/>
    <w:rsid w:val="34C1681F"/>
    <w:rsid w:val="34C226AB"/>
    <w:rsid w:val="34C401D1"/>
    <w:rsid w:val="34C44C99"/>
    <w:rsid w:val="34C463DA"/>
    <w:rsid w:val="34C53F49"/>
    <w:rsid w:val="34C603ED"/>
    <w:rsid w:val="34C74165"/>
    <w:rsid w:val="34C77CC1"/>
    <w:rsid w:val="34C93169"/>
    <w:rsid w:val="34C957E7"/>
    <w:rsid w:val="34CA155F"/>
    <w:rsid w:val="34CA77B1"/>
    <w:rsid w:val="34CB1E80"/>
    <w:rsid w:val="34CC3529"/>
    <w:rsid w:val="34CC52D7"/>
    <w:rsid w:val="34CC611A"/>
    <w:rsid w:val="34CD0A37"/>
    <w:rsid w:val="34CD2A31"/>
    <w:rsid w:val="34CD73C4"/>
    <w:rsid w:val="34CE20F1"/>
    <w:rsid w:val="34CE72A2"/>
    <w:rsid w:val="34CF0E1D"/>
    <w:rsid w:val="34CF1A50"/>
    <w:rsid w:val="34D0301A"/>
    <w:rsid w:val="34D128EE"/>
    <w:rsid w:val="34D15278"/>
    <w:rsid w:val="34D27FB6"/>
    <w:rsid w:val="34D32B0A"/>
    <w:rsid w:val="34D332FE"/>
    <w:rsid w:val="34D33F9D"/>
    <w:rsid w:val="34D5586A"/>
    <w:rsid w:val="34D55D7F"/>
    <w:rsid w:val="34D60DD4"/>
    <w:rsid w:val="34D643A8"/>
    <w:rsid w:val="34D66156"/>
    <w:rsid w:val="34D670AE"/>
    <w:rsid w:val="34D81142"/>
    <w:rsid w:val="34D81ECE"/>
    <w:rsid w:val="34D83C7C"/>
    <w:rsid w:val="34DA4147"/>
    <w:rsid w:val="34DB4661"/>
    <w:rsid w:val="34DD15C7"/>
    <w:rsid w:val="34DD55C3"/>
    <w:rsid w:val="34DE0411"/>
    <w:rsid w:val="34DF325D"/>
    <w:rsid w:val="34DF64B0"/>
    <w:rsid w:val="34E04472"/>
    <w:rsid w:val="34E06A10"/>
    <w:rsid w:val="34E20222"/>
    <w:rsid w:val="34E22D4D"/>
    <w:rsid w:val="34E27C8C"/>
    <w:rsid w:val="34E316B2"/>
    <w:rsid w:val="34E42621"/>
    <w:rsid w:val="34E56BE3"/>
    <w:rsid w:val="34E756D1"/>
    <w:rsid w:val="34E9325B"/>
    <w:rsid w:val="34E93AAE"/>
    <w:rsid w:val="34E97C37"/>
    <w:rsid w:val="34EA2EB6"/>
    <w:rsid w:val="34EA39B0"/>
    <w:rsid w:val="34EB7E53"/>
    <w:rsid w:val="34EC597A"/>
    <w:rsid w:val="34EC72AD"/>
    <w:rsid w:val="34ED7A54"/>
    <w:rsid w:val="34EE6F87"/>
    <w:rsid w:val="34EF68F8"/>
    <w:rsid w:val="34F07218"/>
    <w:rsid w:val="34F12F90"/>
    <w:rsid w:val="34F16887"/>
    <w:rsid w:val="34F30AB6"/>
    <w:rsid w:val="34F32864"/>
    <w:rsid w:val="34F36D08"/>
    <w:rsid w:val="34F61CA5"/>
    <w:rsid w:val="34F70F03"/>
    <w:rsid w:val="34F8431E"/>
    <w:rsid w:val="34F85F0C"/>
    <w:rsid w:val="34F92FC0"/>
    <w:rsid w:val="34F979E7"/>
    <w:rsid w:val="34FA0097"/>
    <w:rsid w:val="34FA1E45"/>
    <w:rsid w:val="34FA62E8"/>
    <w:rsid w:val="34FA7F9D"/>
    <w:rsid w:val="34FB5BBD"/>
    <w:rsid w:val="34FC4643"/>
    <w:rsid w:val="34FD36E3"/>
    <w:rsid w:val="34FD6DF9"/>
    <w:rsid w:val="34FD7B87"/>
    <w:rsid w:val="34FF56AD"/>
    <w:rsid w:val="35004F81"/>
    <w:rsid w:val="35017E15"/>
    <w:rsid w:val="35020CF9"/>
    <w:rsid w:val="35027582"/>
    <w:rsid w:val="35032B86"/>
    <w:rsid w:val="35040F15"/>
    <w:rsid w:val="35042256"/>
    <w:rsid w:val="35042CC3"/>
    <w:rsid w:val="35056CD1"/>
    <w:rsid w:val="350607E9"/>
    <w:rsid w:val="350672C8"/>
    <w:rsid w:val="35074561"/>
    <w:rsid w:val="35076310"/>
    <w:rsid w:val="35092088"/>
    <w:rsid w:val="3509652C"/>
    <w:rsid w:val="350970E0"/>
    <w:rsid w:val="350A25EB"/>
    <w:rsid w:val="350A5DD5"/>
    <w:rsid w:val="350B5E00"/>
    <w:rsid w:val="350C15F8"/>
    <w:rsid w:val="350C348F"/>
    <w:rsid w:val="350C46FB"/>
    <w:rsid w:val="350C4CF0"/>
    <w:rsid w:val="350C679F"/>
    <w:rsid w:val="350C7DCA"/>
    <w:rsid w:val="350E3B42"/>
    <w:rsid w:val="350E58F0"/>
    <w:rsid w:val="350F414C"/>
    <w:rsid w:val="350F64CC"/>
    <w:rsid w:val="35103416"/>
    <w:rsid w:val="35107A26"/>
    <w:rsid w:val="35111988"/>
    <w:rsid w:val="35123F77"/>
    <w:rsid w:val="35131158"/>
    <w:rsid w:val="35134CB4"/>
    <w:rsid w:val="35140056"/>
    <w:rsid w:val="35141C21"/>
    <w:rsid w:val="35143F5C"/>
    <w:rsid w:val="351516C3"/>
    <w:rsid w:val="351567A2"/>
    <w:rsid w:val="3516019D"/>
    <w:rsid w:val="351715FC"/>
    <w:rsid w:val="351759D1"/>
    <w:rsid w:val="3518051D"/>
    <w:rsid w:val="351849C1"/>
    <w:rsid w:val="3518676F"/>
    <w:rsid w:val="351A1D3E"/>
    <w:rsid w:val="351A4295"/>
    <w:rsid w:val="351A6043"/>
    <w:rsid w:val="351A72AD"/>
    <w:rsid w:val="351C144B"/>
    <w:rsid w:val="351D4F1D"/>
    <w:rsid w:val="351E4BF2"/>
    <w:rsid w:val="351F18AB"/>
    <w:rsid w:val="351F3659"/>
    <w:rsid w:val="351F7AFD"/>
    <w:rsid w:val="35204032"/>
    <w:rsid w:val="35211979"/>
    <w:rsid w:val="35214225"/>
    <w:rsid w:val="35246EC1"/>
    <w:rsid w:val="35260DFF"/>
    <w:rsid w:val="352660B5"/>
    <w:rsid w:val="35285AA3"/>
    <w:rsid w:val="352A047E"/>
    <w:rsid w:val="352B46F4"/>
    <w:rsid w:val="352C7EA8"/>
    <w:rsid w:val="352D221A"/>
    <w:rsid w:val="352E32DE"/>
    <w:rsid w:val="352E3C58"/>
    <w:rsid w:val="352E5F92"/>
    <w:rsid w:val="352E7D40"/>
    <w:rsid w:val="352E7F36"/>
    <w:rsid w:val="352F54A6"/>
    <w:rsid w:val="35300DE3"/>
    <w:rsid w:val="35325A82"/>
    <w:rsid w:val="35327830"/>
    <w:rsid w:val="353335A8"/>
    <w:rsid w:val="353431B1"/>
    <w:rsid w:val="35343775"/>
    <w:rsid w:val="35365D9C"/>
    <w:rsid w:val="35366BF5"/>
    <w:rsid w:val="35373099"/>
    <w:rsid w:val="3538296D"/>
    <w:rsid w:val="3538471B"/>
    <w:rsid w:val="353862BD"/>
    <w:rsid w:val="35387754"/>
    <w:rsid w:val="353A0493"/>
    <w:rsid w:val="353A1646"/>
    <w:rsid w:val="353A393C"/>
    <w:rsid w:val="353B24CA"/>
    <w:rsid w:val="353C245D"/>
    <w:rsid w:val="353C420B"/>
    <w:rsid w:val="353E4427"/>
    <w:rsid w:val="353F1F4D"/>
    <w:rsid w:val="353F2306"/>
    <w:rsid w:val="353F765D"/>
    <w:rsid w:val="35402EB5"/>
    <w:rsid w:val="35411821"/>
    <w:rsid w:val="35420C4C"/>
    <w:rsid w:val="354215FD"/>
    <w:rsid w:val="354237EC"/>
    <w:rsid w:val="3542559A"/>
    <w:rsid w:val="35431A3E"/>
    <w:rsid w:val="35441312"/>
    <w:rsid w:val="354454EF"/>
    <w:rsid w:val="35454B59"/>
    <w:rsid w:val="35457A02"/>
    <w:rsid w:val="354632DC"/>
    <w:rsid w:val="35475A2E"/>
    <w:rsid w:val="35482FA8"/>
    <w:rsid w:val="35487054"/>
    <w:rsid w:val="35492DCC"/>
    <w:rsid w:val="35494B7A"/>
    <w:rsid w:val="35496928"/>
    <w:rsid w:val="354B08F2"/>
    <w:rsid w:val="354B26A0"/>
    <w:rsid w:val="354B444E"/>
    <w:rsid w:val="354C01C6"/>
    <w:rsid w:val="354C51AA"/>
    <w:rsid w:val="354D466A"/>
    <w:rsid w:val="354D6418"/>
    <w:rsid w:val="354D7A20"/>
    <w:rsid w:val="354E2190"/>
    <w:rsid w:val="354E3F3E"/>
    <w:rsid w:val="35505B62"/>
    <w:rsid w:val="355157DD"/>
    <w:rsid w:val="35521E85"/>
    <w:rsid w:val="35522F82"/>
    <w:rsid w:val="35523A2F"/>
    <w:rsid w:val="35527ED3"/>
    <w:rsid w:val="35531555"/>
    <w:rsid w:val="35533053"/>
    <w:rsid w:val="355359F9"/>
    <w:rsid w:val="355367C8"/>
    <w:rsid w:val="355657EF"/>
    <w:rsid w:val="35571045"/>
    <w:rsid w:val="35572E64"/>
    <w:rsid w:val="35573069"/>
    <w:rsid w:val="35573E36"/>
    <w:rsid w:val="355754E9"/>
    <w:rsid w:val="35584DBD"/>
    <w:rsid w:val="35586EC5"/>
    <w:rsid w:val="355A0B35"/>
    <w:rsid w:val="355A2F26"/>
    <w:rsid w:val="355A6D87"/>
    <w:rsid w:val="355A76BE"/>
    <w:rsid w:val="355B00FA"/>
    <w:rsid w:val="355C665B"/>
    <w:rsid w:val="355D4E96"/>
    <w:rsid w:val="355D5414"/>
    <w:rsid w:val="355D6871"/>
    <w:rsid w:val="355D6CD6"/>
    <w:rsid w:val="355F062E"/>
    <w:rsid w:val="355F439E"/>
    <w:rsid w:val="355F7EFA"/>
    <w:rsid w:val="35611EC4"/>
    <w:rsid w:val="35614F37"/>
    <w:rsid w:val="35622F24"/>
    <w:rsid w:val="35626FC7"/>
    <w:rsid w:val="356279EA"/>
    <w:rsid w:val="35635770"/>
    <w:rsid w:val="356419B4"/>
    <w:rsid w:val="35645510"/>
    <w:rsid w:val="35661288"/>
    <w:rsid w:val="356674DA"/>
    <w:rsid w:val="35675000"/>
    <w:rsid w:val="356847E1"/>
    <w:rsid w:val="3568568B"/>
    <w:rsid w:val="3569521C"/>
    <w:rsid w:val="356A2CD1"/>
    <w:rsid w:val="356B1A40"/>
    <w:rsid w:val="356B2D42"/>
    <w:rsid w:val="356B4AF0"/>
    <w:rsid w:val="356B658D"/>
    <w:rsid w:val="356C01BB"/>
    <w:rsid w:val="356C0985"/>
    <w:rsid w:val="356E2937"/>
    <w:rsid w:val="357111AD"/>
    <w:rsid w:val="357350E0"/>
    <w:rsid w:val="35740E2A"/>
    <w:rsid w:val="35753BC1"/>
    <w:rsid w:val="3575596F"/>
    <w:rsid w:val="3575771D"/>
    <w:rsid w:val="357716E7"/>
    <w:rsid w:val="3577244E"/>
    <w:rsid w:val="35775293"/>
    <w:rsid w:val="35780FBB"/>
    <w:rsid w:val="3578275C"/>
    <w:rsid w:val="357864AF"/>
    <w:rsid w:val="3578720D"/>
    <w:rsid w:val="35794D6E"/>
    <w:rsid w:val="357B37B9"/>
    <w:rsid w:val="357B39A0"/>
    <w:rsid w:val="357B52E4"/>
    <w:rsid w:val="357C00B2"/>
    <w:rsid w:val="357C0AAC"/>
    <w:rsid w:val="357D4824"/>
    <w:rsid w:val="357E0CC8"/>
    <w:rsid w:val="35812566"/>
    <w:rsid w:val="3582408D"/>
    <w:rsid w:val="358309F1"/>
    <w:rsid w:val="358362DE"/>
    <w:rsid w:val="35853DF8"/>
    <w:rsid w:val="358636D8"/>
    <w:rsid w:val="35866D67"/>
    <w:rsid w:val="35867B7C"/>
    <w:rsid w:val="35871397"/>
    <w:rsid w:val="35884863"/>
    <w:rsid w:val="35887450"/>
    <w:rsid w:val="3589141A"/>
    <w:rsid w:val="3589190B"/>
    <w:rsid w:val="3589199F"/>
    <w:rsid w:val="35895269"/>
    <w:rsid w:val="358A766C"/>
    <w:rsid w:val="358B0CEF"/>
    <w:rsid w:val="358B7B47"/>
    <w:rsid w:val="358C5DB5"/>
    <w:rsid w:val="358D0F0B"/>
    <w:rsid w:val="358D2B89"/>
    <w:rsid w:val="358D4A67"/>
    <w:rsid w:val="358D688D"/>
    <w:rsid w:val="358E6A31"/>
    <w:rsid w:val="358F2727"/>
    <w:rsid w:val="358F6E87"/>
    <w:rsid w:val="359027A9"/>
    <w:rsid w:val="35906305"/>
    <w:rsid w:val="359140AD"/>
    <w:rsid w:val="359202CF"/>
    <w:rsid w:val="35926521"/>
    <w:rsid w:val="3593434A"/>
    <w:rsid w:val="35941175"/>
    <w:rsid w:val="35944047"/>
    <w:rsid w:val="3595385E"/>
    <w:rsid w:val="359607EA"/>
    <w:rsid w:val="359619A5"/>
    <w:rsid w:val="35970487"/>
    <w:rsid w:val="35974B91"/>
    <w:rsid w:val="35976F45"/>
    <w:rsid w:val="35977693"/>
    <w:rsid w:val="3598340C"/>
    <w:rsid w:val="3599165E"/>
    <w:rsid w:val="35992064"/>
    <w:rsid w:val="359A53D6"/>
    <w:rsid w:val="359A7184"/>
    <w:rsid w:val="359A72D2"/>
    <w:rsid w:val="359B1849"/>
    <w:rsid w:val="359C114E"/>
    <w:rsid w:val="359C3DCD"/>
    <w:rsid w:val="359C6543"/>
    <w:rsid w:val="359D4091"/>
    <w:rsid w:val="359D6D3A"/>
    <w:rsid w:val="359E3678"/>
    <w:rsid w:val="359F29EC"/>
    <w:rsid w:val="359F479A"/>
    <w:rsid w:val="35A00532"/>
    <w:rsid w:val="35A051A4"/>
    <w:rsid w:val="35A10512"/>
    <w:rsid w:val="35A16764"/>
    <w:rsid w:val="35A26038"/>
    <w:rsid w:val="35A3072E"/>
    <w:rsid w:val="35A324DC"/>
    <w:rsid w:val="35A3428A"/>
    <w:rsid w:val="35A4385C"/>
    <w:rsid w:val="35A46254"/>
    <w:rsid w:val="35A52FD0"/>
    <w:rsid w:val="35A6051C"/>
    <w:rsid w:val="35A6162C"/>
    <w:rsid w:val="35A80D73"/>
    <w:rsid w:val="35A9176E"/>
    <w:rsid w:val="35AB133E"/>
    <w:rsid w:val="35AB313F"/>
    <w:rsid w:val="35AB3C09"/>
    <w:rsid w:val="35AB7BFD"/>
    <w:rsid w:val="35AD335B"/>
    <w:rsid w:val="35AD3C5E"/>
    <w:rsid w:val="35AD5109"/>
    <w:rsid w:val="35AD6EB7"/>
    <w:rsid w:val="35AE2C2F"/>
    <w:rsid w:val="35AE7CBF"/>
    <w:rsid w:val="35AF0E81"/>
    <w:rsid w:val="35AF31CD"/>
    <w:rsid w:val="35B04BF9"/>
    <w:rsid w:val="35B0680E"/>
    <w:rsid w:val="35B20971"/>
    <w:rsid w:val="35B2271F"/>
    <w:rsid w:val="35B244CD"/>
    <w:rsid w:val="35B44A00"/>
    <w:rsid w:val="35B61AA6"/>
    <w:rsid w:val="35B64D10"/>
    <w:rsid w:val="35B716DE"/>
    <w:rsid w:val="35B778E1"/>
    <w:rsid w:val="35B84990"/>
    <w:rsid w:val="35B92201"/>
    <w:rsid w:val="35B93AAE"/>
    <w:rsid w:val="35BA15D4"/>
    <w:rsid w:val="35BA1854"/>
    <w:rsid w:val="35BA2D2D"/>
    <w:rsid w:val="35BB0A1B"/>
    <w:rsid w:val="35BB0AD5"/>
    <w:rsid w:val="35BB19C0"/>
    <w:rsid w:val="35BB3BDF"/>
    <w:rsid w:val="35BB5A78"/>
    <w:rsid w:val="35BC17F0"/>
    <w:rsid w:val="35BC359E"/>
    <w:rsid w:val="35BC534C"/>
    <w:rsid w:val="35BC5798"/>
    <w:rsid w:val="35BD1546"/>
    <w:rsid w:val="35BD4A27"/>
    <w:rsid w:val="35BD4BE3"/>
    <w:rsid w:val="35BE0852"/>
    <w:rsid w:val="35BE7316"/>
    <w:rsid w:val="35BE7B87"/>
    <w:rsid w:val="35BF4E3C"/>
    <w:rsid w:val="35BF5C0C"/>
    <w:rsid w:val="35BF6BEA"/>
    <w:rsid w:val="35C20647"/>
    <w:rsid w:val="35C231BE"/>
    <w:rsid w:val="35C249F4"/>
    <w:rsid w:val="35C30A55"/>
    <w:rsid w:val="35C366DA"/>
    <w:rsid w:val="35C542DA"/>
    <w:rsid w:val="35C6441D"/>
    <w:rsid w:val="35C7146D"/>
    <w:rsid w:val="35C754D0"/>
    <w:rsid w:val="35C802BA"/>
    <w:rsid w:val="35C81F43"/>
    <w:rsid w:val="35C83CF1"/>
    <w:rsid w:val="35C91B4C"/>
    <w:rsid w:val="35C97A69"/>
    <w:rsid w:val="35CA0519"/>
    <w:rsid w:val="35CA5CBB"/>
    <w:rsid w:val="35CB558F"/>
    <w:rsid w:val="35CC1CC0"/>
    <w:rsid w:val="35CD7559"/>
    <w:rsid w:val="35CD786C"/>
    <w:rsid w:val="35CE46AE"/>
    <w:rsid w:val="35CF1523"/>
    <w:rsid w:val="35CF32D1"/>
    <w:rsid w:val="35CF548D"/>
    <w:rsid w:val="35CF6FF8"/>
    <w:rsid w:val="35D00DF7"/>
    <w:rsid w:val="35D02BA5"/>
    <w:rsid w:val="35D07BC9"/>
    <w:rsid w:val="35D206F6"/>
    <w:rsid w:val="35D22DC1"/>
    <w:rsid w:val="35D2691D"/>
    <w:rsid w:val="35D3054A"/>
    <w:rsid w:val="35D408E8"/>
    <w:rsid w:val="35D419DA"/>
    <w:rsid w:val="35D42696"/>
    <w:rsid w:val="35D46B3A"/>
    <w:rsid w:val="35D63210"/>
    <w:rsid w:val="35D73F34"/>
    <w:rsid w:val="35D86C1A"/>
    <w:rsid w:val="35D92B2B"/>
    <w:rsid w:val="35DA410B"/>
    <w:rsid w:val="35DC5F21"/>
    <w:rsid w:val="35DC7FDE"/>
    <w:rsid w:val="35DD29BA"/>
    <w:rsid w:val="35DD2AFA"/>
    <w:rsid w:val="35DE0658"/>
    <w:rsid w:val="35DE1766"/>
    <w:rsid w:val="35DF103A"/>
    <w:rsid w:val="35DF399C"/>
    <w:rsid w:val="35DF4197"/>
    <w:rsid w:val="35E0057B"/>
    <w:rsid w:val="35E0307F"/>
    <w:rsid w:val="35E11256"/>
    <w:rsid w:val="35E1140C"/>
    <w:rsid w:val="35E14DB3"/>
    <w:rsid w:val="35E30B2B"/>
    <w:rsid w:val="35E36D7D"/>
    <w:rsid w:val="35E41B3A"/>
    <w:rsid w:val="35E45901"/>
    <w:rsid w:val="35E52AF5"/>
    <w:rsid w:val="35E56A24"/>
    <w:rsid w:val="35E60D9F"/>
    <w:rsid w:val="35E623C9"/>
    <w:rsid w:val="35E86141"/>
    <w:rsid w:val="35EA2894"/>
    <w:rsid w:val="35EA3BFF"/>
    <w:rsid w:val="35EB1149"/>
    <w:rsid w:val="35EB2255"/>
    <w:rsid w:val="35EB5C31"/>
    <w:rsid w:val="35EC3BBF"/>
    <w:rsid w:val="35EC651F"/>
    <w:rsid w:val="35EE2580"/>
    <w:rsid w:val="35EE48AC"/>
    <w:rsid w:val="35EF127D"/>
    <w:rsid w:val="35EF65E1"/>
    <w:rsid w:val="35EF7BE2"/>
    <w:rsid w:val="35F03248"/>
    <w:rsid w:val="35F04DC6"/>
    <w:rsid w:val="35F04FF6"/>
    <w:rsid w:val="35F1149A"/>
    <w:rsid w:val="35F25212"/>
    <w:rsid w:val="35F26FC0"/>
    <w:rsid w:val="35F5260C"/>
    <w:rsid w:val="35F66AB0"/>
    <w:rsid w:val="35F679F4"/>
    <w:rsid w:val="35F76B5A"/>
    <w:rsid w:val="35F7727D"/>
    <w:rsid w:val="35F81E4D"/>
    <w:rsid w:val="35F9106D"/>
    <w:rsid w:val="35FB2318"/>
    <w:rsid w:val="35FB40C6"/>
    <w:rsid w:val="35FC0F9C"/>
    <w:rsid w:val="35FD7B72"/>
    <w:rsid w:val="35FE0934"/>
    <w:rsid w:val="35FE3174"/>
    <w:rsid w:val="35FE5964"/>
    <w:rsid w:val="35FE7713"/>
    <w:rsid w:val="35FF4995"/>
    <w:rsid w:val="36003EC1"/>
    <w:rsid w:val="36007566"/>
    <w:rsid w:val="3600792F"/>
    <w:rsid w:val="360141E1"/>
    <w:rsid w:val="36015ADC"/>
    <w:rsid w:val="36017203"/>
    <w:rsid w:val="36017EC4"/>
    <w:rsid w:val="36036278"/>
    <w:rsid w:val="3603722A"/>
    <w:rsid w:val="36055FB1"/>
    <w:rsid w:val="360635C0"/>
    <w:rsid w:val="36064819"/>
    <w:rsid w:val="36070CBD"/>
    <w:rsid w:val="3608233F"/>
    <w:rsid w:val="360900EB"/>
    <w:rsid w:val="360A255B"/>
    <w:rsid w:val="360B0081"/>
    <w:rsid w:val="360B2F4A"/>
    <w:rsid w:val="360C5B09"/>
    <w:rsid w:val="360C624C"/>
    <w:rsid w:val="360D1B6A"/>
    <w:rsid w:val="360D204B"/>
    <w:rsid w:val="360F1920"/>
    <w:rsid w:val="36105698"/>
    <w:rsid w:val="36107446"/>
    <w:rsid w:val="361104EB"/>
    <w:rsid w:val="36121410"/>
    <w:rsid w:val="361231BE"/>
    <w:rsid w:val="36140CE4"/>
    <w:rsid w:val="36141387"/>
    <w:rsid w:val="36145E52"/>
    <w:rsid w:val="36146449"/>
    <w:rsid w:val="36146F36"/>
    <w:rsid w:val="36162CAE"/>
    <w:rsid w:val="36166AF5"/>
    <w:rsid w:val="361707D4"/>
    <w:rsid w:val="36176A26"/>
    <w:rsid w:val="36177517"/>
    <w:rsid w:val="3619279E"/>
    <w:rsid w:val="361A2073"/>
    <w:rsid w:val="361B3EDC"/>
    <w:rsid w:val="361B73D5"/>
    <w:rsid w:val="361C3796"/>
    <w:rsid w:val="361C55FE"/>
    <w:rsid w:val="361E1B63"/>
    <w:rsid w:val="361E2AEF"/>
    <w:rsid w:val="361F3F7F"/>
    <w:rsid w:val="36201D7F"/>
    <w:rsid w:val="36203B2D"/>
    <w:rsid w:val="36217932"/>
    <w:rsid w:val="36230BEA"/>
    <w:rsid w:val="36245220"/>
    <w:rsid w:val="36261281"/>
    <w:rsid w:val="362743DC"/>
    <w:rsid w:val="36283BA1"/>
    <w:rsid w:val="362938F2"/>
    <w:rsid w:val="362B0F44"/>
    <w:rsid w:val="362B4280"/>
    <w:rsid w:val="362B7767"/>
    <w:rsid w:val="362C2151"/>
    <w:rsid w:val="362D0770"/>
    <w:rsid w:val="362D1DA6"/>
    <w:rsid w:val="362D2681"/>
    <w:rsid w:val="362D36C5"/>
    <w:rsid w:val="3630137E"/>
    <w:rsid w:val="36301896"/>
    <w:rsid w:val="36302B1A"/>
    <w:rsid w:val="36315D3A"/>
    <w:rsid w:val="36321AB2"/>
    <w:rsid w:val="36321EAB"/>
    <w:rsid w:val="36323860"/>
    <w:rsid w:val="3632560E"/>
    <w:rsid w:val="36351A1C"/>
    <w:rsid w:val="36351E45"/>
    <w:rsid w:val="36356EAC"/>
    <w:rsid w:val="36367635"/>
    <w:rsid w:val="36370AC5"/>
    <w:rsid w:val="36371F41"/>
    <w:rsid w:val="36392B43"/>
    <w:rsid w:val="36394B26"/>
    <w:rsid w:val="363A071D"/>
    <w:rsid w:val="363A34B6"/>
    <w:rsid w:val="363B0967"/>
    <w:rsid w:val="363B2715"/>
    <w:rsid w:val="363B44C3"/>
    <w:rsid w:val="363C622C"/>
    <w:rsid w:val="363D7546"/>
    <w:rsid w:val="36402219"/>
    <w:rsid w:val="36402451"/>
    <w:rsid w:val="3640778D"/>
    <w:rsid w:val="36407D2B"/>
    <w:rsid w:val="3641098E"/>
    <w:rsid w:val="36413487"/>
    <w:rsid w:val="364233FE"/>
    <w:rsid w:val="364315C9"/>
    <w:rsid w:val="36445017"/>
    <w:rsid w:val="36445382"/>
    <w:rsid w:val="364500E6"/>
    <w:rsid w:val="36451266"/>
    <w:rsid w:val="364517E5"/>
    <w:rsid w:val="364610BA"/>
    <w:rsid w:val="36462E68"/>
    <w:rsid w:val="36463B94"/>
    <w:rsid w:val="3646459A"/>
    <w:rsid w:val="3646712A"/>
    <w:rsid w:val="36470FF9"/>
    <w:rsid w:val="3648318B"/>
    <w:rsid w:val="36484B0C"/>
    <w:rsid w:val="36484E32"/>
    <w:rsid w:val="364A01F9"/>
    <w:rsid w:val="364C2CEF"/>
    <w:rsid w:val="364C391D"/>
    <w:rsid w:val="364C6931"/>
    <w:rsid w:val="364D2448"/>
    <w:rsid w:val="364D603B"/>
    <w:rsid w:val="364E31D7"/>
    <w:rsid w:val="364F3704"/>
    <w:rsid w:val="364F7F6E"/>
    <w:rsid w:val="36511F38"/>
    <w:rsid w:val="36513CE6"/>
    <w:rsid w:val="365244C5"/>
    <w:rsid w:val="36526E0E"/>
    <w:rsid w:val="365446AE"/>
    <w:rsid w:val="36545584"/>
    <w:rsid w:val="36547242"/>
    <w:rsid w:val="365513C3"/>
    <w:rsid w:val="365700AF"/>
    <w:rsid w:val="36575075"/>
    <w:rsid w:val="365907B1"/>
    <w:rsid w:val="36592B9B"/>
    <w:rsid w:val="36594165"/>
    <w:rsid w:val="3659703F"/>
    <w:rsid w:val="365A66B0"/>
    <w:rsid w:val="365B2DB7"/>
    <w:rsid w:val="365C16AB"/>
    <w:rsid w:val="365C268B"/>
    <w:rsid w:val="365C2A91"/>
    <w:rsid w:val="365D08DD"/>
    <w:rsid w:val="365E1242"/>
    <w:rsid w:val="365E4655"/>
    <w:rsid w:val="366028A2"/>
    <w:rsid w:val="36603F29"/>
    <w:rsid w:val="36604A2B"/>
    <w:rsid w:val="36630F8A"/>
    <w:rsid w:val="36631B1B"/>
    <w:rsid w:val="36631C6B"/>
    <w:rsid w:val="366330E1"/>
    <w:rsid w:val="36633A19"/>
    <w:rsid w:val="36636652"/>
    <w:rsid w:val="36636D45"/>
    <w:rsid w:val="366467A3"/>
    <w:rsid w:val="36657792"/>
    <w:rsid w:val="366652B8"/>
    <w:rsid w:val="36666714"/>
    <w:rsid w:val="3667175C"/>
    <w:rsid w:val="36681030"/>
    <w:rsid w:val="36681034"/>
    <w:rsid w:val="366854D4"/>
    <w:rsid w:val="36694257"/>
    <w:rsid w:val="366B28CE"/>
    <w:rsid w:val="366C0BDF"/>
    <w:rsid w:val="366C4FC4"/>
    <w:rsid w:val="366E2AEA"/>
    <w:rsid w:val="366E78C2"/>
    <w:rsid w:val="366E7D68"/>
    <w:rsid w:val="366F23BE"/>
    <w:rsid w:val="366F338B"/>
    <w:rsid w:val="366F3713"/>
    <w:rsid w:val="36711461"/>
    <w:rsid w:val="36714388"/>
    <w:rsid w:val="367157C1"/>
    <w:rsid w:val="36716136"/>
    <w:rsid w:val="367217D1"/>
    <w:rsid w:val="36736147"/>
    <w:rsid w:val="3676199F"/>
    <w:rsid w:val="36767BF1"/>
    <w:rsid w:val="36772E7D"/>
    <w:rsid w:val="36780B29"/>
    <w:rsid w:val="36783969"/>
    <w:rsid w:val="3679148F"/>
    <w:rsid w:val="367A257F"/>
    <w:rsid w:val="367A7B78"/>
    <w:rsid w:val="367B4FFE"/>
    <w:rsid w:val="367B5207"/>
    <w:rsid w:val="367E0ABD"/>
    <w:rsid w:val="367E6AA5"/>
    <w:rsid w:val="367F0460"/>
    <w:rsid w:val="3680074B"/>
    <w:rsid w:val="36811BDB"/>
    <w:rsid w:val="3681331C"/>
    <w:rsid w:val="36817320"/>
    <w:rsid w:val="36826596"/>
    <w:rsid w:val="368340BC"/>
    <w:rsid w:val="3684230E"/>
    <w:rsid w:val="368452DB"/>
    <w:rsid w:val="36850E26"/>
    <w:rsid w:val="36867F07"/>
    <w:rsid w:val="36873BAC"/>
    <w:rsid w:val="368816D2"/>
    <w:rsid w:val="36883460"/>
    <w:rsid w:val="368840DE"/>
    <w:rsid w:val="3688490C"/>
    <w:rsid w:val="36895D1D"/>
    <w:rsid w:val="368A369C"/>
    <w:rsid w:val="368A544A"/>
    <w:rsid w:val="368A71F8"/>
    <w:rsid w:val="368B1C8C"/>
    <w:rsid w:val="368C6CEE"/>
    <w:rsid w:val="368C7491"/>
    <w:rsid w:val="368D0151"/>
    <w:rsid w:val="368E2072"/>
    <w:rsid w:val="368E4F3A"/>
    <w:rsid w:val="368F73E0"/>
    <w:rsid w:val="36907EED"/>
    <w:rsid w:val="36910587"/>
    <w:rsid w:val="36914A2B"/>
    <w:rsid w:val="36915D3D"/>
    <w:rsid w:val="369167D9"/>
    <w:rsid w:val="36922B60"/>
    <w:rsid w:val="369260AD"/>
    <w:rsid w:val="36930C84"/>
    <w:rsid w:val="369371B0"/>
    <w:rsid w:val="36941E25"/>
    <w:rsid w:val="369574CA"/>
    <w:rsid w:val="36962041"/>
    <w:rsid w:val="36965B9D"/>
    <w:rsid w:val="369736C3"/>
    <w:rsid w:val="36975542"/>
    <w:rsid w:val="36981141"/>
    <w:rsid w:val="36987B67"/>
    <w:rsid w:val="36987F37"/>
    <w:rsid w:val="369A7019"/>
    <w:rsid w:val="369B2BEA"/>
    <w:rsid w:val="369B7657"/>
    <w:rsid w:val="369C2C78"/>
    <w:rsid w:val="369C30F3"/>
    <w:rsid w:val="369C55C2"/>
    <w:rsid w:val="369D33CF"/>
    <w:rsid w:val="369E0EF6"/>
    <w:rsid w:val="369E2CA4"/>
    <w:rsid w:val="369E4A52"/>
    <w:rsid w:val="36A007CA"/>
    <w:rsid w:val="36A04C6E"/>
    <w:rsid w:val="36A07D35"/>
    <w:rsid w:val="36A165F4"/>
    <w:rsid w:val="36A302BA"/>
    <w:rsid w:val="36A3207B"/>
    <w:rsid w:val="36A4475E"/>
    <w:rsid w:val="36A4650C"/>
    <w:rsid w:val="36A55DE0"/>
    <w:rsid w:val="36A67BC9"/>
    <w:rsid w:val="36A75FFC"/>
    <w:rsid w:val="36A77DAA"/>
    <w:rsid w:val="36A91D74"/>
    <w:rsid w:val="36AA5AEC"/>
    <w:rsid w:val="36AA789A"/>
    <w:rsid w:val="36AB3135"/>
    <w:rsid w:val="36AB6708"/>
    <w:rsid w:val="36AC1DEE"/>
    <w:rsid w:val="36AC3612"/>
    <w:rsid w:val="36AE1139"/>
    <w:rsid w:val="36AE738B"/>
    <w:rsid w:val="36B128B1"/>
    <w:rsid w:val="36B23B1A"/>
    <w:rsid w:val="36B272B1"/>
    <w:rsid w:val="36B349A1"/>
    <w:rsid w:val="36B353F8"/>
    <w:rsid w:val="36B36277"/>
    <w:rsid w:val="36B3674F"/>
    <w:rsid w:val="36B44275"/>
    <w:rsid w:val="36B45BEF"/>
    <w:rsid w:val="36B45DB4"/>
    <w:rsid w:val="36B528AD"/>
    <w:rsid w:val="36B56208"/>
    <w:rsid w:val="36B6732D"/>
    <w:rsid w:val="36B77D07"/>
    <w:rsid w:val="36B81FB7"/>
    <w:rsid w:val="36B85B13"/>
    <w:rsid w:val="36B86BDB"/>
    <w:rsid w:val="36B86F84"/>
    <w:rsid w:val="36BB3856"/>
    <w:rsid w:val="36BB5604"/>
    <w:rsid w:val="36BB584C"/>
    <w:rsid w:val="36BB6985"/>
    <w:rsid w:val="36BD5820"/>
    <w:rsid w:val="36BD725D"/>
    <w:rsid w:val="36BE49AD"/>
    <w:rsid w:val="36BE6EA2"/>
    <w:rsid w:val="36C00E6C"/>
    <w:rsid w:val="36C3270A"/>
    <w:rsid w:val="36C3376E"/>
    <w:rsid w:val="36C344B8"/>
    <w:rsid w:val="36C34A09"/>
    <w:rsid w:val="36C539FC"/>
    <w:rsid w:val="36C554CC"/>
    <w:rsid w:val="36C56295"/>
    <w:rsid w:val="36C61A50"/>
    <w:rsid w:val="36C62C57"/>
    <w:rsid w:val="36C630DE"/>
    <w:rsid w:val="36C72EE0"/>
    <w:rsid w:val="36C83720"/>
    <w:rsid w:val="36C941C4"/>
    <w:rsid w:val="36C95F72"/>
    <w:rsid w:val="36CA1590"/>
    <w:rsid w:val="36CB1830"/>
    <w:rsid w:val="36CB2CF1"/>
    <w:rsid w:val="36CB500A"/>
    <w:rsid w:val="36CC15BF"/>
    <w:rsid w:val="36CC58C2"/>
    <w:rsid w:val="36CE17DB"/>
    <w:rsid w:val="36CF7301"/>
    <w:rsid w:val="36D10B7D"/>
    <w:rsid w:val="36D16B63"/>
    <w:rsid w:val="36D23DC7"/>
    <w:rsid w:val="36D24AF2"/>
    <w:rsid w:val="36D31337"/>
    <w:rsid w:val="36D35A74"/>
    <w:rsid w:val="36D36DF1"/>
    <w:rsid w:val="36D462B0"/>
    <w:rsid w:val="36D61574"/>
    <w:rsid w:val="36D64360"/>
    <w:rsid w:val="36D668E1"/>
    <w:rsid w:val="36D73248"/>
    <w:rsid w:val="36D861B6"/>
    <w:rsid w:val="36D93CDC"/>
    <w:rsid w:val="36DA7B12"/>
    <w:rsid w:val="36DB27E6"/>
    <w:rsid w:val="36DB2BB9"/>
    <w:rsid w:val="36DB3EF8"/>
    <w:rsid w:val="36DB5CA6"/>
    <w:rsid w:val="36DD1A1E"/>
    <w:rsid w:val="36DD37CC"/>
    <w:rsid w:val="36DD4467"/>
    <w:rsid w:val="36DE12F2"/>
    <w:rsid w:val="36DF5796"/>
    <w:rsid w:val="36DF7544"/>
    <w:rsid w:val="36E0150E"/>
    <w:rsid w:val="36E025F7"/>
    <w:rsid w:val="36E04FCA"/>
    <w:rsid w:val="36E20DE2"/>
    <w:rsid w:val="36E36908"/>
    <w:rsid w:val="36E42DAC"/>
    <w:rsid w:val="36E55C49"/>
    <w:rsid w:val="36E56469"/>
    <w:rsid w:val="36E56B24"/>
    <w:rsid w:val="36E61668"/>
    <w:rsid w:val="36E619FC"/>
    <w:rsid w:val="36E61B67"/>
    <w:rsid w:val="36E7289C"/>
    <w:rsid w:val="36E97C36"/>
    <w:rsid w:val="36EA5855"/>
    <w:rsid w:val="36EA5A5D"/>
    <w:rsid w:val="36EA7C97"/>
    <w:rsid w:val="36EC3A0F"/>
    <w:rsid w:val="36EC7EB3"/>
    <w:rsid w:val="36EE3C2B"/>
    <w:rsid w:val="36EE7787"/>
    <w:rsid w:val="36EF2ACD"/>
    <w:rsid w:val="36F01751"/>
    <w:rsid w:val="36F105F2"/>
    <w:rsid w:val="36F11025"/>
    <w:rsid w:val="36F154C9"/>
    <w:rsid w:val="36F335B5"/>
    <w:rsid w:val="36F34D9D"/>
    <w:rsid w:val="36F36180"/>
    <w:rsid w:val="36F4760B"/>
    <w:rsid w:val="36F63518"/>
    <w:rsid w:val="36F6663C"/>
    <w:rsid w:val="36FA0940"/>
    <w:rsid w:val="36FA13B3"/>
    <w:rsid w:val="36FB00F6"/>
    <w:rsid w:val="36FB1EA4"/>
    <w:rsid w:val="36FC6348"/>
    <w:rsid w:val="36FD472F"/>
    <w:rsid w:val="36FD7AE3"/>
    <w:rsid w:val="36FF3742"/>
    <w:rsid w:val="370074BA"/>
    <w:rsid w:val="37021484"/>
    <w:rsid w:val="37027535"/>
    <w:rsid w:val="37040D59"/>
    <w:rsid w:val="37046FAB"/>
    <w:rsid w:val="37070373"/>
    <w:rsid w:val="37074CED"/>
    <w:rsid w:val="37076A9B"/>
    <w:rsid w:val="37082F44"/>
    <w:rsid w:val="370A0339"/>
    <w:rsid w:val="370B658B"/>
    <w:rsid w:val="370C175D"/>
    <w:rsid w:val="370C40B1"/>
    <w:rsid w:val="370D2AA4"/>
    <w:rsid w:val="370E1BD7"/>
    <w:rsid w:val="37104E51"/>
    <w:rsid w:val="371116C7"/>
    <w:rsid w:val="37114BBC"/>
    <w:rsid w:val="37133BC2"/>
    <w:rsid w:val="371371EE"/>
    <w:rsid w:val="37144C9A"/>
    <w:rsid w:val="37152F66"/>
    <w:rsid w:val="3715513B"/>
    <w:rsid w:val="371602F8"/>
    <w:rsid w:val="37163FFD"/>
    <w:rsid w:val="3716523E"/>
    <w:rsid w:val="37166499"/>
    <w:rsid w:val="37166CDE"/>
    <w:rsid w:val="371751A0"/>
    <w:rsid w:val="37175BB2"/>
    <w:rsid w:val="37177E68"/>
    <w:rsid w:val="37180CA8"/>
    <w:rsid w:val="37197C52"/>
    <w:rsid w:val="371A057C"/>
    <w:rsid w:val="371A4A20"/>
    <w:rsid w:val="371A67CE"/>
    <w:rsid w:val="371B42F4"/>
    <w:rsid w:val="371B7CF7"/>
    <w:rsid w:val="371C28F8"/>
    <w:rsid w:val="371D006C"/>
    <w:rsid w:val="371D62BE"/>
    <w:rsid w:val="371E1939"/>
    <w:rsid w:val="371E316D"/>
    <w:rsid w:val="371F2036"/>
    <w:rsid w:val="371F3DE4"/>
    <w:rsid w:val="371F799A"/>
    <w:rsid w:val="37210080"/>
    <w:rsid w:val="37215DAE"/>
    <w:rsid w:val="372165D4"/>
    <w:rsid w:val="37224F7B"/>
    <w:rsid w:val="37256F21"/>
    <w:rsid w:val="37272C99"/>
    <w:rsid w:val="372859DC"/>
    <w:rsid w:val="37285FA6"/>
    <w:rsid w:val="37294C63"/>
    <w:rsid w:val="372A4537"/>
    <w:rsid w:val="372C6501"/>
    <w:rsid w:val="372E1735"/>
    <w:rsid w:val="372E1EDD"/>
    <w:rsid w:val="372F07D3"/>
    <w:rsid w:val="372F7F47"/>
    <w:rsid w:val="37305FF2"/>
    <w:rsid w:val="373158C6"/>
    <w:rsid w:val="3732332F"/>
    <w:rsid w:val="37335F00"/>
    <w:rsid w:val="37350820"/>
    <w:rsid w:val="37362EDC"/>
    <w:rsid w:val="37364881"/>
    <w:rsid w:val="37364C48"/>
    <w:rsid w:val="37386C54"/>
    <w:rsid w:val="373A0C1E"/>
    <w:rsid w:val="373A29CC"/>
    <w:rsid w:val="373A6E70"/>
    <w:rsid w:val="373B04F2"/>
    <w:rsid w:val="373B6744"/>
    <w:rsid w:val="373B7263"/>
    <w:rsid w:val="373C4996"/>
    <w:rsid w:val="373C5B22"/>
    <w:rsid w:val="373C5FD0"/>
    <w:rsid w:val="373D426B"/>
    <w:rsid w:val="373E23B9"/>
    <w:rsid w:val="373F0C64"/>
    <w:rsid w:val="373F6235"/>
    <w:rsid w:val="37405B09"/>
    <w:rsid w:val="374101FF"/>
    <w:rsid w:val="37411FAD"/>
    <w:rsid w:val="37417C74"/>
    <w:rsid w:val="37435730"/>
    <w:rsid w:val="37446E85"/>
    <w:rsid w:val="37455193"/>
    <w:rsid w:val="37460229"/>
    <w:rsid w:val="37461371"/>
    <w:rsid w:val="374752D0"/>
    <w:rsid w:val="37476E97"/>
    <w:rsid w:val="3748158D"/>
    <w:rsid w:val="37490265"/>
    <w:rsid w:val="37490E61"/>
    <w:rsid w:val="37492C0F"/>
    <w:rsid w:val="37495DEC"/>
    <w:rsid w:val="374970B3"/>
    <w:rsid w:val="374973D3"/>
    <w:rsid w:val="374A66EF"/>
    <w:rsid w:val="374A6F7B"/>
    <w:rsid w:val="374B2E2B"/>
    <w:rsid w:val="374B5009"/>
    <w:rsid w:val="374B7C00"/>
    <w:rsid w:val="374C5617"/>
    <w:rsid w:val="374D6BA3"/>
    <w:rsid w:val="374E38EE"/>
    <w:rsid w:val="374E6478"/>
    <w:rsid w:val="37500502"/>
    <w:rsid w:val="3751103F"/>
    <w:rsid w:val="37515F68"/>
    <w:rsid w:val="37522919"/>
    <w:rsid w:val="37531CE0"/>
    <w:rsid w:val="37533A8E"/>
    <w:rsid w:val="375515B4"/>
    <w:rsid w:val="37565214"/>
    <w:rsid w:val="3756532C"/>
    <w:rsid w:val="375810A4"/>
    <w:rsid w:val="37584354"/>
    <w:rsid w:val="37585548"/>
    <w:rsid w:val="37590640"/>
    <w:rsid w:val="375A02D5"/>
    <w:rsid w:val="375A12C0"/>
    <w:rsid w:val="375A306E"/>
    <w:rsid w:val="375A7A49"/>
    <w:rsid w:val="375B03B6"/>
    <w:rsid w:val="375C0B95"/>
    <w:rsid w:val="375C3EE4"/>
    <w:rsid w:val="375C63A0"/>
    <w:rsid w:val="375C69C4"/>
    <w:rsid w:val="375D203C"/>
    <w:rsid w:val="375D490D"/>
    <w:rsid w:val="375F0685"/>
    <w:rsid w:val="375F2433"/>
    <w:rsid w:val="3760346B"/>
    <w:rsid w:val="37607E43"/>
    <w:rsid w:val="37607F59"/>
    <w:rsid w:val="376143FD"/>
    <w:rsid w:val="37621F23"/>
    <w:rsid w:val="37623CD1"/>
    <w:rsid w:val="37643EED"/>
    <w:rsid w:val="376476FE"/>
    <w:rsid w:val="37660D8E"/>
    <w:rsid w:val="376637C1"/>
    <w:rsid w:val="3766401B"/>
    <w:rsid w:val="37674F59"/>
    <w:rsid w:val="376A06EE"/>
    <w:rsid w:val="376A1DCA"/>
    <w:rsid w:val="376A1E45"/>
    <w:rsid w:val="376B0DD8"/>
    <w:rsid w:val="376B13CE"/>
    <w:rsid w:val="376B1D40"/>
    <w:rsid w:val="376B26E3"/>
    <w:rsid w:val="376B702A"/>
    <w:rsid w:val="376C105D"/>
    <w:rsid w:val="376C35F6"/>
    <w:rsid w:val="376C4B50"/>
    <w:rsid w:val="376C68FE"/>
    <w:rsid w:val="376D2DA2"/>
    <w:rsid w:val="376D2FC2"/>
    <w:rsid w:val="376E6B1A"/>
    <w:rsid w:val="376F04EE"/>
    <w:rsid w:val="376F660D"/>
    <w:rsid w:val="37704640"/>
    <w:rsid w:val="37707471"/>
    <w:rsid w:val="37712166"/>
    <w:rsid w:val="377207C1"/>
    <w:rsid w:val="37721F5F"/>
    <w:rsid w:val="3772660A"/>
    <w:rsid w:val="37737C8C"/>
    <w:rsid w:val="377432D3"/>
    <w:rsid w:val="37753963"/>
    <w:rsid w:val="37760655"/>
    <w:rsid w:val="37767142"/>
    <w:rsid w:val="377731A3"/>
    <w:rsid w:val="37781747"/>
    <w:rsid w:val="37782F78"/>
    <w:rsid w:val="37785D74"/>
    <w:rsid w:val="37797999"/>
    <w:rsid w:val="377A0694"/>
    <w:rsid w:val="377A101B"/>
    <w:rsid w:val="377C1AFF"/>
    <w:rsid w:val="377C2FE5"/>
    <w:rsid w:val="377C467F"/>
    <w:rsid w:val="377D5AF2"/>
    <w:rsid w:val="377D7015"/>
    <w:rsid w:val="377E111B"/>
    <w:rsid w:val="377E4FAF"/>
    <w:rsid w:val="377E7B5D"/>
    <w:rsid w:val="378105FB"/>
    <w:rsid w:val="378123A9"/>
    <w:rsid w:val="378400EB"/>
    <w:rsid w:val="37841E99"/>
    <w:rsid w:val="37850378"/>
    <w:rsid w:val="37861865"/>
    <w:rsid w:val="37866CC0"/>
    <w:rsid w:val="37866FD7"/>
    <w:rsid w:val="37872C98"/>
    <w:rsid w:val="37875755"/>
    <w:rsid w:val="37882877"/>
    <w:rsid w:val="37887BDC"/>
    <w:rsid w:val="37895702"/>
    <w:rsid w:val="378974B0"/>
    <w:rsid w:val="378A2E2C"/>
    <w:rsid w:val="378A6A48"/>
    <w:rsid w:val="378B1619"/>
    <w:rsid w:val="378B2478"/>
    <w:rsid w:val="378B5AE6"/>
    <w:rsid w:val="378C0D4E"/>
    <w:rsid w:val="378C1261"/>
    <w:rsid w:val="378C2AA9"/>
    <w:rsid w:val="378D53C9"/>
    <w:rsid w:val="378D5E54"/>
    <w:rsid w:val="378E3A17"/>
    <w:rsid w:val="378E79F0"/>
    <w:rsid w:val="3790083E"/>
    <w:rsid w:val="37947E9B"/>
    <w:rsid w:val="3795122B"/>
    <w:rsid w:val="379512A7"/>
    <w:rsid w:val="379522F8"/>
    <w:rsid w:val="3796262C"/>
    <w:rsid w:val="379700E2"/>
    <w:rsid w:val="37976071"/>
    <w:rsid w:val="37977E1F"/>
    <w:rsid w:val="37983B97"/>
    <w:rsid w:val="379876F3"/>
    <w:rsid w:val="379A16BD"/>
    <w:rsid w:val="379A346B"/>
    <w:rsid w:val="379B7BDF"/>
    <w:rsid w:val="379C3687"/>
    <w:rsid w:val="379C5435"/>
    <w:rsid w:val="379D2F5B"/>
    <w:rsid w:val="379E634E"/>
    <w:rsid w:val="379F4F25"/>
    <w:rsid w:val="37A11690"/>
    <w:rsid w:val="37A12812"/>
    <w:rsid w:val="37A12F76"/>
    <w:rsid w:val="37A147F9"/>
    <w:rsid w:val="37A14EAF"/>
    <w:rsid w:val="37A202EB"/>
    <w:rsid w:val="37A24CCF"/>
    <w:rsid w:val="37A361E3"/>
    <w:rsid w:val="37A3782F"/>
    <w:rsid w:val="37A411C9"/>
    <w:rsid w:val="37A61E10"/>
    <w:rsid w:val="37A64AE0"/>
    <w:rsid w:val="37A73E2E"/>
    <w:rsid w:val="37A77260"/>
    <w:rsid w:val="37A8202C"/>
    <w:rsid w:val="37A82148"/>
    <w:rsid w:val="37A832BD"/>
    <w:rsid w:val="37A91900"/>
    <w:rsid w:val="37AB1B1C"/>
    <w:rsid w:val="37AB2D8F"/>
    <w:rsid w:val="37AB5678"/>
    <w:rsid w:val="37AB5C1C"/>
    <w:rsid w:val="37AC0952"/>
    <w:rsid w:val="37AF776C"/>
    <w:rsid w:val="37B00763"/>
    <w:rsid w:val="37B00EE0"/>
    <w:rsid w:val="37B02C8E"/>
    <w:rsid w:val="37B15860"/>
    <w:rsid w:val="37B207B5"/>
    <w:rsid w:val="37B24C58"/>
    <w:rsid w:val="37B26A07"/>
    <w:rsid w:val="37B3112A"/>
    <w:rsid w:val="37B317BF"/>
    <w:rsid w:val="37B3277F"/>
    <w:rsid w:val="37B35C54"/>
    <w:rsid w:val="37B502A5"/>
    <w:rsid w:val="37B564F7"/>
    <w:rsid w:val="37B704C1"/>
    <w:rsid w:val="37B7226F"/>
    <w:rsid w:val="37B7401D"/>
    <w:rsid w:val="37B753FC"/>
    <w:rsid w:val="37B94697"/>
    <w:rsid w:val="37BA1D5F"/>
    <w:rsid w:val="37BA3B0D"/>
    <w:rsid w:val="37BB1BC8"/>
    <w:rsid w:val="37BB6FB7"/>
    <w:rsid w:val="37BC1633"/>
    <w:rsid w:val="37BC44D2"/>
    <w:rsid w:val="37BD459E"/>
    <w:rsid w:val="37BD53AB"/>
    <w:rsid w:val="37BE35FD"/>
    <w:rsid w:val="37BF0B55"/>
    <w:rsid w:val="37BF1123"/>
    <w:rsid w:val="37BF130A"/>
    <w:rsid w:val="37BF4AA8"/>
    <w:rsid w:val="37BF7375"/>
    <w:rsid w:val="37C02010"/>
    <w:rsid w:val="37C0630C"/>
    <w:rsid w:val="37C13BD4"/>
    <w:rsid w:val="37C16C4A"/>
    <w:rsid w:val="37C2610F"/>
    <w:rsid w:val="37C329C2"/>
    <w:rsid w:val="37C3625C"/>
    <w:rsid w:val="37C36BD9"/>
    <w:rsid w:val="37C4498C"/>
    <w:rsid w:val="37C52BDE"/>
    <w:rsid w:val="37C60704"/>
    <w:rsid w:val="37C624B2"/>
    <w:rsid w:val="37C700E5"/>
    <w:rsid w:val="37C70A79"/>
    <w:rsid w:val="37C80C83"/>
    <w:rsid w:val="37C8447C"/>
    <w:rsid w:val="37C869EA"/>
    <w:rsid w:val="37C91FA2"/>
    <w:rsid w:val="37CA01F4"/>
    <w:rsid w:val="37CA3F59"/>
    <w:rsid w:val="37CA5DAF"/>
    <w:rsid w:val="37CB0D0C"/>
    <w:rsid w:val="37CB5D1A"/>
    <w:rsid w:val="37CC121B"/>
    <w:rsid w:val="37CE0A36"/>
    <w:rsid w:val="37CE1367"/>
    <w:rsid w:val="37D03331"/>
    <w:rsid w:val="37D42E21"/>
    <w:rsid w:val="37D62F9C"/>
    <w:rsid w:val="37D73D98"/>
    <w:rsid w:val="37D746BF"/>
    <w:rsid w:val="37D82076"/>
    <w:rsid w:val="37D87A19"/>
    <w:rsid w:val="37D90437"/>
    <w:rsid w:val="37DA5F5D"/>
    <w:rsid w:val="37DB1C71"/>
    <w:rsid w:val="37DE77FC"/>
    <w:rsid w:val="37DF3574"/>
    <w:rsid w:val="37E1553E"/>
    <w:rsid w:val="37E172EC"/>
    <w:rsid w:val="37E335F2"/>
    <w:rsid w:val="37E42938"/>
    <w:rsid w:val="37E522B0"/>
    <w:rsid w:val="37E779DF"/>
    <w:rsid w:val="37E8067A"/>
    <w:rsid w:val="37E92D38"/>
    <w:rsid w:val="37EA43F2"/>
    <w:rsid w:val="37EB016A"/>
    <w:rsid w:val="37EB77D4"/>
    <w:rsid w:val="37EC20DC"/>
    <w:rsid w:val="37ED5C91"/>
    <w:rsid w:val="37ED6717"/>
    <w:rsid w:val="37EE37B7"/>
    <w:rsid w:val="37EE4216"/>
    <w:rsid w:val="37F012DD"/>
    <w:rsid w:val="37F0789F"/>
    <w:rsid w:val="37F232A7"/>
    <w:rsid w:val="37F30DCD"/>
    <w:rsid w:val="37F40831"/>
    <w:rsid w:val="37F60FE9"/>
    <w:rsid w:val="37F618D7"/>
    <w:rsid w:val="37F82C04"/>
    <w:rsid w:val="37F83E6E"/>
    <w:rsid w:val="37F92887"/>
    <w:rsid w:val="37FA03AE"/>
    <w:rsid w:val="37FA1570"/>
    <w:rsid w:val="37FE1012"/>
    <w:rsid w:val="37FE7E9E"/>
    <w:rsid w:val="37FF2CDF"/>
    <w:rsid w:val="37FF425B"/>
    <w:rsid w:val="37FF59C4"/>
    <w:rsid w:val="37FF7772"/>
    <w:rsid w:val="38001ED1"/>
    <w:rsid w:val="38003AF5"/>
    <w:rsid w:val="380056EB"/>
    <w:rsid w:val="3801798E"/>
    <w:rsid w:val="38030014"/>
    <w:rsid w:val="38037262"/>
    <w:rsid w:val="38042FDA"/>
    <w:rsid w:val="38050528"/>
    <w:rsid w:val="3805326F"/>
    <w:rsid w:val="38060035"/>
    <w:rsid w:val="3806155D"/>
    <w:rsid w:val="3806261C"/>
    <w:rsid w:val="380849F6"/>
    <w:rsid w:val="380921E6"/>
    <w:rsid w:val="38096E5E"/>
    <w:rsid w:val="380A05F1"/>
    <w:rsid w:val="380A246F"/>
    <w:rsid w:val="380B25BB"/>
    <w:rsid w:val="380B4369"/>
    <w:rsid w:val="380B69DF"/>
    <w:rsid w:val="380F20AB"/>
    <w:rsid w:val="3810372D"/>
    <w:rsid w:val="3810706C"/>
    <w:rsid w:val="38111241"/>
    <w:rsid w:val="381121CB"/>
    <w:rsid w:val="38113961"/>
    <w:rsid w:val="381256F7"/>
    <w:rsid w:val="3813768A"/>
    <w:rsid w:val="3814321D"/>
    <w:rsid w:val="381551E7"/>
    <w:rsid w:val="381579AD"/>
    <w:rsid w:val="38163439"/>
    <w:rsid w:val="38171F21"/>
    <w:rsid w:val="38174ABC"/>
    <w:rsid w:val="381758B5"/>
    <w:rsid w:val="38175AE8"/>
    <w:rsid w:val="381A19B9"/>
    <w:rsid w:val="381A4269"/>
    <w:rsid w:val="381A45AC"/>
    <w:rsid w:val="381B0A50"/>
    <w:rsid w:val="381B27FE"/>
    <w:rsid w:val="381B3A34"/>
    <w:rsid w:val="381C311D"/>
    <w:rsid w:val="381C6576"/>
    <w:rsid w:val="381E22EE"/>
    <w:rsid w:val="38207E14"/>
    <w:rsid w:val="382221C6"/>
    <w:rsid w:val="38231F99"/>
    <w:rsid w:val="38236B18"/>
    <w:rsid w:val="38237904"/>
    <w:rsid w:val="38262F51"/>
    <w:rsid w:val="382665FF"/>
    <w:rsid w:val="38271FD7"/>
    <w:rsid w:val="38286CC9"/>
    <w:rsid w:val="382947EF"/>
    <w:rsid w:val="382968DE"/>
    <w:rsid w:val="382A0D6E"/>
    <w:rsid w:val="382A2A41"/>
    <w:rsid w:val="382B0567"/>
    <w:rsid w:val="382B64B7"/>
    <w:rsid w:val="382C5E49"/>
    <w:rsid w:val="382F1026"/>
    <w:rsid w:val="382F433C"/>
    <w:rsid w:val="382F44FB"/>
    <w:rsid w:val="38303DCF"/>
    <w:rsid w:val="38305B7D"/>
    <w:rsid w:val="383175C4"/>
    <w:rsid w:val="38341B11"/>
    <w:rsid w:val="383438BF"/>
    <w:rsid w:val="38353194"/>
    <w:rsid w:val="3836588A"/>
    <w:rsid w:val="38367638"/>
    <w:rsid w:val="383A69FC"/>
    <w:rsid w:val="383B2EA0"/>
    <w:rsid w:val="383C09C6"/>
    <w:rsid w:val="383C3384"/>
    <w:rsid w:val="383F643E"/>
    <w:rsid w:val="384004B6"/>
    <w:rsid w:val="38404012"/>
    <w:rsid w:val="384168B8"/>
    <w:rsid w:val="3842527F"/>
    <w:rsid w:val="384314FF"/>
    <w:rsid w:val="38431685"/>
    <w:rsid w:val="38431D54"/>
    <w:rsid w:val="38433B03"/>
    <w:rsid w:val="38436C9B"/>
    <w:rsid w:val="38451629"/>
    <w:rsid w:val="3845549D"/>
    <w:rsid w:val="384571B6"/>
    <w:rsid w:val="3845787B"/>
    <w:rsid w:val="38471845"/>
    <w:rsid w:val="38483EE1"/>
    <w:rsid w:val="384855BD"/>
    <w:rsid w:val="384927BA"/>
    <w:rsid w:val="384963EE"/>
    <w:rsid w:val="384A4B29"/>
    <w:rsid w:val="384B0D96"/>
    <w:rsid w:val="384B29B7"/>
    <w:rsid w:val="384C270B"/>
    <w:rsid w:val="384C71EE"/>
    <w:rsid w:val="384D1AC5"/>
    <w:rsid w:val="384D2BD3"/>
    <w:rsid w:val="384D4981"/>
    <w:rsid w:val="384D672F"/>
    <w:rsid w:val="384E55E9"/>
    <w:rsid w:val="384E717A"/>
    <w:rsid w:val="384E7D53"/>
    <w:rsid w:val="384F05C2"/>
    <w:rsid w:val="384F06F9"/>
    <w:rsid w:val="384F2065"/>
    <w:rsid w:val="384F4255"/>
    <w:rsid w:val="384F470C"/>
    <w:rsid w:val="384F4942"/>
    <w:rsid w:val="384F6F52"/>
    <w:rsid w:val="38500133"/>
    <w:rsid w:val="38507FCD"/>
    <w:rsid w:val="38514058"/>
    <w:rsid w:val="3851621F"/>
    <w:rsid w:val="38516379"/>
    <w:rsid w:val="38516E03"/>
    <w:rsid w:val="38523D46"/>
    <w:rsid w:val="3853412E"/>
    <w:rsid w:val="38543F62"/>
    <w:rsid w:val="38553914"/>
    <w:rsid w:val="385555E4"/>
    <w:rsid w:val="38563CEB"/>
    <w:rsid w:val="38576207"/>
    <w:rsid w:val="385775AE"/>
    <w:rsid w:val="38591578"/>
    <w:rsid w:val="38593326"/>
    <w:rsid w:val="385A5257"/>
    <w:rsid w:val="385B52F0"/>
    <w:rsid w:val="385B709E"/>
    <w:rsid w:val="385C2357"/>
    <w:rsid w:val="385C5D8D"/>
    <w:rsid w:val="385D6D40"/>
    <w:rsid w:val="385E0F3C"/>
    <w:rsid w:val="385E26EA"/>
    <w:rsid w:val="385E6B8E"/>
    <w:rsid w:val="386046B4"/>
    <w:rsid w:val="38607D1C"/>
    <w:rsid w:val="386121DB"/>
    <w:rsid w:val="38613F89"/>
    <w:rsid w:val="3861528B"/>
    <w:rsid w:val="38633051"/>
    <w:rsid w:val="38635397"/>
    <w:rsid w:val="38635F53"/>
    <w:rsid w:val="386473A8"/>
    <w:rsid w:val="38662AA4"/>
    <w:rsid w:val="386677F1"/>
    <w:rsid w:val="3867746A"/>
    <w:rsid w:val="38680B00"/>
    <w:rsid w:val="386970ED"/>
    <w:rsid w:val="38697929"/>
    <w:rsid w:val="386A108F"/>
    <w:rsid w:val="386A2DCC"/>
    <w:rsid w:val="386A5533"/>
    <w:rsid w:val="386B4E07"/>
    <w:rsid w:val="386B6291"/>
    <w:rsid w:val="386D0B7F"/>
    <w:rsid w:val="386D2675"/>
    <w:rsid w:val="386D5023"/>
    <w:rsid w:val="386D6DD1"/>
    <w:rsid w:val="386F2B4A"/>
    <w:rsid w:val="38701C5D"/>
    <w:rsid w:val="3870241E"/>
    <w:rsid w:val="387065B5"/>
    <w:rsid w:val="38706A5B"/>
    <w:rsid w:val="38710670"/>
    <w:rsid w:val="3872263A"/>
    <w:rsid w:val="38733509"/>
    <w:rsid w:val="387404BE"/>
    <w:rsid w:val="38743CBC"/>
    <w:rsid w:val="387463B2"/>
    <w:rsid w:val="387649E9"/>
    <w:rsid w:val="38764AB1"/>
    <w:rsid w:val="387652F6"/>
    <w:rsid w:val="38765C86"/>
    <w:rsid w:val="38775871"/>
    <w:rsid w:val="387A1542"/>
    <w:rsid w:val="387A419F"/>
    <w:rsid w:val="387C4A90"/>
    <w:rsid w:val="387D286A"/>
    <w:rsid w:val="387E0FDF"/>
    <w:rsid w:val="387E5915"/>
    <w:rsid w:val="387E67D0"/>
    <w:rsid w:val="387E6AA8"/>
    <w:rsid w:val="387F1B24"/>
    <w:rsid w:val="38804D57"/>
    <w:rsid w:val="3881462B"/>
    <w:rsid w:val="388163D9"/>
    <w:rsid w:val="388173D4"/>
    <w:rsid w:val="38827A75"/>
    <w:rsid w:val="388365F5"/>
    <w:rsid w:val="38845CFA"/>
    <w:rsid w:val="3885411B"/>
    <w:rsid w:val="38855EC9"/>
    <w:rsid w:val="38871C41"/>
    <w:rsid w:val="38873FF8"/>
    <w:rsid w:val="38875487"/>
    <w:rsid w:val="38877EE4"/>
    <w:rsid w:val="38883C0B"/>
    <w:rsid w:val="38887767"/>
    <w:rsid w:val="38895A84"/>
    <w:rsid w:val="38895E85"/>
    <w:rsid w:val="388A3C94"/>
    <w:rsid w:val="388B0C24"/>
    <w:rsid w:val="388B14B0"/>
    <w:rsid w:val="388C3BAD"/>
    <w:rsid w:val="388C54AA"/>
    <w:rsid w:val="388E7474"/>
    <w:rsid w:val="388F0AF6"/>
    <w:rsid w:val="388F4F9A"/>
    <w:rsid w:val="388F5F3C"/>
    <w:rsid w:val="38917CBE"/>
    <w:rsid w:val="38923B67"/>
    <w:rsid w:val="38961E84"/>
    <w:rsid w:val="38967818"/>
    <w:rsid w:val="38974E08"/>
    <w:rsid w:val="38975BFC"/>
    <w:rsid w:val="38993E43"/>
    <w:rsid w:val="389B393F"/>
    <w:rsid w:val="389B3D66"/>
    <w:rsid w:val="389B56ED"/>
    <w:rsid w:val="389C5AD9"/>
    <w:rsid w:val="389E45F0"/>
    <w:rsid w:val="389E6A5F"/>
    <w:rsid w:val="389F35EE"/>
    <w:rsid w:val="38A00F55"/>
    <w:rsid w:val="38A02D03"/>
    <w:rsid w:val="38A04AB1"/>
    <w:rsid w:val="38A17789"/>
    <w:rsid w:val="38A30A45"/>
    <w:rsid w:val="38A345A1"/>
    <w:rsid w:val="38A3693A"/>
    <w:rsid w:val="38A42ACA"/>
    <w:rsid w:val="38A442FB"/>
    <w:rsid w:val="38A50319"/>
    <w:rsid w:val="38A609F8"/>
    <w:rsid w:val="38A65E3F"/>
    <w:rsid w:val="38A731BC"/>
    <w:rsid w:val="38A8605B"/>
    <w:rsid w:val="38AA1DD4"/>
    <w:rsid w:val="38AD1BFF"/>
    <w:rsid w:val="38AE2948"/>
    <w:rsid w:val="38AE3672"/>
    <w:rsid w:val="38AF1198"/>
    <w:rsid w:val="38AF2A08"/>
    <w:rsid w:val="38AF752B"/>
    <w:rsid w:val="38B05758"/>
    <w:rsid w:val="38B14F10"/>
    <w:rsid w:val="38B22A36"/>
    <w:rsid w:val="38B30C88"/>
    <w:rsid w:val="38B357A5"/>
    <w:rsid w:val="38B36EDA"/>
    <w:rsid w:val="38B4055C"/>
    <w:rsid w:val="38B478C6"/>
    <w:rsid w:val="38B55C48"/>
    <w:rsid w:val="38B60778"/>
    <w:rsid w:val="38B7004D"/>
    <w:rsid w:val="38B706D0"/>
    <w:rsid w:val="38B7661D"/>
    <w:rsid w:val="38B85882"/>
    <w:rsid w:val="38B866AC"/>
    <w:rsid w:val="38B901A2"/>
    <w:rsid w:val="38B9507A"/>
    <w:rsid w:val="38BB5D8F"/>
    <w:rsid w:val="38BC03FA"/>
    <w:rsid w:val="38BC04E9"/>
    <w:rsid w:val="38BC0936"/>
    <w:rsid w:val="38BD1B07"/>
    <w:rsid w:val="38BE081D"/>
    <w:rsid w:val="38BE2B84"/>
    <w:rsid w:val="38BF6081"/>
    <w:rsid w:val="38C00F91"/>
    <w:rsid w:val="38C033A5"/>
    <w:rsid w:val="38C06F01"/>
    <w:rsid w:val="38C10456"/>
    <w:rsid w:val="38C23634"/>
    <w:rsid w:val="38C2711D"/>
    <w:rsid w:val="38C369F1"/>
    <w:rsid w:val="38C45433"/>
    <w:rsid w:val="38C5276A"/>
    <w:rsid w:val="38C56C0D"/>
    <w:rsid w:val="38C634C2"/>
    <w:rsid w:val="38C717A7"/>
    <w:rsid w:val="38C74D5D"/>
    <w:rsid w:val="38C74F8C"/>
    <w:rsid w:val="38C83C36"/>
    <w:rsid w:val="38C83EBE"/>
    <w:rsid w:val="38CA7D80"/>
    <w:rsid w:val="38CC0AB7"/>
    <w:rsid w:val="38CC317A"/>
    <w:rsid w:val="38CC3AF8"/>
    <w:rsid w:val="38CC558B"/>
    <w:rsid w:val="38CC7030"/>
    <w:rsid w:val="38CC7F9C"/>
    <w:rsid w:val="38CD0F8C"/>
    <w:rsid w:val="38CD22F1"/>
    <w:rsid w:val="38CD2BB0"/>
    <w:rsid w:val="38CD4ED7"/>
    <w:rsid w:val="38CD7870"/>
    <w:rsid w:val="38CE5AC2"/>
    <w:rsid w:val="38CF183A"/>
    <w:rsid w:val="38CF7681"/>
    <w:rsid w:val="38D022E2"/>
    <w:rsid w:val="38D155B2"/>
    <w:rsid w:val="38D17360"/>
    <w:rsid w:val="38D25C01"/>
    <w:rsid w:val="38D30D48"/>
    <w:rsid w:val="38D34E86"/>
    <w:rsid w:val="38D40BFF"/>
    <w:rsid w:val="38D429AD"/>
    <w:rsid w:val="38D46E50"/>
    <w:rsid w:val="38D64C86"/>
    <w:rsid w:val="38D66725"/>
    <w:rsid w:val="38D66F19"/>
    <w:rsid w:val="38D70B59"/>
    <w:rsid w:val="38D94467"/>
    <w:rsid w:val="38D96215"/>
    <w:rsid w:val="38D973D1"/>
    <w:rsid w:val="38DB01DF"/>
    <w:rsid w:val="38DB1F8D"/>
    <w:rsid w:val="38DB3D3B"/>
    <w:rsid w:val="38DC7D35"/>
    <w:rsid w:val="38DE55D9"/>
    <w:rsid w:val="38DE6278"/>
    <w:rsid w:val="38DF025F"/>
    <w:rsid w:val="38E008DD"/>
    <w:rsid w:val="38E069CE"/>
    <w:rsid w:val="38E216DC"/>
    <w:rsid w:val="38E2331B"/>
    <w:rsid w:val="38E30E42"/>
    <w:rsid w:val="38E3340E"/>
    <w:rsid w:val="38E36D01"/>
    <w:rsid w:val="38E452E6"/>
    <w:rsid w:val="38E56A9F"/>
    <w:rsid w:val="38E726E0"/>
    <w:rsid w:val="38E76B84"/>
    <w:rsid w:val="38E86458"/>
    <w:rsid w:val="38E928FC"/>
    <w:rsid w:val="38EC2668"/>
    <w:rsid w:val="38EC5F48"/>
    <w:rsid w:val="38EE1CC0"/>
    <w:rsid w:val="38EE5026"/>
    <w:rsid w:val="38EE7F12"/>
    <w:rsid w:val="38EF3C8A"/>
    <w:rsid w:val="38F1255A"/>
    <w:rsid w:val="38F14160"/>
    <w:rsid w:val="38F17A02"/>
    <w:rsid w:val="38F26354"/>
    <w:rsid w:val="38F372D7"/>
    <w:rsid w:val="38F44DFD"/>
    <w:rsid w:val="38F47B30"/>
    <w:rsid w:val="38F5563B"/>
    <w:rsid w:val="38F55823"/>
    <w:rsid w:val="38F670C6"/>
    <w:rsid w:val="38F675FB"/>
    <w:rsid w:val="38F90665"/>
    <w:rsid w:val="38F91371"/>
    <w:rsid w:val="38FA74F2"/>
    <w:rsid w:val="38FB0FD7"/>
    <w:rsid w:val="38FB43DD"/>
    <w:rsid w:val="38FC2B25"/>
    <w:rsid w:val="38FD1F03"/>
    <w:rsid w:val="38FD63A7"/>
    <w:rsid w:val="38FE5445"/>
    <w:rsid w:val="38FE57FB"/>
    <w:rsid w:val="38FE5C7B"/>
    <w:rsid w:val="38FE7A29"/>
    <w:rsid w:val="38FF39F5"/>
    <w:rsid w:val="390239BE"/>
    <w:rsid w:val="3902751A"/>
    <w:rsid w:val="390457F6"/>
    <w:rsid w:val="3905700A"/>
    <w:rsid w:val="390642CC"/>
    <w:rsid w:val="39070FD4"/>
    <w:rsid w:val="39071754"/>
    <w:rsid w:val="39072D82"/>
    <w:rsid w:val="390908A8"/>
    <w:rsid w:val="39094D4C"/>
    <w:rsid w:val="39096AFA"/>
    <w:rsid w:val="390A4620"/>
    <w:rsid w:val="390B1DB1"/>
    <w:rsid w:val="390B5629"/>
    <w:rsid w:val="390C45FC"/>
    <w:rsid w:val="390D7003"/>
    <w:rsid w:val="390E5EBF"/>
    <w:rsid w:val="390F1C37"/>
    <w:rsid w:val="390F6270"/>
    <w:rsid w:val="391060DB"/>
    <w:rsid w:val="39113C01"/>
    <w:rsid w:val="39137979"/>
    <w:rsid w:val="39140DAC"/>
    <w:rsid w:val="391724AE"/>
    <w:rsid w:val="39183AD1"/>
    <w:rsid w:val="39187C1C"/>
    <w:rsid w:val="391A1D33"/>
    <w:rsid w:val="391D0741"/>
    <w:rsid w:val="391D07F7"/>
    <w:rsid w:val="391D3E4B"/>
    <w:rsid w:val="391D4354"/>
    <w:rsid w:val="391E32EE"/>
    <w:rsid w:val="391E3C38"/>
    <w:rsid w:val="391F00CC"/>
    <w:rsid w:val="391F0E90"/>
    <w:rsid w:val="391F5EBF"/>
    <w:rsid w:val="391F631E"/>
    <w:rsid w:val="39202096"/>
    <w:rsid w:val="39215D79"/>
    <w:rsid w:val="392244EE"/>
    <w:rsid w:val="39225E0E"/>
    <w:rsid w:val="39230172"/>
    <w:rsid w:val="39237490"/>
    <w:rsid w:val="39241B86"/>
    <w:rsid w:val="39241D31"/>
    <w:rsid w:val="39241D5A"/>
    <w:rsid w:val="392456E2"/>
    <w:rsid w:val="39247160"/>
    <w:rsid w:val="392504E1"/>
    <w:rsid w:val="39251AAB"/>
    <w:rsid w:val="39264323"/>
    <w:rsid w:val="39282B4D"/>
    <w:rsid w:val="3929701B"/>
    <w:rsid w:val="392A6A70"/>
    <w:rsid w:val="392C0A3B"/>
    <w:rsid w:val="392C1112"/>
    <w:rsid w:val="392C576B"/>
    <w:rsid w:val="392D2ABF"/>
    <w:rsid w:val="392E030F"/>
    <w:rsid w:val="392E47B3"/>
    <w:rsid w:val="3930278C"/>
    <w:rsid w:val="3931234C"/>
    <w:rsid w:val="393253AF"/>
    <w:rsid w:val="39331DC9"/>
    <w:rsid w:val="3934169D"/>
    <w:rsid w:val="39354F1D"/>
    <w:rsid w:val="39355B41"/>
    <w:rsid w:val="393578EF"/>
    <w:rsid w:val="39362A05"/>
    <w:rsid w:val="39367CA0"/>
    <w:rsid w:val="39372FC9"/>
    <w:rsid w:val="39382F3B"/>
    <w:rsid w:val="39386A66"/>
    <w:rsid w:val="39396CB4"/>
    <w:rsid w:val="393A152A"/>
    <w:rsid w:val="393A1CDC"/>
    <w:rsid w:val="393A3157"/>
    <w:rsid w:val="393B0C7E"/>
    <w:rsid w:val="393B2DC5"/>
    <w:rsid w:val="393B7CFC"/>
    <w:rsid w:val="393C5E43"/>
    <w:rsid w:val="393D0552"/>
    <w:rsid w:val="393D49F6"/>
    <w:rsid w:val="393D53DF"/>
    <w:rsid w:val="393D67A4"/>
    <w:rsid w:val="393F49A1"/>
    <w:rsid w:val="39406294"/>
    <w:rsid w:val="3941687A"/>
    <w:rsid w:val="39420AEC"/>
    <w:rsid w:val="39444EDD"/>
    <w:rsid w:val="39445D84"/>
    <w:rsid w:val="39451DDC"/>
    <w:rsid w:val="39455658"/>
    <w:rsid w:val="39461AFC"/>
    <w:rsid w:val="394713D0"/>
    <w:rsid w:val="39475874"/>
    <w:rsid w:val="39480DDF"/>
    <w:rsid w:val="394836C2"/>
    <w:rsid w:val="394A26D1"/>
    <w:rsid w:val="394A2C6F"/>
    <w:rsid w:val="394B7113"/>
    <w:rsid w:val="394C2E8B"/>
    <w:rsid w:val="394C61B4"/>
    <w:rsid w:val="394C69E7"/>
    <w:rsid w:val="394D1B49"/>
    <w:rsid w:val="394D39CC"/>
    <w:rsid w:val="394E6C03"/>
    <w:rsid w:val="394F348A"/>
    <w:rsid w:val="39501A09"/>
    <w:rsid w:val="39504CED"/>
    <w:rsid w:val="395104A1"/>
    <w:rsid w:val="3951178E"/>
    <w:rsid w:val="3951760D"/>
    <w:rsid w:val="39522C7F"/>
    <w:rsid w:val="39525558"/>
    <w:rsid w:val="3953173E"/>
    <w:rsid w:val="39536BCB"/>
    <w:rsid w:val="39537D75"/>
    <w:rsid w:val="395568D4"/>
    <w:rsid w:val="39557F91"/>
    <w:rsid w:val="39561614"/>
    <w:rsid w:val="39581BC9"/>
    <w:rsid w:val="395A0729"/>
    <w:rsid w:val="395A1104"/>
    <w:rsid w:val="395A7356"/>
    <w:rsid w:val="395B49D1"/>
    <w:rsid w:val="395C0A08"/>
    <w:rsid w:val="395C3290"/>
    <w:rsid w:val="395C794D"/>
    <w:rsid w:val="395D0BF4"/>
    <w:rsid w:val="395D29A2"/>
    <w:rsid w:val="395D6E46"/>
    <w:rsid w:val="395E1491"/>
    <w:rsid w:val="395E7E49"/>
    <w:rsid w:val="395F27FC"/>
    <w:rsid w:val="395F2BBE"/>
    <w:rsid w:val="396106E4"/>
    <w:rsid w:val="3962445C"/>
    <w:rsid w:val="396407BE"/>
    <w:rsid w:val="39641F82"/>
    <w:rsid w:val="39642A9D"/>
    <w:rsid w:val="39643D30"/>
    <w:rsid w:val="396513C2"/>
    <w:rsid w:val="39657AA9"/>
    <w:rsid w:val="39661238"/>
    <w:rsid w:val="39662D1B"/>
    <w:rsid w:val="39663F4D"/>
    <w:rsid w:val="39671A73"/>
    <w:rsid w:val="39685B45"/>
    <w:rsid w:val="3968777F"/>
    <w:rsid w:val="39691347"/>
    <w:rsid w:val="39697599"/>
    <w:rsid w:val="396A68A4"/>
    <w:rsid w:val="396B18F5"/>
    <w:rsid w:val="396B3311"/>
    <w:rsid w:val="396C1F81"/>
    <w:rsid w:val="396C4215"/>
    <w:rsid w:val="396C4AED"/>
    <w:rsid w:val="396D69D1"/>
    <w:rsid w:val="396E1053"/>
    <w:rsid w:val="396E4BAF"/>
    <w:rsid w:val="396E7A6D"/>
    <w:rsid w:val="397167E6"/>
    <w:rsid w:val="397228F1"/>
    <w:rsid w:val="39736CE6"/>
    <w:rsid w:val="39741150"/>
    <w:rsid w:val="39753B47"/>
    <w:rsid w:val="39761CB6"/>
    <w:rsid w:val="39763A64"/>
    <w:rsid w:val="39777E98"/>
    <w:rsid w:val="39783C80"/>
    <w:rsid w:val="397A3554"/>
    <w:rsid w:val="397A79F8"/>
    <w:rsid w:val="397B647A"/>
    <w:rsid w:val="397B72CC"/>
    <w:rsid w:val="397C39E8"/>
    <w:rsid w:val="397D29BD"/>
    <w:rsid w:val="397D5E61"/>
    <w:rsid w:val="397E3B4A"/>
    <w:rsid w:val="397F0B6A"/>
    <w:rsid w:val="39800729"/>
    <w:rsid w:val="3980525C"/>
    <w:rsid w:val="39811679"/>
    <w:rsid w:val="39836226"/>
    <w:rsid w:val="39842625"/>
    <w:rsid w:val="39843BDD"/>
    <w:rsid w:val="3986257F"/>
    <w:rsid w:val="39873656"/>
    <w:rsid w:val="39873EC3"/>
    <w:rsid w:val="39875C71"/>
    <w:rsid w:val="3988799D"/>
    <w:rsid w:val="39891990"/>
    <w:rsid w:val="39891E47"/>
    <w:rsid w:val="39897A4F"/>
    <w:rsid w:val="39897C3B"/>
    <w:rsid w:val="398B4FC2"/>
    <w:rsid w:val="398B5761"/>
    <w:rsid w:val="398B750F"/>
    <w:rsid w:val="39900FC9"/>
    <w:rsid w:val="39902180"/>
    <w:rsid w:val="39902D77"/>
    <w:rsid w:val="399063D5"/>
    <w:rsid w:val="39915835"/>
    <w:rsid w:val="39916AF0"/>
    <w:rsid w:val="39927671"/>
    <w:rsid w:val="39932868"/>
    <w:rsid w:val="39941F91"/>
    <w:rsid w:val="3994380B"/>
    <w:rsid w:val="39944791"/>
    <w:rsid w:val="3995600B"/>
    <w:rsid w:val="399565E0"/>
    <w:rsid w:val="39971641"/>
    <w:rsid w:val="39974106"/>
    <w:rsid w:val="399860D0"/>
    <w:rsid w:val="39997265"/>
    <w:rsid w:val="399A2D6E"/>
    <w:rsid w:val="399A59A4"/>
    <w:rsid w:val="399B085D"/>
    <w:rsid w:val="399B34CA"/>
    <w:rsid w:val="399D36E6"/>
    <w:rsid w:val="399D5494"/>
    <w:rsid w:val="399F2FBB"/>
    <w:rsid w:val="399F745E"/>
    <w:rsid w:val="39A01EBE"/>
    <w:rsid w:val="39A03024"/>
    <w:rsid w:val="39A04403"/>
    <w:rsid w:val="39A20CFD"/>
    <w:rsid w:val="39A22387"/>
    <w:rsid w:val="39A22AAB"/>
    <w:rsid w:val="39A24859"/>
    <w:rsid w:val="39A30947"/>
    <w:rsid w:val="39A3471A"/>
    <w:rsid w:val="39A503F4"/>
    <w:rsid w:val="39A55527"/>
    <w:rsid w:val="39A572D1"/>
    <w:rsid w:val="39A6259B"/>
    <w:rsid w:val="39A66758"/>
    <w:rsid w:val="39A66F8D"/>
    <w:rsid w:val="39A82FD8"/>
    <w:rsid w:val="39A84565"/>
    <w:rsid w:val="39A93E39"/>
    <w:rsid w:val="39A94468"/>
    <w:rsid w:val="39AA58F8"/>
    <w:rsid w:val="39AB2E16"/>
    <w:rsid w:val="39AB5E03"/>
    <w:rsid w:val="39AC2DE9"/>
    <w:rsid w:val="39AD1B7B"/>
    <w:rsid w:val="39AD3AA2"/>
    <w:rsid w:val="39AD7CF8"/>
    <w:rsid w:val="39AE501A"/>
    <w:rsid w:val="39AE76A2"/>
    <w:rsid w:val="39AF176A"/>
    <w:rsid w:val="39B0341A"/>
    <w:rsid w:val="39B12CEE"/>
    <w:rsid w:val="39B25792"/>
    <w:rsid w:val="39B27192"/>
    <w:rsid w:val="39B34CB8"/>
    <w:rsid w:val="39B60304"/>
    <w:rsid w:val="39B747A8"/>
    <w:rsid w:val="39B75773"/>
    <w:rsid w:val="39BA1BA2"/>
    <w:rsid w:val="39BA6041"/>
    <w:rsid w:val="39BA7DF4"/>
    <w:rsid w:val="39BC1DBE"/>
    <w:rsid w:val="39BC4148"/>
    <w:rsid w:val="39BD1693"/>
    <w:rsid w:val="39BD262D"/>
    <w:rsid w:val="39BD78E5"/>
    <w:rsid w:val="39BF63D7"/>
    <w:rsid w:val="39C11183"/>
    <w:rsid w:val="39C11211"/>
    <w:rsid w:val="39C173D5"/>
    <w:rsid w:val="39C24A13"/>
    <w:rsid w:val="39C3314D"/>
    <w:rsid w:val="39C40C73"/>
    <w:rsid w:val="39C41EC4"/>
    <w:rsid w:val="39C50DBF"/>
    <w:rsid w:val="39C62CD0"/>
    <w:rsid w:val="39C72511"/>
    <w:rsid w:val="39C80763"/>
    <w:rsid w:val="39C83015"/>
    <w:rsid w:val="39C84DD3"/>
    <w:rsid w:val="39C944DB"/>
    <w:rsid w:val="39CA4BE7"/>
    <w:rsid w:val="39CA6372"/>
    <w:rsid w:val="39CB0899"/>
    <w:rsid w:val="39CB6AE3"/>
    <w:rsid w:val="39CD2122"/>
    <w:rsid w:val="39CD389F"/>
    <w:rsid w:val="39CD7B28"/>
    <w:rsid w:val="39CE38A0"/>
    <w:rsid w:val="39CE564E"/>
    <w:rsid w:val="39CF62D7"/>
    <w:rsid w:val="39CF709F"/>
    <w:rsid w:val="39D07590"/>
    <w:rsid w:val="39D10532"/>
    <w:rsid w:val="39D13637"/>
    <w:rsid w:val="39D1586F"/>
    <w:rsid w:val="39D215E2"/>
    <w:rsid w:val="39D35B07"/>
    <w:rsid w:val="39D37108"/>
    <w:rsid w:val="39D446C3"/>
    <w:rsid w:val="39D4535A"/>
    <w:rsid w:val="39D52E80"/>
    <w:rsid w:val="39D54C2E"/>
    <w:rsid w:val="39D569DC"/>
    <w:rsid w:val="39D61D44"/>
    <w:rsid w:val="39D661B7"/>
    <w:rsid w:val="39D72754"/>
    <w:rsid w:val="39D902C9"/>
    <w:rsid w:val="39D906C5"/>
    <w:rsid w:val="39D972DA"/>
    <w:rsid w:val="39DA6378"/>
    <w:rsid w:val="39DB55CB"/>
    <w:rsid w:val="39DB7219"/>
    <w:rsid w:val="39DB72F7"/>
    <w:rsid w:val="39DC5FBD"/>
    <w:rsid w:val="39DD3AE3"/>
    <w:rsid w:val="39DD479C"/>
    <w:rsid w:val="39DD7046"/>
    <w:rsid w:val="39DE1D35"/>
    <w:rsid w:val="39DF3CFF"/>
    <w:rsid w:val="39DF4537"/>
    <w:rsid w:val="39DF5AAD"/>
    <w:rsid w:val="39DF785B"/>
    <w:rsid w:val="39E04933"/>
    <w:rsid w:val="39E11825"/>
    <w:rsid w:val="39E135D3"/>
    <w:rsid w:val="39E140B0"/>
    <w:rsid w:val="39E15381"/>
    <w:rsid w:val="39E34348"/>
    <w:rsid w:val="39E3559D"/>
    <w:rsid w:val="39E41C84"/>
    <w:rsid w:val="39E52ED3"/>
    <w:rsid w:val="39E60BE9"/>
    <w:rsid w:val="39E62997"/>
    <w:rsid w:val="39E66E3B"/>
    <w:rsid w:val="39E72CC9"/>
    <w:rsid w:val="39E76710"/>
    <w:rsid w:val="39E82BB3"/>
    <w:rsid w:val="39E84962"/>
    <w:rsid w:val="39EA2B7D"/>
    <w:rsid w:val="39EA6A06"/>
    <w:rsid w:val="39EB26A4"/>
    <w:rsid w:val="39EB6200"/>
    <w:rsid w:val="39ED1F78"/>
    <w:rsid w:val="39EF1FDC"/>
    <w:rsid w:val="39EF692A"/>
    <w:rsid w:val="39F074EB"/>
    <w:rsid w:val="39F07CBA"/>
    <w:rsid w:val="39F50E2C"/>
    <w:rsid w:val="39F552D0"/>
    <w:rsid w:val="39F5707E"/>
    <w:rsid w:val="39F80FEC"/>
    <w:rsid w:val="39F81EAF"/>
    <w:rsid w:val="39F87A2A"/>
    <w:rsid w:val="39F90AA6"/>
    <w:rsid w:val="39F9158B"/>
    <w:rsid w:val="39F94DC1"/>
    <w:rsid w:val="39F96B6F"/>
    <w:rsid w:val="39FA4695"/>
    <w:rsid w:val="39FC21BB"/>
    <w:rsid w:val="39FD5F33"/>
    <w:rsid w:val="39FE23D7"/>
    <w:rsid w:val="39FE2691"/>
    <w:rsid w:val="39FF3A59"/>
    <w:rsid w:val="39FF7CCF"/>
    <w:rsid w:val="39FF7EFD"/>
    <w:rsid w:val="3A0011DA"/>
    <w:rsid w:val="3A013C75"/>
    <w:rsid w:val="3A0177D1"/>
    <w:rsid w:val="3A04304D"/>
    <w:rsid w:val="3A044B4A"/>
    <w:rsid w:val="3A053765"/>
    <w:rsid w:val="3A06303A"/>
    <w:rsid w:val="3A0726EF"/>
    <w:rsid w:val="3A074A4B"/>
    <w:rsid w:val="3A086DB2"/>
    <w:rsid w:val="3A096D61"/>
    <w:rsid w:val="3A0A0C34"/>
    <w:rsid w:val="3A0A10D6"/>
    <w:rsid w:val="3A0A216B"/>
    <w:rsid w:val="3A0A716C"/>
    <w:rsid w:val="3A0B0650"/>
    <w:rsid w:val="3A0D6176"/>
    <w:rsid w:val="3A0E0140"/>
    <w:rsid w:val="3A0E1EEE"/>
    <w:rsid w:val="3A0E4CE1"/>
    <w:rsid w:val="3A0F29CB"/>
    <w:rsid w:val="3A0F3A45"/>
    <w:rsid w:val="3A10210A"/>
    <w:rsid w:val="3A105FA1"/>
    <w:rsid w:val="3A1219DE"/>
    <w:rsid w:val="3A130C60"/>
    <w:rsid w:val="3A136697"/>
    <w:rsid w:val="3A1448B7"/>
    <w:rsid w:val="3A1478AA"/>
    <w:rsid w:val="3A150604"/>
    <w:rsid w:val="3A154D31"/>
    <w:rsid w:val="3A157721"/>
    <w:rsid w:val="3A162F3D"/>
    <w:rsid w:val="3A166F54"/>
    <w:rsid w:val="3A1802A8"/>
    <w:rsid w:val="3A182A4E"/>
    <w:rsid w:val="3A18321C"/>
    <w:rsid w:val="3A18450B"/>
    <w:rsid w:val="3A184B1B"/>
    <w:rsid w:val="3A197299"/>
    <w:rsid w:val="3A1A4D37"/>
    <w:rsid w:val="3A1C0AAF"/>
    <w:rsid w:val="3A1C285D"/>
    <w:rsid w:val="3A1C5C1A"/>
    <w:rsid w:val="3A1E0383"/>
    <w:rsid w:val="3A1E65D5"/>
    <w:rsid w:val="3A1F14D4"/>
    <w:rsid w:val="3A1F234D"/>
    <w:rsid w:val="3A1F40FB"/>
    <w:rsid w:val="3A20172A"/>
    <w:rsid w:val="3A204461"/>
    <w:rsid w:val="3A23096C"/>
    <w:rsid w:val="3A2326D2"/>
    <w:rsid w:val="3A233BEC"/>
    <w:rsid w:val="3A241712"/>
    <w:rsid w:val="3A2443AC"/>
    <w:rsid w:val="3A255109"/>
    <w:rsid w:val="3A2556F1"/>
    <w:rsid w:val="3A2636DC"/>
    <w:rsid w:val="3A26548A"/>
    <w:rsid w:val="3A266E50"/>
    <w:rsid w:val="3A282FB0"/>
    <w:rsid w:val="3A2A4F7A"/>
    <w:rsid w:val="3A2A6ADD"/>
    <w:rsid w:val="3A2B205A"/>
    <w:rsid w:val="3A2B423D"/>
    <w:rsid w:val="3A2C08FF"/>
    <w:rsid w:val="3A2D586C"/>
    <w:rsid w:val="3A2D6B9F"/>
    <w:rsid w:val="3A2E0608"/>
    <w:rsid w:val="3A2F2590"/>
    <w:rsid w:val="3A2F58CC"/>
    <w:rsid w:val="3A3000B7"/>
    <w:rsid w:val="3A30455A"/>
    <w:rsid w:val="3A347611"/>
    <w:rsid w:val="3A347BA7"/>
    <w:rsid w:val="3A3556CD"/>
    <w:rsid w:val="3A361B71"/>
    <w:rsid w:val="3A361CCD"/>
    <w:rsid w:val="3A371445"/>
    <w:rsid w:val="3A3758E9"/>
    <w:rsid w:val="3A392571"/>
    <w:rsid w:val="3A3C2EFF"/>
    <w:rsid w:val="3A3C6A5B"/>
    <w:rsid w:val="3A3E0A25"/>
    <w:rsid w:val="3A3E6C77"/>
    <w:rsid w:val="3A3F02FA"/>
    <w:rsid w:val="3A3F1290"/>
    <w:rsid w:val="3A3F7873"/>
    <w:rsid w:val="3A403717"/>
    <w:rsid w:val="3A430129"/>
    <w:rsid w:val="3A430DC5"/>
    <w:rsid w:val="3A434E4D"/>
    <w:rsid w:val="3A437DEA"/>
    <w:rsid w:val="3A4427DD"/>
    <w:rsid w:val="3A446194"/>
    <w:rsid w:val="3A4554C0"/>
    <w:rsid w:val="3A461688"/>
    <w:rsid w:val="3A464B75"/>
    <w:rsid w:val="3A46626E"/>
    <w:rsid w:val="3A4667E2"/>
    <w:rsid w:val="3A47088A"/>
    <w:rsid w:val="3A476A7B"/>
    <w:rsid w:val="3A485400"/>
    <w:rsid w:val="3A486714"/>
    <w:rsid w:val="3A4C0835"/>
    <w:rsid w:val="3A4C4242"/>
    <w:rsid w:val="3A4E00F7"/>
    <w:rsid w:val="3A4F2C33"/>
    <w:rsid w:val="3A500759"/>
    <w:rsid w:val="3A5007F7"/>
    <w:rsid w:val="3A510ED9"/>
    <w:rsid w:val="3A5244D1"/>
    <w:rsid w:val="3A533F40"/>
    <w:rsid w:val="3A536E8F"/>
    <w:rsid w:val="3A553D10"/>
    <w:rsid w:val="3A555D6F"/>
    <w:rsid w:val="3A561E5C"/>
    <w:rsid w:val="3A573895"/>
    <w:rsid w:val="3A575643"/>
    <w:rsid w:val="3A575AF9"/>
    <w:rsid w:val="3A5913BB"/>
    <w:rsid w:val="3A591E37"/>
    <w:rsid w:val="3A592FEA"/>
    <w:rsid w:val="3A5A3476"/>
    <w:rsid w:val="3A5A3DE1"/>
    <w:rsid w:val="3A5C0EAC"/>
    <w:rsid w:val="3A5D6DD9"/>
    <w:rsid w:val="3A5E2E76"/>
    <w:rsid w:val="3A5E69D2"/>
    <w:rsid w:val="3A5F1FCB"/>
    <w:rsid w:val="3A606BEE"/>
    <w:rsid w:val="3A610D50"/>
    <w:rsid w:val="3A614714"/>
    <w:rsid w:val="3A623965"/>
    <w:rsid w:val="3A63223A"/>
    <w:rsid w:val="3A633EDB"/>
    <w:rsid w:val="3A646F92"/>
    <w:rsid w:val="3A663AD8"/>
    <w:rsid w:val="3A6701BF"/>
    <w:rsid w:val="3A671232"/>
    <w:rsid w:val="3A6755EE"/>
    <w:rsid w:val="3A677922"/>
    <w:rsid w:val="3A685235"/>
    <w:rsid w:val="3A685A1D"/>
    <w:rsid w:val="3A687850"/>
    <w:rsid w:val="3A695377"/>
    <w:rsid w:val="3A696CD3"/>
    <w:rsid w:val="3A6A181A"/>
    <w:rsid w:val="3A6A35C8"/>
    <w:rsid w:val="3A6A67D9"/>
    <w:rsid w:val="3A6A7A6C"/>
    <w:rsid w:val="3A6B6100"/>
    <w:rsid w:val="3A6D130B"/>
    <w:rsid w:val="3A6D30B9"/>
    <w:rsid w:val="3A6D42DE"/>
    <w:rsid w:val="3A6E55C5"/>
    <w:rsid w:val="3A6F0BDF"/>
    <w:rsid w:val="3A703167"/>
    <w:rsid w:val="3A7206CF"/>
    <w:rsid w:val="3A72247D"/>
    <w:rsid w:val="3A76513A"/>
    <w:rsid w:val="3A7669BB"/>
    <w:rsid w:val="3A777A93"/>
    <w:rsid w:val="3A79380C"/>
    <w:rsid w:val="3A7A77C8"/>
    <w:rsid w:val="3A7B33F0"/>
    <w:rsid w:val="3A7C154E"/>
    <w:rsid w:val="3A7C32FC"/>
    <w:rsid w:val="3A7D1602"/>
    <w:rsid w:val="3A7D77A0"/>
    <w:rsid w:val="3A7E0E22"/>
    <w:rsid w:val="3A8114EC"/>
    <w:rsid w:val="3A8155D5"/>
    <w:rsid w:val="3A8221F6"/>
    <w:rsid w:val="3A83468A"/>
    <w:rsid w:val="3A840E46"/>
    <w:rsid w:val="3A846755"/>
    <w:rsid w:val="3A850402"/>
    <w:rsid w:val="3A851A34"/>
    <w:rsid w:val="3A8521B0"/>
    <w:rsid w:val="3A85607A"/>
    <w:rsid w:val="3A880544"/>
    <w:rsid w:val="3A886145"/>
    <w:rsid w:val="3A8874F8"/>
    <w:rsid w:val="3A897BE5"/>
    <w:rsid w:val="3A8A0F27"/>
    <w:rsid w:val="3A8A3C6B"/>
    <w:rsid w:val="3A8B49E9"/>
    <w:rsid w:val="3A8C0A4A"/>
    <w:rsid w:val="3A8D6864"/>
    <w:rsid w:val="3A8D72B7"/>
    <w:rsid w:val="3A8F1281"/>
    <w:rsid w:val="3A8F17A3"/>
    <w:rsid w:val="3A8F74D3"/>
    <w:rsid w:val="3A907417"/>
    <w:rsid w:val="3A914FF9"/>
    <w:rsid w:val="3A91727F"/>
    <w:rsid w:val="3A9248CD"/>
    <w:rsid w:val="3A940645"/>
    <w:rsid w:val="3A94460B"/>
    <w:rsid w:val="3A944AE9"/>
    <w:rsid w:val="3A946897"/>
    <w:rsid w:val="3A95066C"/>
    <w:rsid w:val="3A9510A8"/>
    <w:rsid w:val="3A95616C"/>
    <w:rsid w:val="3A9731D4"/>
    <w:rsid w:val="3A9746CD"/>
    <w:rsid w:val="3A991B74"/>
    <w:rsid w:val="3A995420"/>
    <w:rsid w:val="3A9A1375"/>
    <w:rsid w:val="3A9B4CEA"/>
    <w:rsid w:val="3A9C79E2"/>
    <w:rsid w:val="3A9D6B86"/>
    <w:rsid w:val="3A9E3272"/>
    <w:rsid w:val="3A9E6377"/>
    <w:rsid w:val="3A9F42EF"/>
    <w:rsid w:val="3AA24CC8"/>
    <w:rsid w:val="3AA36ADA"/>
    <w:rsid w:val="3AA45590"/>
    <w:rsid w:val="3AA477AB"/>
    <w:rsid w:val="3AA56995"/>
    <w:rsid w:val="3AA61FCB"/>
    <w:rsid w:val="3AA765CB"/>
    <w:rsid w:val="3AAA1C17"/>
    <w:rsid w:val="3AAA7A45"/>
    <w:rsid w:val="3AAB1CD8"/>
    <w:rsid w:val="3AAB3FD3"/>
    <w:rsid w:val="3AAC5463"/>
    <w:rsid w:val="3AAD7959"/>
    <w:rsid w:val="3AAF36D1"/>
    <w:rsid w:val="3AAF547F"/>
    <w:rsid w:val="3AAF722D"/>
    <w:rsid w:val="3AB00F11"/>
    <w:rsid w:val="3AB12E91"/>
    <w:rsid w:val="3AB17449"/>
    <w:rsid w:val="3AB45052"/>
    <w:rsid w:val="3AB45373"/>
    <w:rsid w:val="3AB71C84"/>
    <w:rsid w:val="3AB72586"/>
    <w:rsid w:val="3AB75600"/>
    <w:rsid w:val="3AB900AC"/>
    <w:rsid w:val="3AB94550"/>
    <w:rsid w:val="3AB95D21"/>
    <w:rsid w:val="3ABA09CA"/>
    <w:rsid w:val="3ABB02C8"/>
    <w:rsid w:val="3ABB3473"/>
    <w:rsid w:val="3ABB3E24"/>
    <w:rsid w:val="3ABF6737"/>
    <w:rsid w:val="3AC151B3"/>
    <w:rsid w:val="3AC17626"/>
    <w:rsid w:val="3AC21333"/>
    <w:rsid w:val="3AC27689"/>
    <w:rsid w:val="3AC32CD9"/>
    <w:rsid w:val="3AC3717D"/>
    <w:rsid w:val="3AC51CA4"/>
    <w:rsid w:val="3AC7018E"/>
    <w:rsid w:val="3AC85B84"/>
    <w:rsid w:val="3AC91083"/>
    <w:rsid w:val="3AC9755C"/>
    <w:rsid w:val="3ACA04E6"/>
    <w:rsid w:val="3ACA050B"/>
    <w:rsid w:val="3ACA22B9"/>
    <w:rsid w:val="3ACC4283"/>
    <w:rsid w:val="3ACC6031"/>
    <w:rsid w:val="3ACC6353"/>
    <w:rsid w:val="3ACE07FD"/>
    <w:rsid w:val="3ACE7FFB"/>
    <w:rsid w:val="3ACF4CB6"/>
    <w:rsid w:val="3ACF5969"/>
    <w:rsid w:val="3AD1189A"/>
    <w:rsid w:val="3AD13648"/>
    <w:rsid w:val="3AD2116E"/>
    <w:rsid w:val="3AD24D52"/>
    <w:rsid w:val="3AD26D10"/>
    <w:rsid w:val="3AD273C0"/>
    <w:rsid w:val="3AD354E6"/>
    <w:rsid w:val="3AD410D3"/>
    <w:rsid w:val="3AD4138A"/>
    <w:rsid w:val="3AD42F2E"/>
    <w:rsid w:val="3AD54849"/>
    <w:rsid w:val="3AD56372"/>
    <w:rsid w:val="3AD60C5E"/>
    <w:rsid w:val="3AD634EF"/>
    <w:rsid w:val="3AD7292F"/>
    <w:rsid w:val="3AD829DF"/>
    <w:rsid w:val="3ADB2271"/>
    <w:rsid w:val="3ADB245F"/>
    <w:rsid w:val="3ADB2718"/>
    <w:rsid w:val="3ADB6274"/>
    <w:rsid w:val="3ADD023E"/>
    <w:rsid w:val="3ADE446D"/>
    <w:rsid w:val="3ADF0126"/>
    <w:rsid w:val="3ADF1782"/>
    <w:rsid w:val="3AE009F6"/>
    <w:rsid w:val="3AE322C6"/>
    <w:rsid w:val="3AE35129"/>
    <w:rsid w:val="3AE6212D"/>
    <w:rsid w:val="3AE9337B"/>
    <w:rsid w:val="3AE96BE3"/>
    <w:rsid w:val="3AEA6A92"/>
    <w:rsid w:val="3AEC28A3"/>
    <w:rsid w:val="3AED7D56"/>
    <w:rsid w:val="3AEE244B"/>
    <w:rsid w:val="3AEF1636"/>
    <w:rsid w:val="3AEF3ACE"/>
    <w:rsid w:val="3AF00F15"/>
    <w:rsid w:val="3AF15A98"/>
    <w:rsid w:val="3AF17846"/>
    <w:rsid w:val="3AF24DD9"/>
    <w:rsid w:val="3AF25027"/>
    <w:rsid w:val="3AF420D1"/>
    <w:rsid w:val="3AF46352"/>
    <w:rsid w:val="3AF537FF"/>
    <w:rsid w:val="3AF539A8"/>
    <w:rsid w:val="3AF61300"/>
    <w:rsid w:val="3AF630AE"/>
    <w:rsid w:val="3AF64E5C"/>
    <w:rsid w:val="3AF80E99"/>
    <w:rsid w:val="3AF86E26"/>
    <w:rsid w:val="3AF92745"/>
    <w:rsid w:val="3AF96DDE"/>
    <w:rsid w:val="3AF9713F"/>
    <w:rsid w:val="3AFA0DF0"/>
    <w:rsid w:val="3AFC4D75"/>
    <w:rsid w:val="3AFD213A"/>
    <w:rsid w:val="3AFD268F"/>
    <w:rsid w:val="3AFD443D"/>
    <w:rsid w:val="3AFE01B5"/>
    <w:rsid w:val="3AFE619B"/>
    <w:rsid w:val="3B000022"/>
    <w:rsid w:val="3B003F2D"/>
    <w:rsid w:val="3B0166D7"/>
    <w:rsid w:val="3B023801"/>
    <w:rsid w:val="3B037579"/>
    <w:rsid w:val="3B043A1D"/>
    <w:rsid w:val="3B0529E3"/>
    <w:rsid w:val="3B0532F1"/>
    <w:rsid w:val="3B057795"/>
    <w:rsid w:val="3B07411C"/>
    <w:rsid w:val="3B077069"/>
    <w:rsid w:val="3B082DE1"/>
    <w:rsid w:val="3B091033"/>
    <w:rsid w:val="3B0A0908"/>
    <w:rsid w:val="3B0A4DAB"/>
    <w:rsid w:val="3B0B695B"/>
    <w:rsid w:val="3B0C4680"/>
    <w:rsid w:val="3B0D6171"/>
    <w:rsid w:val="3B0F0924"/>
    <w:rsid w:val="3B0F5F1E"/>
    <w:rsid w:val="3B104143"/>
    <w:rsid w:val="3B111C96"/>
    <w:rsid w:val="3B117412"/>
    <w:rsid w:val="3B117EE8"/>
    <w:rsid w:val="3B131EB2"/>
    <w:rsid w:val="3B1431E9"/>
    <w:rsid w:val="3B145AF3"/>
    <w:rsid w:val="3B1479D8"/>
    <w:rsid w:val="3B152CDA"/>
    <w:rsid w:val="3B1541D3"/>
    <w:rsid w:val="3B1654FE"/>
    <w:rsid w:val="3B166970"/>
    <w:rsid w:val="3B1758B2"/>
    <w:rsid w:val="3B182927"/>
    <w:rsid w:val="3B186D42"/>
    <w:rsid w:val="3B1874C8"/>
    <w:rsid w:val="3B190B4B"/>
    <w:rsid w:val="3B196D9D"/>
    <w:rsid w:val="3B1A14A3"/>
    <w:rsid w:val="3B1B0D67"/>
    <w:rsid w:val="3B1B105C"/>
    <w:rsid w:val="3B1B2846"/>
    <w:rsid w:val="3B1B2B15"/>
    <w:rsid w:val="3B1C121A"/>
    <w:rsid w:val="3B1D4ADF"/>
    <w:rsid w:val="3B206767"/>
    <w:rsid w:val="3B2317A3"/>
    <w:rsid w:val="3B2319C9"/>
    <w:rsid w:val="3B231B13"/>
    <w:rsid w:val="3B233F73"/>
    <w:rsid w:val="3B235DBA"/>
    <w:rsid w:val="3B247C1B"/>
    <w:rsid w:val="3B252A87"/>
    <w:rsid w:val="3B252B5B"/>
    <w:rsid w:val="3B255741"/>
    <w:rsid w:val="3B265D48"/>
    <w:rsid w:val="3B273268"/>
    <w:rsid w:val="3B27401A"/>
    <w:rsid w:val="3B2740D4"/>
    <w:rsid w:val="3B2841A1"/>
    <w:rsid w:val="3B284AAE"/>
    <w:rsid w:val="3B286FE0"/>
    <w:rsid w:val="3B293484"/>
    <w:rsid w:val="3B295232"/>
    <w:rsid w:val="3B2A3D28"/>
    <w:rsid w:val="3B2B115A"/>
    <w:rsid w:val="3B2C00ED"/>
    <w:rsid w:val="3B2C4D22"/>
    <w:rsid w:val="3B2C7D89"/>
    <w:rsid w:val="3B2D14F7"/>
    <w:rsid w:val="3B2E797E"/>
    <w:rsid w:val="3B2F036E"/>
    <w:rsid w:val="3B2F16FD"/>
    <w:rsid w:val="3B2F4DFC"/>
    <w:rsid w:val="3B304812"/>
    <w:rsid w:val="3B312338"/>
    <w:rsid w:val="3B312439"/>
    <w:rsid w:val="3B316114"/>
    <w:rsid w:val="3B331C0C"/>
    <w:rsid w:val="3B3335ED"/>
    <w:rsid w:val="3B334302"/>
    <w:rsid w:val="3B337E5E"/>
    <w:rsid w:val="3B344D3D"/>
    <w:rsid w:val="3B3458E6"/>
    <w:rsid w:val="3B346703"/>
    <w:rsid w:val="3B3622CB"/>
    <w:rsid w:val="3B36706A"/>
    <w:rsid w:val="3B36794F"/>
    <w:rsid w:val="3B380EFD"/>
    <w:rsid w:val="3B3836C7"/>
    <w:rsid w:val="3B384E25"/>
    <w:rsid w:val="3B38689E"/>
    <w:rsid w:val="3B3B26B4"/>
    <w:rsid w:val="3B3B31B7"/>
    <w:rsid w:val="3B3B55CD"/>
    <w:rsid w:val="3B3B6D13"/>
    <w:rsid w:val="3B3D0CDD"/>
    <w:rsid w:val="3B3D2A8B"/>
    <w:rsid w:val="3B3D6F2F"/>
    <w:rsid w:val="3B4007CD"/>
    <w:rsid w:val="3B40257B"/>
    <w:rsid w:val="3B404329"/>
    <w:rsid w:val="3B4200A1"/>
    <w:rsid w:val="3B424545"/>
    <w:rsid w:val="3B4309FB"/>
    <w:rsid w:val="3B4402BD"/>
    <w:rsid w:val="3B4422CF"/>
    <w:rsid w:val="3B443E1A"/>
    <w:rsid w:val="3B457B92"/>
    <w:rsid w:val="3B464FFB"/>
    <w:rsid w:val="3B47240E"/>
    <w:rsid w:val="3B482751"/>
    <w:rsid w:val="3B491430"/>
    <w:rsid w:val="3B491E82"/>
    <w:rsid w:val="3B4A33FA"/>
    <w:rsid w:val="3B4A51A8"/>
    <w:rsid w:val="3B4B2950"/>
    <w:rsid w:val="3B4C2CCE"/>
    <w:rsid w:val="3B4C771B"/>
    <w:rsid w:val="3B4E0552"/>
    <w:rsid w:val="3B4E3123"/>
    <w:rsid w:val="3B4E4C98"/>
    <w:rsid w:val="3B4F2866"/>
    <w:rsid w:val="3B5109E1"/>
    <w:rsid w:val="3B51364C"/>
    <w:rsid w:val="3B513CFF"/>
    <w:rsid w:val="3B530501"/>
    <w:rsid w:val="3B535A77"/>
    <w:rsid w:val="3B537311"/>
    <w:rsid w:val="3B550BE8"/>
    <w:rsid w:val="3B556027"/>
    <w:rsid w:val="3B557A91"/>
    <w:rsid w:val="3B56085F"/>
    <w:rsid w:val="3B567FF1"/>
    <w:rsid w:val="3B5732D0"/>
    <w:rsid w:val="3B577EE7"/>
    <w:rsid w:val="3B581673"/>
    <w:rsid w:val="3B582BAA"/>
    <w:rsid w:val="3B58394D"/>
    <w:rsid w:val="3B5878C5"/>
    <w:rsid w:val="3B5953EB"/>
    <w:rsid w:val="3B597AF4"/>
    <w:rsid w:val="3B5A0452"/>
    <w:rsid w:val="3B5A16C6"/>
    <w:rsid w:val="3B5B6F6B"/>
    <w:rsid w:val="3B5D4A95"/>
    <w:rsid w:val="3B5E0047"/>
    <w:rsid w:val="3B5F07CF"/>
    <w:rsid w:val="3B5F4080"/>
    <w:rsid w:val="3B6049CB"/>
    <w:rsid w:val="3B6067CF"/>
    <w:rsid w:val="3B620744"/>
    <w:rsid w:val="3B621836"/>
    <w:rsid w:val="3B6224F2"/>
    <w:rsid w:val="3B632BA1"/>
    <w:rsid w:val="3B634927"/>
    <w:rsid w:val="3B64626A"/>
    <w:rsid w:val="3B654331"/>
    <w:rsid w:val="3B65782E"/>
    <w:rsid w:val="3B660234"/>
    <w:rsid w:val="3B6620EF"/>
    <w:rsid w:val="3B664EE0"/>
    <w:rsid w:val="3B667138"/>
    <w:rsid w:val="3B675D5A"/>
    <w:rsid w:val="3B68006A"/>
    <w:rsid w:val="3B68426E"/>
    <w:rsid w:val="3B69436B"/>
    <w:rsid w:val="3B6C15C2"/>
    <w:rsid w:val="3B6C511E"/>
    <w:rsid w:val="3B6E0E96"/>
    <w:rsid w:val="3B6E4DE4"/>
    <w:rsid w:val="3B6E533A"/>
    <w:rsid w:val="3B6F4C0F"/>
    <w:rsid w:val="3B704203"/>
    <w:rsid w:val="3B712389"/>
    <w:rsid w:val="3B717625"/>
    <w:rsid w:val="3B7459E5"/>
    <w:rsid w:val="3B750477"/>
    <w:rsid w:val="3B762441"/>
    <w:rsid w:val="3B781D15"/>
    <w:rsid w:val="3B781E4C"/>
    <w:rsid w:val="3B787F67"/>
    <w:rsid w:val="3B7A05B3"/>
    <w:rsid w:val="3B7A15C1"/>
    <w:rsid w:val="3B7A783B"/>
    <w:rsid w:val="3B7B1805"/>
    <w:rsid w:val="3B7B37A9"/>
    <w:rsid w:val="3B7B7300"/>
    <w:rsid w:val="3B7C35D0"/>
    <w:rsid w:val="3B7D37CF"/>
    <w:rsid w:val="3B7D732B"/>
    <w:rsid w:val="3B7E79D3"/>
    <w:rsid w:val="3B7F2FBA"/>
    <w:rsid w:val="3B7F4E52"/>
    <w:rsid w:val="3B81506E"/>
    <w:rsid w:val="3B824942"/>
    <w:rsid w:val="3B84690C"/>
    <w:rsid w:val="3B8526FD"/>
    <w:rsid w:val="3B854432"/>
    <w:rsid w:val="3B857008"/>
    <w:rsid w:val="3B861EE2"/>
    <w:rsid w:val="3B88345B"/>
    <w:rsid w:val="3B893F22"/>
    <w:rsid w:val="3B895CD0"/>
    <w:rsid w:val="3B89767A"/>
    <w:rsid w:val="3B8A122E"/>
    <w:rsid w:val="3B8A13BA"/>
    <w:rsid w:val="3B8B1A48"/>
    <w:rsid w:val="3B8C1841"/>
    <w:rsid w:val="3B8C692C"/>
    <w:rsid w:val="3B8C756F"/>
    <w:rsid w:val="3B8D4795"/>
    <w:rsid w:val="3B8D5E64"/>
    <w:rsid w:val="3B8D5FBC"/>
    <w:rsid w:val="3B8E7126"/>
    <w:rsid w:val="3B8F0229"/>
    <w:rsid w:val="3B8F2FA7"/>
    <w:rsid w:val="3B9305A4"/>
    <w:rsid w:val="3B9308FD"/>
    <w:rsid w:val="3B934544"/>
    <w:rsid w:val="3B941504"/>
    <w:rsid w:val="3B954675"/>
    <w:rsid w:val="3B9629CF"/>
    <w:rsid w:val="3B96663F"/>
    <w:rsid w:val="3B9823B7"/>
    <w:rsid w:val="3B985F13"/>
    <w:rsid w:val="3B990B57"/>
    <w:rsid w:val="3B9A36AF"/>
    <w:rsid w:val="3B9B5A04"/>
    <w:rsid w:val="3B9B656C"/>
    <w:rsid w:val="3B9C2B89"/>
    <w:rsid w:val="3B9C2EA9"/>
    <w:rsid w:val="3B9D177C"/>
    <w:rsid w:val="3B9D4970"/>
    <w:rsid w:val="3B9D55CE"/>
    <w:rsid w:val="3B9F3746"/>
    <w:rsid w:val="3B9F54F4"/>
    <w:rsid w:val="3B9F72A2"/>
    <w:rsid w:val="3BA174BE"/>
    <w:rsid w:val="3BA206EB"/>
    <w:rsid w:val="3BA23236"/>
    <w:rsid w:val="3BA24FE4"/>
    <w:rsid w:val="3BA35AA7"/>
    <w:rsid w:val="3BA42A16"/>
    <w:rsid w:val="3BA448B8"/>
    <w:rsid w:val="3BA45091"/>
    <w:rsid w:val="3BA50630"/>
    <w:rsid w:val="3BA62C0C"/>
    <w:rsid w:val="3BA638A3"/>
    <w:rsid w:val="3BA83D2E"/>
    <w:rsid w:val="3BA925ED"/>
    <w:rsid w:val="3BA96372"/>
    <w:rsid w:val="3BAA159A"/>
    <w:rsid w:val="3BAA5C47"/>
    <w:rsid w:val="3BAA6B7D"/>
    <w:rsid w:val="3BAB7ADE"/>
    <w:rsid w:val="3BAC6094"/>
    <w:rsid w:val="3BAC7C11"/>
    <w:rsid w:val="3BAD23FE"/>
    <w:rsid w:val="3BAE1BDB"/>
    <w:rsid w:val="3BAE3989"/>
    <w:rsid w:val="3BAE5737"/>
    <w:rsid w:val="3BB024C0"/>
    <w:rsid w:val="3BB07701"/>
    <w:rsid w:val="3BB10C25"/>
    <w:rsid w:val="3BB15227"/>
    <w:rsid w:val="3BB15ED6"/>
    <w:rsid w:val="3BB1699F"/>
    <w:rsid w:val="3BB16FD5"/>
    <w:rsid w:val="3BB32D4D"/>
    <w:rsid w:val="3BB422D1"/>
    <w:rsid w:val="3BB434E1"/>
    <w:rsid w:val="3BB46188"/>
    <w:rsid w:val="3BB52254"/>
    <w:rsid w:val="3BB52F69"/>
    <w:rsid w:val="3BB54D17"/>
    <w:rsid w:val="3BB55400"/>
    <w:rsid w:val="3BB6021E"/>
    <w:rsid w:val="3BB7265E"/>
    <w:rsid w:val="3BB80364"/>
    <w:rsid w:val="3BB81E8C"/>
    <w:rsid w:val="3BB93415"/>
    <w:rsid w:val="3BBA0580"/>
    <w:rsid w:val="3BBA40DC"/>
    <w:rsid w:val="3BBC2D82"/>
    <w:rsid w:val="3BBC42F8"/>
    <w:rsid w:val="3BBD01CF"/>
    <w:rsid w:val="3BBD1E1E"/>
    <w:rsid w:val="3BBD1EF3"/>
    <w:rsid w:val="3BBD3BCC"/>
    <w:rsid w:val="3BBD5792"/>
    <w:rsid w:val="3BBD597A"/>
    <w:rsid w:val="3BBF0D15"/>
    <w:rsid w:val="3BBF7944"/>
    <w:rsid w:val="3BC1190E"/>
    <w:rsid w:val="3BC136BC"/>
    <w:rsid w:val="3BC211E2"/>
    <w:rsid w:val="3BC23194"/>
    <w:rsid w:val="3BC33CB9"/>
    <w:rsid w:val="3BC431AC"/>
    <w:rsid w:val="3BC45EB1"/>
    <w:rsid w:val="3BC91BD6"/>
    <w:rsid w:val="3BC9431F"/>
    <w:rsid w:val="3BC96A15"/>
    <w:rsid w:val="3BCA1860"/>
    <w:rsid w:val="3BCB62E9"/>
    <w:rsid w:val="3BCC3E0F"/>
    <w:rsid w:val="3BCC6E16"/>
    <w:rsid w:val="3BCF689E"/>
    <w:rsid w:val="3BD00198"/>
    <w:rsid w:val="3BD0035C"/>
    <w:rsid w:val="3BD01B51"/>
    <w:rsid w:val="3BD038FF"/>
    <w:rsid w:val="3BD16515"/>
    <w:rsid w:val="3BD318C3"/>
    <w:rsid w:val="3BD42E4E"/>
    <w:rsid w:val="3BD50F16"/>
    <w:rsid w:val="3BD553B9"/>
    <w:rsid w:val="3BD70274"/>
    <w:rsid w:val="3BD72EE0"/>
    <w:rsid w:val="3BD827B4"/>
    <w:rsid w:val="3BD83B26"/>
    <w:rsid w:val="3BD859DF"/>
    <w:rsid w:val="3BD86275"/>
    <w:rsid w:val="3BDA29D0"/>
    <w:rsid w:val="3BDA477E"/>
    <w:rsid w:val="3BDB2113"/>
    <w:rsid w:val="3BDB4052"/>
    <w:rsid w:val="3BDC04F6"/>
    <w:rsid w:val="3BDD426E"/>
    <w:rsid w:val="3BDD7E24"/>
    <w:rsid w:val="3BDE3F44"/>
    <w:rsid w:val="3BDE64C1"/>
    <w:rsid w:val="3BDF1D94"/>
    <w:rsid w:val="3BDF3B42"/>
    <w:rsid w:val="3BE121AE"/>
    <w:rsid w:val="3BE13D5E"/>
    <w:rsid w:val="3BE15B0C"/>
    <w:rsid w:val="3BE178BA"/>
    <w:rsid w:val="3BE253E0"/>
    <w:rsid w:val="3BE408C0"/>
    <w:rsid w:val="3BE473AB"/>
    <w:rsid w:val="3BE5698E"/>
    <w:rsid w:val="3BE8056D"/>
    <w:rsid w:val="3BE92650"/>
    <w:rsid w:val="3BE92C13"/>
    <w:rsid w:val="3BE940D8"/>
    <w:rsid w:val="3BE949C1"/>
    <w:rsid w:val="3BEA3369"/>
    <w:rsid w:val="3BEA75FC"/>
    <w:rsid w:val="3BEC5C4D"/>
    <w:rsid w:val="3BED7890"/>
    <w:rsid w:val="3BEF0075"/>
    <w:rsid w:val="3BF03FA1"/>
    <w:rsid w:val="3BF05D4F"/>
    <w:rsid w:val="3BF07052"/>
    <w:rsid w:val="3BF07952"/>
    <w:rsid w:val="3BF1296B"/>
    <w:rsid w:val="3BF27D19"/>
    <w:rsid w:val="3BF35840"/>
    <w:rsid w:val="3BF47C5E"/>
    <w:rsid w:val="3BF50A91"/>
    <w:rsid w:val="3BF5359A"/>
    <w:rsid w:val="3BF70E8C"/>
    <w:rsid w:val="3BF75330"/>
    <w:rsid w:val="3BF860E4"/>
    <w:rsid w:val="3BFA4E20"/>
    <w:rsid w:val="3BFD2D78"/>
    <w:rsid w:val="3BFF2436"/>
    <w:rsid w:val="3BFF7665"/>
    <w:rsid w:val="3C0161AE"/>
    <w:rsid w:val="3C026603"/>
    <w:rsid w:val="3C0417FB"/>
    <w:rsid w:val="3C04552F"/>
    <w:rsid w:val="3C0555B2"/>
    <w:rsid w:val="3C055B17"/>
    <w:rsid w:val="3C0650D8"/>
    <w:rsid w:val="3C065573"/>
    <w:rsid w:val="3C06680D"/>
    <w:rsid w:val="3C074CCB"/>
    <w:rsid w:val="3C0812EB"/>
    <w:rsid w:val="3C09381C"/>
    <w:rsid w:val="3C096E11"/>
    <w:rsid w:val="3C0A4D16"/>
    <w:rsid w:val="3C0B4937"/>
    <w:rsid w:val="3C0C03BE"/>
    <w:rsid w:val="3C0C59EA"/>
    <w:rsid w:val="3C0D06AF"/>
    <w:rsid w:val="3C0E4427"/>
    <w:rsid w:val="3C0F0E18"/>
    <w:rsid w:val="3C0F1C6E"/>
    <w:rsid w:val="3C101F4E"/>
    <w:rsid w:val="3C104B24"/>
    <w:rsid w:val="3C112402"/>
    <w:rsid w:val="3C125CC6"/>
    <w:rsid w:val="3C126561"/>
    <w:rsid w:val="3C1333F3"/>
    <w:rsid w:val="3C153BA2"/>
    <w:rsid w:val="3C155574"/>
    <w:rsid w:val="3C1557B6"/>
    <w:rsid w:val="3C1576B5"/>
    <w:rsid w:val="3C17152E"/>
    <w:rsid w:val="3C172AFD"/>
    <w:rsid w:val="3C177780"/>
    <w:rsid w:val="3C187054"/>
    <w:rsid w:val="3C192B40"/>
    <w:rsid w:val="3C1A101E"/>
    <w:rsid w:val="3C1C4D96"/>
    <w:rsid w:val="3C1D6033"/>
    <w:rsid w:val="3C1E0B0E"/>
    <w:rsid w:val="3C1F3252"/>
    <w:rsid w:val="3C1F3408"/>
    <w:rsid w:val="3C1F35BD"/>
    <w:rsid w:val="3C1F3929"/>
    <w:rsid w:val="3C1F3ADE"/>
    <w:rsid w:val="3C2105FF"/>
    <w:rsid w:val="3C236125"/>
    <w:rsid w:val="3C236693"/>
    <w:rsid w:val="3C237ED3"/>
    <w:rsid w:val="3C2459F9"/>
    <w:rsid w:val="3C2541D5"/>
    <w:rsid w:val="3C261EAE"/>
    <w:rsid w:val="3C2679C3"/>
    <w:rsid w:val="3C277297"/>
    <w:rsid w:val="3C28373B"/>
    <w:rsid w:val="3C2B322B"/>
    <w:rsid w:val="3C2D2B00"/>
    <w:rsid w:val="3C2D6464"/>
    <w:rsid w:val="3C2F4241"/>
    <w:rsid w:val="3C2F484C"/>
    <w:rsid w:val="3C2F4ACA"/>
    <w:rsid w:val="3C300842"/>
    <w:rsid w:val="3C302214"/>
    <w:rsid w:val="3C30439E"/>
    <w:rsid w:val="3C306A4A"/>
    <w:rsid w:val="3C312EBF"/>
    <w:rsid w:val="3C315BF1"/>
    <w:rsid w:val="3C320116"/>
    <w:rsid w:val="3C3245BA"/>
    <w:rsid w:val="3C326368"/>
    <w:rsid w:val="3C327705"/>
    <w:rsid w:val="3C330B95"/>
    <w:rsid w:val="3C334F54"/>
    <w:rsid w:val="3C335C3C"/>
    <w:rsid w:val="3C340332"/>
    <w:rsid w:val="3C3519B4"/>
    <w:rsid w:val="3C355E58"/>
    <w:rsid w:val="3C362D74"/>
    <w:rsid w:val="3C371BD0"/>
    <w:rsid w:val="3C37397E"/>
    <w:rsid w:val="3C3742B1"/>
    <w:rsid w:val="3C3814A4"/>
    <w:rsid w:val="3C3A346E"/>
    <w:rsid w:val="3C3C17C0"/>
    <w:rsid w:val="3C3C71E7"/>
    <w:rsid w:val="3C3E24C2"/>
    <w:rsid w:val="3C3E2F5F"/>
    <w:rsid w:val="3C3E4D0D"/>
    <w:rsid w:val="3C3F2833"/>
    <w:rsid w:val="3C3F7138"/>
    <w:rsid w:val="3C410359"/>
    <w:rsid w:val="3C413199"/>
    <w:rsid w:val="3C42418A"/>
    <w:rsid w:val="3C425AB9"/>
    <w:rsid w:val="3C43068A"/>
    <w:rsid w:val="3C445EFD"/>
    <w:rsid w:val="3C4557FF"/>
    <w:rsid w:val="3C461E13"/>
    <w:rsid w:val="3C466ECB"/>
    <w:rsid w:val="3C483F79"/>
    <w:rsid w:val="3C485B8B"/>
    <w:rsid w:val="3C487939"/>
    <w:rsid w:val="3C4A1903"/>
    <w:rsid w:val="3C4B079E"/>
    <w:rsid w:val="3C4B4638"/>
    <w:rsid w:val="3C4B6B57"/>
    <w:rsid w:val="3C4D31A2"/>
    <w:rsid w:val="3C4D430D"/>
    <w:rsid w:val="3C4D64D1"/>
    <w:rsid w:val="3C4E0CC8"/>
    <w:rsid w:val="3C4E2A76"/>
    <w:rsid w:val="3C4F2E05"/>
    <w:rsid w:val="3C4F6F1A"/>
    <w:rsid w:val="3C5000BD"/>
    <w:rsid w:val="3C504A40"/>
    <w:rsid w:val="3C5207B8"/>
    <w:rsid w:val="3C54023D"/>
    <w:rsid w:val="3C5462DE"/>
    <w:rsid w:val="3C552056"/>
    <w:rsid w:val="3C557BD1"/>
    <w:rsid w:val="3C574020"/>
    <w:rsid w:val="3C575DCE"/>
    <w:rsid w:val="3C5766DB"/>
    <w:rsid w:val="3C591B47"/>
    <w:rsid w:val="3C593FF1"/>
    <w:rsid w:val="3C597D99"/>
    <w:rsid w:val="3C5A58BF"/>
    <w:rsid w:val="3C5B2F97"/>
    <w:rsid w:val="3C5C33E5"/>
    <w:rsid w:val="3C5C5D08"/>
    <w:rsid w:val="3C5D3E02"/>
    <w:rsid w:val="3C5F2ED5"/>
    <w:rsid w:val="3C5F6A31"/>
    <w:rsid w:val="3C600902"/>
    <w:rsid w:val="3C605000"/>
    <w:rsid w:val="3C607ED1"/>
    <w:rsid w:val="3C6109A3"/>
    <w:rsid w:val="3C615C0D"/>
    <w:rsid w:val="3C6329C5"/>
    <w:rsid w:val="3C634773"/>
    <w:rsid w:val="3C650E53"/>
    <w:rsid w:val="3C6605CE"/>
    <w:rsid w:val="3C664263"/>
    <w:rsid w:val="3C682524"/>
    <w:rsid w:val="3C683B38"/>
    <w:rsid w:val="3C6978B0"/>
    <w:rsid w:val="3C6A391E"/>
    <w:rsid w:val="3C6A3D54"/>
    <w:rsid w:val="3C6A5B02"/>
    <w:rsid w:val="3C6D73A0"/>
    <w:rsid w:val="3C6E4EC6"/>
    <w:rsid w:val="3C6F6D1A"/>
    <w:rsid w:val="3C7050E2"/>
    <w:rsid w:val="3C705267"/>
    <w:rsid w:val="3C706E90"/>
    <w:rsid w:val="3C7076A7"/>
    <w:rsid w:val="3C712AF1"/>
    <w:rsid w:val="3C720E5A"/>
    <w:rsid w:val="3C7324DC"/>
    <w:rsid w:val="3C737DC5"/>
    <w:rsid w:val="3C74072E"/>
    <w:rsid w:val="3C7502D1"/>
    <w:rsid w:val="3C7626F9"/>
    <w:rsid w:val="3C7649A9"/>
    <w:rsid w:val="3C77021F"/>
    <w:rsid w:val="3C7704C4"/>
    <w:rsid w:val="3C772EA8"/>
    <w:rsid w:val="3C795D45"/>
    <w:rsid w:val="3C7A1ABD"/>
    <w:rsid w:val="3C7A5184"/>
    <w:rsid w:val="3C7C3A87"/>
    <w:rsid w:val="3C7C5835"/>
    <w:rsid w:val="3C7E15AD"/>
    <w:rsid w:val="3C7F0F9A"/>
    <w:rsid w:val="3C7F1DE7"/>
    <w:rsid w:val="3C7F45CB"/>
    <w:rsid w:val="3C805A5B"/>
    <w:rsid w:val="3C812E4B"/>
    <w:rsid w:val="3C8269DA"/>
    <w:rsid w:val="3C836BC3"/>
    <w:rsid w:val="3C84365C"/>
    <w:rsid w:val="3C864683"/>
    <w:rsid w:val="3C865A33"/>
    <w:rsid w:val="3C87592E"/>
    <w:rsid w:val="3C885F88"/>
    <w:rsid w:val="3C8A7F52"/>
    <w:rsid w:val="3C8D17F0"/>
    <w:rsid w:val="3C8D359E"/>
    <w:rsid w:val="3C8F7316"/>
    <w:rsid w:val="3C9115B1"/>
    <w:rsid w:val="3C9157EA"/>
    <w:rsid w:val="3C916256"/>
    <w:rsid w:val="3C93765F"/>
    <w:rsid w:val="3C944457"/>
    <w:rsid w:val="3C94492D"/>
    <w:rsid w:val="3C9568F7"/>
    <w:rsid w:val="3C972852"/>
    <w:rsid w:val="3C97441D"/>
    <w:rsid w:val="3C990195"/>
    <w:rsid w:val="3C991F43"/>
    <w:rsid w:val="3C992CCC"/>
    <w:rsid w:val="3C99397C"/>
    <w:rsid w:val="3C997D43"/>
    <w:rsid w:val="3C9C5901"/>
    <w:rsid w:val="3C9E57AB"/>
    <w:rsid w:val="3CA01012"/>
    <w:rsid w:val="3CA07775"/>
    <w:rsid w:val="3CA134EE"/>
    <w:rsid w:val="3CA1529C"/>
    <w:rsid w:val="3CA32DC2"/>
    <w:rsid w:val="3CA408E8"/>
    <w:rsid w:val="3CA42430"/>
    <w:rsid w:val="3CA562E6"/>
    <w:rsid w:val="3CA60B04"/>
    <w:rsid w:val="3CA66C99"/>
    <w:rsid w:val="3CA74F18"/>
    <w:rsid w:val="3CA97838"/>
    <w:rsid w:val="3CAA4150"/>
    <w:rsid w:val="3CAA7ADD"/>
    <w:rsid w:val="3CAC611A"/>
    <w:rsid w:val="3CAC740C"/>
    <w:rsid w:val="3CAD075F"/>
    <w:rsid w:val="3CAD59EE"/>
    <w:rsid w:val="3CAD7649"/>
    <w:rsid w:val="3CAD7EB2"/>
    <w:rsid w:val="3CB04B3A"/>
    <w:rsid w:val="3CB1259C"/>
    <w:rsid w:val="3CB2202B"/>
    <w:rsid w:val="3CB274A9"/>
    <w:rsid w:val="3CB30671"/>
    <w:rsid w:val="3CB43221"/>
    <w:rsid w:val="3CB44FA2"/>
    <w:rsid w:val="3CB46D7D"/>
    <w:rsid w:val="3CB52AF5"/>
    <w:rsid w:val="3CB700CE"/>
    <w:rsid w:val="3CB74ABF"/>
    <w:rsid w:val="3CB750A6"/>
    <w:rsid w:val="3CB7686D"/>
    <w:rsid w:val="3CB80C51"/>
    <w:rsid w:val="3CB90837"/>
    <w:rsid w:val="3CB9220C"/>
    <w:rsid w:val="3CB925E5"/>
    <w:rsid w:val="3CBA1725"/>
    <w:rsid w:val="3CBB3FEB"/>
    <w:rsid w:val="3CBB635D"/>
    <w:rsid w:val="3CBC5ACD"/>
    <w:rsid w:val="3CBD20AD"/>
    <w:rsid w:val="3CBD56A5"/>
    <w:rsid w:val="3CBE7BFC"/>
    <w:rsid w:val="3CC03839"/>
    <w:rsid w:val="3CC0462F"/>
    <w:rsid w:val="3CC05722"/>
    <w:rsid w:val="3CC077AE"/>
    <w:rsid w:val="3CC1149A"/>
    <w:rsid w:val="3CC16C20"/>
    <w:rsid w:val="3CC16EB2"/>
    <w:rsid w:val="3CC316B6"/>
    <w:rsid w:val="3CC33464"/>
    <w:rsid w:val="3CC37FE9"/>
    <w:rsid w:val="3CC504A1"/>
    <w:rsid w:val="3CC66AB0"/>
    <w:rsid w:val="3CC82828"/>
    <w:rsid w:val="3CC8560C"/>
    <w:rsid w:val="3CC86CCC"/>
    <w:rsid w:val="3CCA65A0"/>
    <w:rsid w:val="3CCB2319"/>
    <w:rsid w:val="3CCB73C0"/>
    <w:rsid w:val="3CCC056A"/>
    <w:rsid w:val="3CCD54F2"/>
    <w:rsid w:val="3CCD6091"/>
    <w:rsid w:val="3CCD734F"/>
    <w:rsid w:val="3CCD7E3F"/>
    <w:rsid w:val="3CCF4091"/>
    <w:rsid w:val="3CCF7505"/>
    <w:rsid w:val="3CD016DD"/>
    <w:rsid w:val="3CD13DD3"/>
    <w:rsid w:val="3CD217F1"/>
    <w:rsid w:val="3CD236A7"/>
    <w:rsid w:val="3CD243F0"/>
    <w:rsid w:val="3CD32AA5"/>
    <w:rsid w:val="3CD33D04"/>
    <w:rsid w:val="3CD4741F"/>
    <w:rsid w:val="3CD47558"/>
    <w:rsid w:val="3CD56085"/>
    <w:rsid w:val="3CD706E6"/>
    <w:rsid w:val="3CD72A6B"/>
    <w:rsid w:val="3CD77CE5"/>
    <w:rsid w:val="3CD80572"/>
    <w:rsid w:val="3CD92C87"/>
    <w:rsid w:val="3CD93870"/>
    <w:rsid w:val="3CD967E3"/>
    <w:rsid w:val="3CDB4B36"/>
    <w:rsid w:val="3CDB69FF"/>
    <w:rsid w:val="3CDC62D4"/>
    <w:rsid w:val="3CDC698B"/>
    <w:rsid w:val="3CDC6A0A"/>
    <w:rsid w:val="3CDE029E"/>
    <w:rsid w:val="3CDE0410"/>
    <w:rsid w:val="3CDE3DFA"/>
    <w:rsid w:val="3CDF7B9C"/>
    <w:rsid w:val="3CE04016"/>
    <w:rsid w:val="3CE07B72"/>
    <w:rsid w:val="3CE21B3C"/>
    <w:rsid w:val="3CE33B06"/>
    <w:rsid w:val="3CE43A2A"/>
    <w:rsid w:val="3CE50470"/>
    <w:rsid w:val="3CE5162C"/>
    <w:rsid w:val="3CE63362"/>
    <w:rsid w:val="3CE67CF2"/>
    <w:rsid w:val="3CE814CE"/>
    <w:rsid w:val="3CE83271"/>
    <w:rsid w:val="3CE8383B"/>
    <w:rsid w:val="3CE8614C"/>
    <w:rsid w:val="3CE9358A"/>
    <w:rsid w:val="3CEA09F1"/>
    <w:rsid w:val="3CEA279F"/>
    <w:rsid w:val="3CEB6517"/>
    <w:rsid w:val="3CED228F"/>
    <w:rsid w:val="3CED2697"/>
    <w:rsid w:val="3CED5F3E"/>
    <w:rsid w:val="3CEF0F4D"/>
    <w:rsid w:val="3CF0327B"/>
    <w:rsid w:val="3CF03B2D"/>
    <w:rsid w:val="3CF03F33"/>
    <w:rsid w:val="3CF14DC8"/>
    <w:rsid w:val="3CF20A77"/>
    <w:rsid w:val="3CF21907"/>
    <w:rsid w:val="3CF25AF7"/>
    <w:rsid w:val="3CF4186F"/>
    <w:rsid w:val="3CF4361D"/>
    <w:rsid w:val="3CF7075F"/>
    <w:rsid w:val="3CF7310E"/>
    <w:rsid w:val="3CF75B8E"/>
    <w:rsid w:val="3CF8720E"/>
    <w:rsid w:val="3CFB179D"/>
    <w:rsid w:val="3CFB4687"/>
    <w:rsid w:val="3CFC071D"/>
    <w:rsid w:val="3CFC0724"/>
    <w:rsid w:val="3CFC1059"/>
    <w:rsid w:val="3CFC4042"/>
    <w:rsid w:val="3CFD5E39"/>
    <w:rsid w:val="3CFD6976"/>
    <w:rsid w:val="3CFE1B47"/>
    <w:rsid w:val="3CFE22F2"/>
    <w:rsid w:val="3CFE26EE"/>
    <w:rsid w:val="3CFE3E4E"/>
    <w:rsid w:val="3CFE449C"/>
    <w:rsid w:val="3CFE624A"/>
    <w:rsid w:val="3CFF43DE"/>
    <w:rsid w:val="3D000214"/>
    <w:rsid w:val="3D005EB2"/>
    <w:rsid w:val="3D015D3A"/>
    <w:rsid w:val="3D0253F9"/>
    <w:rsid w:val="3D045264"/>
    <w:rsid w:val="3D052731"/>
    <w:rsid w:val="3D0575D8"/>
    <w:rsid w:val="3D065A58"/>
    <w:rsid w:val="3D0715A3"/>
    <w:rsid w:val="3D07320E"/>
    <w:rsid w:val="3D0752FB"/>
    <w:rsid w:val="3D075683"/>
    <w:rsid w:val="3D0777F5"/>
    <w:rsid w:val="3D092B74"/>
    <w:rsid w:val="3D09356D"/>
    <w:rsid w:val="3D0A1093"/>
    <w:rsid w:val="3D0A2E41"/>
    <w:rsid w:val="3D0C0065"/>
    <w:rsid w:val="3D0C0967"/>
    <w:rsid w:val="3D0C6691"/>
    <w:rsid w:val="3D0D14F5"/>
    <w:rsid w:val="3D0D2931"/>
    <w:rsid w:val="3D0D29EC"/>
    <w:rsid w:val="3D0D6849"/>
    <w:rsid w:val="3D0D727F"/>
    <w:rsid w:val="3D0E3C97"/>
    <w:rsid w:val="3D0E6600"/>
    <w:rsid w:val="3D0F0457"/>
    <w:rsid w:val="3D0F2205"/>
    <w:rsid w:val="3D0F29BB"/>
    <w:rsid w:val="3D0F48FB"/>
    <w:rsid w:val="3D103128"/>
    <w:rsid w:val="3D1075E3"/>
    <w:rsid w:val="3D107C29"/>
    <w:rsid w:val="3D115F7D"/>
    <w:rsid w:val="3D127F47"/>
    <w:rsid w:val="3D141F11"/>
    <w:rsid w:val="3D143CBF"/>
    <w:rsid w:val="3D144B0B"/>
    <w:rsid w:val="3D153CA7"/>
    <w:rsid w:val="3D1654F8"/>
    <w:rsid w:val="3D193084"/>
    <w:rsid w:val="3D193F42"/>
    <w:rsid w:val="3D1A574F"/>
    <w:rsid w:val="3D1B0357"/>
    <w:rsid w:val="3D1B6BD3"/>
    <w:rsid w:val="3D1B6DFC"/>
    <w:rsid w:val="3D1C2A47"/>
    <w:rsid w:val="3D1E4A06"/>
    <w:rsid w:val="3D1F16B0"/>
    <w:rsid w:val="3D2008B6"/>
    <w:rsid w:val="3D202664"/>
    <w:rsid w:val="3D203304"/>
    <w:rsid w:val="3D204412"/>
    <w:rsid w:val="3D2118E0"/>
    <w:rsid w:val="3D211F38"/>
    <w:rsid w:val="3D2214E4"/>
    <w:rsid w:val="3D2263DC"/>
    <w:rsid w:val="3D22700C"/>
    <w:rsid w:val="3D250C0C"/>
    <w:rsid w:val="3D2518E1"/>
    <w:rsid w:val="3D251A29"/>
    <w:rsid w:val="3D255ECD"/>
    <w:rsid w:val="3D257550"/>
    <w:rsid w:val="3D257C7B"/>
    <w:rsid w:val="3D262FCD"/>
    <w:rsid w:val="3D26492B"/>
    <w:rsid w:val="3D271C45"/>
    <w:rsid w:val="3D275287"/>
    <w:rsid w:val="3D29215E"/>
    <w:rsid w:val="3D2959BD"/>
    <w:rsid w:val="3D29776B"/>
    <w:rsid w:val="3D2A34E3"/>
    <w:rsid w:val="3D2B06B0"/>
    <w:rsid w:val="3D2C1009"/>
    <w:rsid w:val="3D2C2B7F"/>
    <w:rsid w:val="3D2C3422"/>
    <w:rsid w:val="3D2C7F69"/>
    <w:rsid w:val="3D2D1F51"/>
    <w:rsid w:val="3D2D6B2F"/>
    <w:rsid w:val="3D2E4D81"/>
    <w:rsid w:val="3D2E7FA5"/>
    <w:rsid w:val="3D2F28A7"/>
    <w:rsid w:val="3D302436"/>
    <w:rsid w:val="3D3103CE"/>
    <w:rsid w:val="3D310A41"/>
    <w:rsid w:val="3D324146"/>
    <w:rsid w:val="3D3305EA"/>
    <w:rsid w:val="3D344362"/>
    <w:rsid w:val="3D346110"/>
    <w:rsid w:val="3D350429"/>
    <w:rsid w:val="3D36093B"/>
    <w:rsid w:val="3D361E88"/>
    <w:rsid w:val="3D363C36"/>
    <w:rsid w:val="3D37175C"/>
    <w:rsid w:val="3D374762"/>
    <w:rsid w:val="3D386165"/>
    <w:rsid w:val="3D393726"/>
    <w:rsid w:val="3D3954D4"/>
    <w:rsid w:val="3D3A568C"/>
    <w:rsid w:val="3D3B2FFA"/>
    <w:rsid w:val="3D3B687F"/>
    <w:rsid w:val="3D3C3A57"/>
    <w:rsid w:val="3D3D3216"/>
    <w:rsid w:val="3D3D4FC4"/>
    <w:rsid w:val="3D3F0FA1"/>
    <w:rsid w:val="3D40208C"/>
    <w:rsid w:val="3D406863"/>
    <w:rsid w:val="3D412EE1"/>
    <w:rsid w:val="3D412F1E"/>
    <w:rsid w:val="3D4143D4"/>
    <w:rsid w:val="3D4225DB"/>
    <w:rsid w:val="3D422E1C"/>
    <w:rsid w:val="3D43654E"/>
    <w:rsid w:val="3D44027D"/>
    <w:rsid w:val="3D4445A5"/>
    <w:rsid w:val="3D45031D"/>
    <w:rsid w:val="3D4520CB"/>
    <w:rsid w:val="3D464256"/>
    <w:rsid w:val="3D4756E6"/>
    <w:rsid w:val="3D483FA5"/>
    <w:rsid w:val="3D485717"/>
    <w:rsid w:val="3D49079B"/>
    <w:rsid w:val="3D491BBB"/>
    <w:rsid w:val="3D4948ED"/>
    <w:rsid w:val="3D4A450B"/>
    <w:rsid w:val="3D4C16AB"/>
    <w:rsid w:val="3D4C5207"/>
    <w:rsid w:val="3D4D0F80"/>
    <w:rsid w:val="3D4D2B53"/>
    <w:rsid w:val="3D4E71D1"/>
    <w:rsid w:val="3D4F21FC"/>
    <w:rsid w:val="3D4F2F4A"/>
    <w:rsid w:val="3D4F470C"/>
    <w:rsid w:val="3D4F4CF8"/>
    <w:rsid w:val="3D4F78C8"/>
    <w:rsid w:val="3D51281E"/>
    <w:rsid w:val="3D514278"/>
    <w:rsid w:val="3D5248BC"/>
    <w:rsid w:val="3D527C28"/>
    <w:rsid w:val="3D533C89"/>
    <w:rsid w:val="3D536596"/>
    <w:rsid w:val="3D540560"/>
    <w:rsid w:val="3D5440BC"/>
    <w:rsid w:val="3D5567B2"/>
    <w:rsid w:val="3D5642D8"/>
    <w:rsid w:val="3D565707"/>
    <w:rsid w:val="3D566086"/>
    <w:rsid w:val="3D567D8A"/>
    <w:rsid w:val="3D567E34"/>
    <w:rsid w:val="3D57036F"/>
    <w:rsid w:val="3D5742AE"/>
    <w:rsid w:val="3D581DFE"/>
    <w:rsid w:val="3D583BAC"/>
    <w:rsid w:val="3D595233"/>
    <w:rsid w:val="3D597924"/>
    <w:rsid w:val="3D597AFB"/>
    <w:rsid w:val="3D5A3153"/>
    <w:rsid w:val="3D5B18EE"/>
    <w:rsid w:val="3D5B3EDF"/>
    <w:rsid w:val="3D5B544A"/>
    <w:rsid w:val="3D5C0808"/>
    <w:rsid w:val="3D5C645B"/>
    <w:rsid w:val="3D5D04C1"/>
    <w:rsid w:val="3D5D0ED8"/>
    <w:rsid w:val="3D5D5132"/>
    <w:rsid w:val="3D5D52E5"/>
    <w:rsid w:val="3D5E0D9C"/>
    <w:rsid w:val="3D5F20A1"/>
    <w:rsid w:val="3D5F318D"/>
    <w:rsid w:val="3D5F6937"/>
    <w:rsid w:val="3D604DFD"/>
    <w:rsid w:val="3D6152EE"/>
    <w:rsid w:val="3D61628D"/>
    <w:rsid w:val="3D6168CB"/>
    <w:rsid w:val="3D6222EE"/>
    <w:rsid w:val="3D624A2B"/>
    <w:rsid w:val="3D630BAD"/>
    <w:rsid w:val="3D63124B"/>
    <w:rsid w:val="3D6320AE"/>
    <w:rsid w:val="3D637ABC"/>
    <w:rsid w:val="3D6469F5"/>
    <w:rsid w:val="3D66752E"/>
    <w:rsid w:val="3D672041"/>
    <w:rsid w:val="3D686160"/>
    <w:rsid w:val="3D6B227E"/>
    <w:rsid w:val="3D6B7F55"/>
    <w:rsid w:val="3D6E33D0"/>
    <w:rsid w:val="3D6E37B6"/>
    <w:rsid w:val="3D711112"/>
    <w:rsid w:val="3D712EC0"/>
    <w:rsid w:val="3D7218BA"/>
    <w:rsid w:val="3D734E8A"/>
    <w:rsid w:val="3D735751"/>
    <w:rsid w:val="3D74475E"/>
    <w:rsid w:val="3D7647E3"/>
    <w:rsid w:val="3D78424E"/>
    <w:rsid w:val="3D785FFC"/>
    <w:rsid w:val="3D793B23"/>
    <w:rsid w:val="3D797324"/>
    <w:rsid w:val="3D7B3D3F"/>
    <w:rsid w:val="3D7B5AED"/>
    <w:rsid w:val="3D7B789B"/>
    <w:rsid w:val="3D7C7220"/>
    <w:rsid w:val="3D7D1865"/>
    <w:rsid w:val="3D7D7AB7"/>
    <w:rsid w:val="3D7E5796"/>
    <w:rsid w:val="3D7F382F"/>
    <w:rsid w:val="3D7F6A3A"/>
    <w:rsid w:val="3D801355"/>
    <w:rsid w:val="3D802EF4"/>
    <w:rsid w:val="3D803103"/>
    <w:rsid w:val="3D804EB1"/>
    <w:rsid w:val="3D807F9A"/>
    <w:rsid w:val="3D8250CD"/>
    <w:rsid w:val="3D83329F"/>
    <w:rsid w:val="3D84188E"/>
    <w:rsid w:val="3D84267B"/>
    <w:rsid w:val="3D842741"/>
    <w:rsid w:val="3D842BF3"/>
    <w:rsid w:val="3D8449A1"/>
    <w:rsid w:val="3D86486D"/>
    <w:rsid w:val="3D864BBD"/>
    <w:rsid w:val="3D8726E3"/>
    <w:rsid w:val="3D880E3E"/>
    <w:rsid w:val="3D89020A"/>
    <w:rsid w:val="3D891FB8"/>
    <w:rsid w:val="3D8A23C3"/>
    <w:rsid w:val="3D8B14FA"/>
    <w:rsid w:val="3D8B3F40"/>
    <w:rsid w:val="3D8B6754"/>
    <w:rsid w:val="3D8C3C51"/>
    <w:rsid w:val="3D8C3E06"/>
    <w:rsid w:val="3D8C5E8D"/>
    <w:rsid w:val="3D8D2361"/>
    <w:rsid w:val="3D8E0053"/>
    <w:rsid w:val="3D8E3A72"/>
    <w:rsid w:val="3D8E5820"/>
    <w:rsid w:val="3D8F3346"/>
    <w:rsid w:val="3D8F3EC5"/>
    <w:rsid w:val="3D8F5D05"/>
    <w:rsid w:val="3D90216B"/>
    <w:rsid w:val="3D913562"/>
    <w:rsid w:val="3D915310"/>
    <w:rsid w:val="3D9250BB"/>
    <w:rsid w:val="3D926C41"/>
    <w:rsid w:val="3D931417"/>
    <w:rsid w:val="3D931C7E"/>
    <w:rsid w:val="3D94112B"/>
    <w:rsid w:val="3D956BAE"/>
    <w:rsid w:val="3D960B78"/>
    <w:rsid w:val="3D962926"/>
    <w:rsid w:val="3D967AB1"/>
    <w:rsid w:val="3D985750"/>
    <w:rsid w:val="3D995F73"/>
    <w:rsid w:val="3D9A05BE"/>
    <w:rsid w:val="3D9A6B04"/>
    <w:rsid w:val="3D9B096F"/>
    <w:rsid w:val="3D9B1520"/>
    <w:rsid w:val="3D9B1CEB"/>
    <w:rsid w:val="3D9B618F"/>
    <w:rsid w:val="3D9D1F07"/>
    <w:rsid w:val="3D9D3CB5"/>
    <w:rsid w:val="3D9E31F3"/>
    <w:rsid w:val="3D9E391B"/>
    <w:rsid w:val="3D9F17DB"/>
    <w:rsid w:val="3DA05553"/>
    <w:rsid w:val="3DA07301"/>
    <w:rsid w:val="3DA212CB"/>
    <w:rsid w:val="3DA2751D"/>
    <w:rsid w:val="3DA64EA6"/>
    <w:rsid w:val="3DA75E51"/>
    <w:rsid w:val="3DA80564"/>
    <w:rsid w:val="3DA91EB2"/>
    <w:rsid w:val="3DAB73A3"/>
    <w:rsid w:val="3DAC5CA6"/>
    <w:rsid w:val="3DAE5EC2"/>
    <w:rsid w:val="3DAE6EA7"/>
    <w:rsid w:val="3DAE7C70"/>
    <w:rsid w:val="3DAF5A97"/>
    <w:rsid w:val="3DB01C3A"/>
    <w:rsid w:val="3DB039E8"/>
    <w:rsid w:val="3DB13AF8"/>
    <w:rsid w:val="3DB159B2"/>
    <w:rsid w:val="3DB22CC1"/>
    <w:rsid w:val="3DB334D8"/>
    <w:rsid w:val="3DB35286"/>
    <w:rsid w:val="3DB43D96"/>
    <w:rsid w:val="3DB446B2"/>
    <w:rsid w:val="3DB50455"/>
    <w:rsid w:val="3DB55AEC"/>
    <w:rsid w:val="3DB57251"/>
    <w:rsid w:val="3DB654F6"/>
    <w:rsid w:val="3DB77087"/>
    <w:rsid w:val="3DB86D2C"/>
    <w:rsid w:val="3DB86D41"/>
    <w:rsid w:val="3DB908F0"/>
    <w:rsid w:val="3DBA6615"/>
    <w:rsid w:val="3DBB3958"/>
    <w:rsid w:val="3DBD0DEF"/>
    <w:rsid w:val="3DBD54C8"/>
    <w:rsid w:val="3DBD6105"/>
    <w:rsid w:val="3DBE572B"/>
    <w:rsid w:val="3DBF00CF"/>
    <w:rsid w:val="3DBF1A26"/>
    <w:rsid w:val="3DBF1E7D"/>
    <w:rsid w:val="3DBF59D9"/>
    <w:rsid w:val="3DC47494"/>
    <w:rsid w:val="3DC47A8A"/>
    <w:rsid w:val="3DC6320C"/>
    <w:rsid w:val="3DC70D32"/>
    <w:rsid w:val="3DC7223C"/>
    <w:rsid w:val="3DC76F84"/>
    <w:rsid w:val="3DC86CB4"/>
    <w:rsid w:val="3DCB25D0"/>
    <w:rsid w:val="3DCB4E93"/>
    <w:rsid w:val="3DCC1801"/>
    <w:rsid w:val="3DCC5882"/>
    <w:rsid w:val="3DCC6348"/>
    <w:rsid w:val="3DCE20C0"/>
    <w:rsid w:val="3DD0505D"/>
    <w:rsid w:val="3DD05E38"/>
    <w:rsid w:val="3DD12B04"/>
    <w:rsid w:val="3DD1395F"/>
    <w:rsid w:val="3DD31485"/>
    <w:rsid w:val="3DD376D7"/>
    <w:rsid w:val="3DD44DB4"/>
    <w:rsid w:val="3DD476B8"/>
    <w:rsid w:val="3DD5344F"/>
    <w:rsid w:val="3DD551FD"/>
    <w:rsid w:val="3DD60F75"/>
    <w:rsid w:val="3DD63361"/>
    <w:rsid w:val="3DD671C7"/>
    <w:rsid w:val="3DD80F1F"/>
    <w:rsid w:val="3DD82F3F"/>
    <w:rsid w:val="3DD83800"/>
    <w:rsid w:val="3DD84CED"/>
    <w:rsid w:val="3DD91F25"/>
    <w:rsid w:val="3DDA121C"/>
    <w:rsid w:val="3DDA2813"/>
    <w:rsid w:val="3DDA6CB7"/>
    <w:rsid w:val="3DDA70AD"/>
    <w:rsid w:val="3DDB658B"/>
    <w:rsid w:val="3DDC47DD"/>
    <w:rsid w:val="3DDD2303"/>
    <w:rsid w:val="3DDF0D5F"/>
    <w:rsid w:val="3DDF36C2"/>
    <w:rsid w:val="3DDF607B"/>
    <w:rsid w:val="3DDF7E2A"/>
    <w:rsid w:val="3DE03BA2"/>
    <w:rsid w:val="3DE06FD8"/>
    <w:rsid w:val="3DE11DF4"/>
    <w:rsid w:val="3DE14523"/>
    <w:rsid w:val="3DE17264"/>
    <w:rsid w:val="3DE23776"/>
    <w:rsid w:val="3DE23DBE"/>
    <w:rsid w:val="3DE2791A"/>
    <w:rsid w:val="3DE32B7F"/>
    <w:rsid w:val="3DE32D2F"/>
    <w:rsid w:val="3DE35D66"/>
    <w:rsid w:val="3DE36A7E"/>
    <w:rsid w:val="3DE44963"/>
    <w:rsid w:val="3DE47B36"/>
    <w:rsid w:val="3DE61E54"/>
    <w:rsid w:val="3DE63595"/>
    <w:rsid w:val="3DE6740A"/>
    <w:rsid w:val="3DE722EC"/>
    <w:rsid w:val="3DE73182"/>
    <w:rsid w:val="3DE74F30"/>
    <w:rsid w:val="3DE9514C"/>
    <w:rsid w:val="3DEB484B"/>
    <w:rsid w:val="3DEB4A20"/>
    <w:rsid w:val="3DEB4E28"/>
    <w:rsid w:val="3DEC0798"/>
    <w:rsid w:val="3DEC14F7"/>
    <w:rsid w:val="3DEC2546"/>
    <w:rsid w:val="3DEC65C0"/>
    <w:rsid w:val="3DEE2762"/>
    <w:rsid w:val="3DEE62BF"/>
    <w:rsid w:val="3DEF4FDE"/>
    <w:rsid w:val="3DF07218"/>
    <w:rsid w:val="3DF16F67"/>
    <w:rsid w:val="3DF209A1"/>
    <w:rsid w:val="3DF37D79"/>
    <w:rsid w:val="3DF46943"/>
    <w:rsid w:val="3DF47029"/>
    <w:rsid w:val="3DF53AF1"/>
    <w:rsid w:val="3DF60F7E"/>
    <w:rsid w:val="3DF77869"/>
    <w:rsid w:val="3DF8538F"/>
    <w:rsid w:val="3DF8713D"/>
    <w:rsid w:val="3DFA1107"/>
    <w:rsid w:val="3DFA2EB5"/>
    <w:rsid w:val="3DFA66B2"/>
    <w:rsid w:val="3DFB09DB"/>
    <w:rsid w:val="3DFF04CC"/>
    <w:rsid w:val="3DFF227A"/>
    <w:rsid w:val="3DFF234E"/>
    <w:rsid w:val="3DFF671E"/>
    <w:rsid w:val="3E012496"/>
    <w:rsid w:val="3E015FF2"/>
    <w:rsid w:val="3E01661A"/>
    <w:rsid w:val="3E021663"/>
    <w:rsid w:val="3E021D6A"/>
    <w:rsid w:val="3E045AE2"/>
    <w:rsid w:val="3E067CFD"/>
    <w:rsid w:val="3E074E41"/>
    <w:rsid w:val="3E0819A1"/>
    <w:rsid w:val="3E081DAF"/>
    <w:rsid w:val="3E083824"/>
    <w:rsid w:val="3E09134A"/>
    <w:rsid w:val="3E097534"/>
    <w:rsid w:val="3E0A08D4"/>
    <w:rsid w:val="3E0A1FB7"/>
    <w:rsid w:val="3E0A7D2A"/>
    <w:rsid w:val="3E0B0C1F"/>
    <w:rsid w:val="3E0B50C2"/>
    <w:rsid w:val="3E0B7C2C"/>
    <w:rsid w:val="3E0C0098"/>
    <w:rsid w:val="3E0C2AD8"/>
    <w:rsid w:val="3E0C4997"/>
    <w:rsid w:val="3E0E070F"/>
    <w:rsid w:val="3E0E4BB3"/>
    <w:rsid w:val="3E0F3843"/>
    <w:rsid w:val="3E10092B"/>
    <w:rsid w:val="3E100FD4"/>
    <w:rsid w:val="3E1026D9"/>
    <w:rsid w:val="3E104487"/>
    <w:rsid w:val="3E112313"/>
    <w:rsid w:val="3E1155B3"/>
    <w:rsid w:val="3E1279E1"/>
    <w:rsid w:val="3E130E71"/>
    <w:rsid w:val="3E1321C9"/>
    <w:rsid w:val="3E135D25"/>
    <w:rsid w:val="3E147B57"/>
    <w:rsid w:val="3E155F41"/>
    <w:rsid w:val="3E16714D"/>
    <w:rsid w:val="3E1675C3"/>
    <w:rsid w:val="3E171CB9"/>
    <w:rsid w:val="3E173A67"/>
    <w:rsid w:val="3E18158D"/>
    <w:rsid w:val="3E18333B"/>
    <w:rsid w:val="3E1877DF"/>
    <w:rsid w:val="3E1A2A40"/>
    <w:rsid w:val="3E1A3557"/>
    <w:rsid w:val="3E1A70B4"/>
    <w:rsid w:val="3E1C0879"/>
    <w:rsid w:val="3E1C72D0"/>
    <w:rsid w:val="3E1D0952"/>
    <w:rsid w:val="3E1D4DF6"/>
    <w:rsid w:val="3E1D6BA4"/>
    <w:rsid w:val="3E1E6A1B"/>
    <w:rsid w:val="3E1F0B6E"/>
    <w:rsid w:val="3E202D91"/>
    <w:rsid w:val="3E210442"/>
    <w:rsid w:val="3E2121B3"/>
    <w:rsid w:val="3E216694"/>
    <w:rsid w:val="3E222A49"/>
    <w:rsid w:val="3E22584D"/>
    <w:rsid w:val="3E23065E"/>
    <w:rsid w:val="3E23240C"/>
    <w:rsid w:val="3E232929"/>
    <w:rsid w:val="3E236EF3"/>
    <w:rsid w:val="3E260FAD"/>
    <w:rsid w:val="3E262C4C"/>
    <w:rsid w:val="3E281C07"/>
    <w:rsid w:val="3E285C74"/>
    <w:rsid w:val="3E2919ED"/>
    <w:rsid w:val="3E29379B"/>
    <w:rsid w:val="3E297793"/>
    <w:rsid w:val="3E297EBD"/>
    <w:rsid w:val="3E2B40B9"/>
    <w:rsid w:val="3E2B66DA"/>
    <w:rsid w:val="3E2B7513"/>
    <w:rsid w:val="3E2C6FC1"/>
    <w:rsid w:val="3E2E2B5F"/>
    <w:rsid w:val="3E2F7FA3"/>
    <w:rsid w:val="3E300685"/>
    <w:rsid w:val="3E3143FD"/>
    <w:rsid w:val="3E3208A1"/>
    <w:rsid w:val="3E330175"/>
    <w:rsid w:val="3E341985"/>
    <w:rsid w:val="3E34765C"/>
    <w:rsid w:val="3E35213F"/>
    <w:rsid w:val="3E353243"/>
    <w:rsid w:val="3E353EED"/>
    <w:rsid w:val="3E361F4B"/>
    <w:rsid w:val="3E3839DE"/>
    <w:rsid w:val="3E391AAE"/>
    <w:rsid w:val="3E391C30"/>
    <w:rsid w:val="3E392D42"/>
    <w:rsid w:val="3E3A59A8"/>
    <w:rsid w:val="3E3B7B31"/>
    <w:rsid w:val="3E3C34CE"/>
    <w:rsid w:val="3E3D2DA2"/>
    <w:rsid w:val="3E3D3C69"/>
    <w:rsid w:val="3E3E013F"/>
    <w:rsid w:val="3E3E1C48"/>
    <w:rsid w:val="3E3F2FBE"/>
    <w:rsid w:val="3E3F6B1A"/>
    <w:rsid w:val="3E4157E9"/>
    <w:rsid w:val="3E4203B8"/>
    <w:rsid w:val="3E42660A"/>
    <w:rsid w:val="3E43485C"/>
    <w:rsid w:val="3E4405D4"/>
    <w:rsid w:val="3E4439DD"/>
    <w:rsid w:val="3E444130"/>
    <w:rsid w:val="3E467EA9"/>
    <w:rsid w:val="3E47725E"/>
    <w:rsid w:val="3E4827C7"/>
    <w:rsid w:val="3E483C21"/>
    <w:rsid w:val="3E497999"/>
    <w:rsid w:val="3E4A11E6"/>
    <w:rsid w:val="3E4A66E2"/>
    <w:rsid w:val="3E4B3711"/>
    <w:rsid w:val="3E4D08CE"/>
    <w:rsid w:val="3E4D1237"/>
    <w:rsid w:val="3E4D56DB"/>
    <w:rsid w:val="3E4D5948"/>
    <w:rsid w:val="3E4D63CA"/>
    <w:rsid w:val="3E4D7489"/>
    <w:rsid w:val="3E4E3201"/>
    <w:rsid w:val="3E4E6111"/>
    <w:rsid w:val="3E4F2FC3"/>
    <w:rsid w:val="3E503562"/>
    <w:rsid w:val="3E513434"/>
    <w:rsid w:val="3E522CF1"/>
    <w:rsid w:val="3E524A9F"/>
    <w:rsid w:val="3E530817"/>
    <w:rsid w:val="3E530CCE"/>
    <w:rsid w:val="3E5527E2"/>
    <w:rsid w:val="3E55633E"/>
    <w:rsid w:val="3E575ACD"/>
    <w:rsid w:val="3E5A3606"/>
    <w:rsid w:val="3E5A3954"/>
    <w:rsid w:val="3E5A7DF8"/>
    <w:rsid w:val="3E5C7924"/>
    <w:rsid w:val="3E5E1696"/>
    <w:rsid w:val="3E5E3417"/>
    <w:rsid w:val="3E5F5FE8"/>
    <w:rsid w:val="3E602049"/>
    <w:rsid w:val="3E60386B"/>
    <w:rsid w:val="3E613254"/>
    <w:rsid w:val="3E622809"/>
    <w:rsid w:val="3E6364E0"/>
    <w:rsid w:val="3E636588"/>
    <w:rsid w:val="3E6447D3"/>
    <w:rsid w:val="3E647289"/>
    <w:rsid w:val="3E66054B"/>
    <w:rsid w:val="3E667AED"/>
    <w:rsid w:val="3E676AF4"/>
    <w:rsid w:val="3E680921"/>
    <w:rsid w:val="3E6842C3"/>
    <w:rsid w:val="3E69562D"/>
    <w:rsid w:val="3E6B19C8"/>
    <w:rsid w:val="3E6D18D9"/>
    <w:rsid w:val="3E6D3687"/>
    <w:rsid w:val="3E6E5AE2"/>
    <w:rsid w:val="3E6F38A3"/>
    <w:rsid w:val="3E7041CD"/>
    <w:rsid w:val="3E726EF0"/>
    <w:rsid w:val="3E7358EE"/>
    <w:rsid w:val="3E740419"/>
    <w:rsid w:val="3E740EBA"/>
    <w:rsid w:val="3E742B12"/>
    <w:rsid w:val="3E742C68"/>
    <w:rsid w:val="3E743811"/>
    <w:rsid w:val="3E746D7E"/>
    <w:rsid w:val="3E75078E"/>
    <w:rsid w:val="3E76169E"/>
    <w:rsid w:val="3E761E63"/>
    <w:rsid w:val="3E762E96"/>
    <w:rsid w:val="3E774506"/>
    <w:rsid w:val="3E79027E"/>
    <w:rsid w:val="3E795A0B"/>
    <w:rsid w:val="3E7964D0"/>
    <w:rsid w:val="3E7A14AF"/>
    <w:rsid w:val="3E7A1E1D"/>
    <w:rsid w:val="3E7A2248"/>
    <w:rsid w:val="3E7A5DA4"/>
    <w:rsid w:val="3E7B5510"/>
    <w:rsid w:val="3E7B5785"/>
    <w:rsid w:val="3E7C154B"/>
    <w:rsid w:val="3E7C38CA"/>
    <w:rsid w:val="3E7C7D6E"/>
    <w:rsid w:val="3E7D7E30"/>
    <w:rsid w:val="3E7E2A01"/>
    <w:rsid w:val="3E7E30BE"/>
    <w:rsid w:val="3E7E3AE6"/>
    <w:rsid w:val="3E802A53"/>
    <w:rsid w:val="3E810EE1"/>
    <w:rsid w:val="3E8135D7"/>
    <w:rsid w:val="3E816CD3"/>
    <w:rsid w:val="3E817133"/>
    <w:rsid w:val="3E8312EF"/>
    <w:rsid w:val="3E8372BA"/>
    <w:rsid w:val="3E8409D1"/>
    <w:rsid w:val="3E845DE6"/>
    <w:rsid w:val="3E854E75"/>
    <w:rsid w:val="3E860BED"/>
    <w:rsid w:val="3E866E17"/>
    <w:rsid w:val="3E872FC0"/>
    <w:rsid w:val="3E886761"/>
    <w:rsid w:val="3E890FE0"/>
    <w:rsid w:val="3E8A5D43"/>
    <w:rsid w:val="3E8B7FB1"/>
    <w:rsid w:val="3E8C358E"/>
    <w:rsid w:val="3E9001A8"/>
    <w:rsid w:val="3E90381A"/>
    <w:rsid w:val="3E9055C8"/>
    <w:rsid w:val="3E907559"/>
    <w:rsid w:val="3E921340"/>
    <w:rsid w:val="3E924DCB"/>
    <w:rsid w:val="3E93351A"/>
    <w:rsid w:val="3E946E66"/>
    <w:rsid w:val="3E950C88"/>
    <w:rsid w:val="3E950E30"/>
    <w:rsid w:val="3E95498C"/>
    <w:rsid w:val="3E974BA8"/>
    <w:rsid w:val="3E981D59"/>
    <w:rsid w:val="3E9926CE"/>
    <w:rsid w:val="3E992C55"/>
    <w:rsid w:val="3E99447C"/>
    <w:rsid w:val="3E997C22"/>
    <w:rsid w:val="3E9A01F4"/>
    <w:rsid w:val="3E9A366A"/>
    <w:rsid w:val="3E9A5DD1"/>
    <w:rsid w:val="3E9A6446"/>
    <w:rsid w:val="3E9B1F29"/>
    <w:rsid w:val="3E9B4698"/>
    <w:rsid w:val="3E9B755E"/>
    <w:rsid w:val="3E9C19A9"/>
    <w:rsid w:val="3E9C3F6D"/>
    <w:rsid w:val="3E9D562C"/>
    <w:rsid w:val="3E9F580B"/>
    <w:rsid w:val="3EA0490B"/>
    <w:rsid w:val="3EA11583"/>
    <w:rsid w:val="3EA177D5"/>
    <w:rsid w:val="3EA3354D"/>
    <w:rsid w:val="3EA412FD"/>
    <w:rsid w:val="3EA42E21"/>
    <w:rsid w:val="3EA55BD9"/>
    <w:rsid w:val="3EA61ED6"/>
    <w:rsid w:val="3EA6303D"/>
    <w:rsid w:val="3EA64DEB"/>
    <w:rsid w:val="3EA71F35"/>
    <w:rsid w:val="3EA73EF2"/>
    <w:rsid w:val="3EA74B08"/>
    <w:rsid w:val="3EA80B63"/>
    <w:rsid w:val="3EA8197D"/>
    <w:rsid w:val="3EA90437"/>
    <w:rsid w:val="3EAB41B0"/>
    <w:rsid w:val="3EAD58D5"/>
    <w:rsid w:val="3EAD7F28"/>
    <w:rsid w:val="3EAE26A6"/>
    <w:rsid w:val="3EAE33E9"/>
    <w:rsid w:val="3EAE5A4E"/>
    <w:rsid w:val="3EB03066"/>
    <w:rsid w:val="3EB11E00"/>
    <w:rsid w:val="3EB221B1"/>
    <w:rsid w:val="3EB23790"/>
    <w:rsid w:val="3EB2553E"/>
    <w:rsid w:val="3EB43064"/>
    <w:rsid w:val="3EB46FC0"/>
    <w:rsid w:val="3EB70DA6"/>
    <w:rsid w:val="3EB74BA6"/>
    <w:rsid w:val="3EB76FF8"/>
    <w:rsid w:val="3EB9306E"/>
    <w:rsid w:val="3EB94B1E"/>
    <w:rsid w:val="3EBA0D96"/>
    <w:rsid w:val="3EBA2645"/>
    <w:rsid w:val="3EBB1512"/>
    <w:rsid w:val="3EBB73C7"/>
    <w:rsid w:val="3EBC016B"/>
    <w:rsid w:val="3EBE39DC"/>
    <w:rsid w:val="3EBF7C5B"/>
    <w:rsid w:val="3EC040FF"/>
    <w:rsid w:val="3EC05EAD"/>
    <w:rsid w:val="3EC207BB"/>
    <w:rsid w:val="3EC244C3"/>
    <w:rsid w:val="3EC314F9"/>
    <w:rsid w:val="3EC3599D"/>
    <w:rsid w:val="3EC43D05"/>
    <w:rsid w:val="3EC50118"/>
    <w:rsid w:val="3EC534C3"/>
    <w:rsid w:val="3EC55271"/>
    <w:rsid w:val="3EC60FE9"/>
    <w:rsid w:val="3EC64414"/>
    <w:rsid w:val="3EC6723B"/>
    <w:rsid w:val="3EC7296C"/>
    <w:rsid w:val="3EC73F78"/>
    <w:rsid w:val="3EC7548D"/>
    <w:rsid w:val="3EC77C97"/>
    <w:rsid w:val="3EC86B10"/>
    <w:rsid w:val="3EC90A0B"/>
    <w:rsid w:val="3ECA0ADA"/>
    <w:rsid w:val="3ECA1683"/>
    <w:rsid w:val="3ECB2297"/>
    <w:rsid w:val="3ECE5FFC"/>
    <w:rsid w:val="3ECF4342"/>
    <w:rsid w:val="3ECF60F0"/>
    <w:rsid w:val="3ECF7E9E"/>
    <w:rsid w:val="3ED100BA"/>
    <w:rsid w:val="3ED132B2"/>
    <w:rsid w:val="3ED23E32"/>
    <w:rsid w:val="3ED41958"/>
    <w:rsid w:val="3ED4703D"/>
    <w:rsid w:val="3ED569A0"/>
    <w:rsid w:val="3ED633E0"/>
    <w:rsid w:val="3ED733E3"/>
    <w:rsid w:val="3ED74FA5"/>
    <w:rsid w:val="3ED80F3A"/>
    <w:rsid w:val="3ED81ECA"/>
    <w:rsid w:val="3ED8360B"/>
    <w:rsid w:val="3ED92ACB"/>
    <w:rsid w:val="3ED96F6F"/>
    <w:rsid w:val="3EDA6817"/>
    <w:rsid w:val="3EDA6843"/>
    <w:rsid w:val="3EDA7278"/>
    <w:rsid w:val="3EDB4A95"/>
    <w:rsid w:val="3EDC080D"/>
    <w:rsid w:val="3EE01BB7"/>
    <w:rsid w:val="3EE020AB"/>
    <w:rsid w:val="3EE15E23"/>
    <w:rsid w:val="3EE26F60"/>
    <w:rsid w:val="3EE37DED"/>
    <w:rsid w:val="3EE52CD6"/>
    <w:rsid w:val="3EE53B65"/>
    <w:rsid w:val="3EE64E42"/>
    <w:rsid w:val="3EE819BF"/>
    <w:rsid w:val="3EE871B2"/>
    <w:rsid w:val="3EE94590"/>
    <w:rsid w:val="3EE96C43"/>
    <w:rsid w:val="3EEA2F2A"/>
    <w:rsid w:val="3EEB27FE"/>
    <w:rsid w:val="3EED47C8"/>
    <w:rsid w:val="3EED6576"/>
    <w:rsid w:val="3EEE0374"/>
    <w:rsid w:val="3EEE694E"/>
    <w:rsid w:val="3EEF0540"/>
    <w:rsid w:val="3EEF612B"/>
    <w:rsid w:val="3EF1250A"/>
    <w:rsid w:val="3EF23B8C"/>
    <w:rsid w:val="3EF439A0"/>
    <w:rsid w:val="3EF5367D"/>
    <w:rsid w:val="3EF57C2E"/>
    <w:rsid w:val="3EF6006E"/>
    <w:rsid w:val="3EF67B21"/>
    <w:rsid w:val="3EF71D3B"/>
    <w:rsid w:val="3EF94085"/>
    <w:rsid w:val="3EF9644A"/>
    <w:rsid w:val="3EF97D9A"/>
    <w:rsid w:val="3EFB5137"/>
    <w:rsid w:val="3EFB5264"/>
    <w:rsid w:val="3EFB6EE5"/>
    <w:rsid w:val="3EFD40FF"/>
    <w:rsid w:val="3EFE36CE"/>
    <w:rsid w:val="3EFE69D5"/>
    <w:rsid w:val="3EFF67B6"/>
    <w:rsid w:val="3F00338D"/>
    <w:rsid w:val="3F0062A9"/>
    <w:rsid w:val="3F0345D8"/>
    <w:rsid w:val="3F035D9A"/>
    <w:rsid w:val="3F042FB2"/>
    <w:rsid w:val="3F043E54"/>
    <w:rsid w:val="3F071615"/>
    <w:rsid w:val="3F081602"/>
    <w:rsid w:val="3F095A31"/>
    <w:rsid w:val="3F0A38C9"/>
    <w:rsid w:val="3F0A537A"/>
    <w:rsid w:val="3F0B0FB8"/>
    <w:rsid w:val="3F0C204C"/>
    <w:rsid w:val="3F0D34C0"/>
    <w:rsid w:val="3F0E1401"/>
    <w:rsid w:val="3F0E7807"/>
    <w:rsid w:val="3F1071D6"/>
    <w:rsid w:val="3F117847"/>
    <w:rsid w:val="3F122481"/>
    <w:rsid w:val="3F12427D"/>
    <w:rsid w:val="3F125FDD"/>
    <w:rsid w:val="3F150622"/>
    <w:rsid w:val="3F1509DC"/>
    <w:rsid w:val="3F152C42"/>
    <w:rsid w:val="3F161F71"/>
    <w:rsid w:val="3F163D1F"/>
    <w:rsid w:val="3F165ACD"/>
    <w:rsid w:val="3F170A05"/>
    <w:rsid w:val="3F171845"/>
    <w:rsid w:val="3F1735F3"/>
    <w:rsid w:val="3F185CE9"/>
    <w:rsid w:val="3F19380F"/>
    <w:rsid w:val="3F1943A1"/>
    <w:rsid w:val="3F1955BD"/>
    <w:rsid w:val="3F1D6580"/>
    <w:rsid w:val="3F1E0E25"/>
    <w:rsid w:val="3F1E2131"/>
    <w:rsid w:val="3F1F711D"/>
    <w:rsid w:val="3F204B9E"/>
    <w:rsid w:val="3F20694C"/>
    <w:rsid w:val="3F207159"/>
    <w:rsid w:val="3F2135E6"/>
    <w:rsid w:val="3F2205CE"/>
    <w:rsid w:val="3F224721"/>
    <w:rsid w:val="3F2261CC"/>
    <w:rsid w:val="3F231C0C"/>
    <w:rsid w:val="3F23468E"/>
    <w:rsid w:val="3F23643C"/>
    <w:rsid w:val="3F2402B5"/>
    <w:rsid w:val="3F250D1A"/>
    <w:rsid w:val="3F255D10"/>
    <w:rsid w:val="3F264BCF"/>
    <w:rsid w:val="3F2751FC"/>
    <w:rsid w:val="3F275F2C"/>
    <w:rsid w:val="3F277CDA"/>
    <w:rsid w:val="3F2A1578"/>
    <w:rsid w:val="3F2A77CA"/>
    <w:rsid w:val="3F2B4006"/>
    <w:rsid w:val="3F2B4824"/>
    <w:rsid w:val="3F2C3542"/>
    <w:rsid w:val="3F2D206F"/>
    <w:rsid w:val="3F2D30E3"/>
    <w:rsid w:val="3F2D72BA"/>
    <w:rsid w:val="3F2F3033"/>
    <w:rsid w:val="3F2F6EBF"/>
    <w:rsid w:val="3F303E52"/>
    <w:rsid w:val="3F304187"/>
    <w:rsid w:val="3F306D25"/>
    <w:rsid w:val="3F3101B5"/>
    <w:rsid w:val="3F312907"/>
    <w:rsid w:val="3F32042D"/>
    <w:rsid w:val="3F3348D1"/>
    <w:rsid w:val="3F3423F7"/>
    <w:rsid w:val="3F343A20"/>
    <w:rsid w:val="3F3501F2"/>
    <w:rsid w:val="3F35130F"/>
    <w:rsid w:val="3F367F1D"/>
    <w:rsid w:val="3F373C95"/>
    <w:rsid w:val="3F374940"/>
    <w:rsid w:val="3F3A6F05"/>
    <w:rsid w:val="3F3B075A"/>
    <w:rsid w:val="3F3B19D7"/>
    <w:rsid w:val="3F3C12AC"/>
    <w:rsid w:val="3F3C6A4D"/>
    <w:rsid w:val="3F3D5750"/>
    <w:rsid w:val="3F3D686C"/>
    <w:rsid w:val="3F3E3276"/>
    <w:rsid w:val="3F3E3A12"/>
    <w:rsid w:val="3F3E3BC8"/>
    <w:rsid w:val="3F3E6DD2"/>
    <w:rsid w:val="3F40258F"/>
    <w:rsid w:val="3F402B4A"/>
    <w:rsid w:val="3F404897"/>
    <w:rsid w:val="3F422D66"/>
    <w:rsid w:val="3F42410E"/>
    <w:rsid w:val="3F424339"/>
    <w:rsid w:val="3F425A49"/>
    <w:rsid w:val="3F43263A"/>
    <w:rsid w:val="3F4418DB"/>
    <w:rsid w:val="3F444EEA"/>
    <w:rsid w:val="3F450160"/>
    <w:rsid w:val="3F453F77"/>
    <w:rsid w:val="3F4563B2"/>
    <w:rsid w:val="3F47037C"/>
    <w:rsid w:val="3F473ED8"/>
    <w:rsid w:val="3F480A25"/>
    <w:rsid w:val="3F481BAD"/>
    <w:rsid w:val="3F48386B"/>
    <w:rsid w:val="3F484CFB"/>
    <w:rsid w:val="3F490F6A"/>
    <w:rsid w:val="3F4A1C1A"/>
    <w:rsid w:val="3F4A39C9"/>
    <w:rsid w:val="3F4A5777"/>
    <w:rsid w:val="3F4B0F69"/>
    <w:rsid w:val="3F4B6AEF"/>
    <w:rsid w:val="3F4C5993"/>
    <w:rsid w:val="3F4C7F1B"/>
    <w:rsid w:val="3F4D5267"/>
    <w:rsid w:val="3F4D6968"/>
    <w:rsid w:val="3F4D76DD"/>
    <w:rsid w:val="3F4E0B6D"/>
    <w:rsid w:val="3F4E4BB7"/>
    <w:rsid w:val="3F4F0957"/>
    <w:rsid w:val="3F4F6F88"/>
    <w:rsid w:val="3F50324F"/>
    <w:rsid w:val="3F512FA9"/>
    <w:rsid w:val="3F516B05"/>
    <w:rsid w:val="3F520ACF"/>
    <w:rsid w:val="3F546065"/>
    <w:rsid w:val="3F5465F5"/>
    <w:rsid w:val="3F570902"/>
    <w:rsid w:val="3F5828EA"/>
    <w:rsid w:val="3F5860E5"/>
    <w:rsid w:val="3F5900B0"/>
    <w:rsid w:val="3F5A120F"/>
    <w:rsid w:val="3F5B0B82"/>
    <w:rsid w:val="3F5B0D38"/>
    <w:rsid w:val="3F5C1BE1"/>
    <w:rsid w:val="3F5C54AA"/>
    <w:rsid w:val="3F5D03C3"/>
    <w:rsid w:val="3F5D194E"/>
    <w:rsid w:val="3F5D601B"/>
    <w:rsid w:val="3F5E18D8"/>
    <w:rsid w:val="3F5E56C6"/>
    <w:rsid w:val="3F5E6431"/>
    <w:rsid w:val="3F60143E"/>
    <w:rsid w:val="3F604F9A"/>
    <w:rsid w:val="3F606D53"/>
    <w:rsid w:val="3F606EC9"/>
    <w:rsid w:val="3F615C6D"/>
    <w:rsid w:val="3F620D12"/>
    <w:rsid w:val="3F6251B6"/>
    <w:rsid w:val="3F652549"/>
    <w:rsid w:val="3F655AF9"/>
    <w:rsid w:val="3F656A54"/>
    <w:rsid w:val="3F672E55"/>
    <w:rsid w:val="3F67457A"/>
    <w:rsid w:val="3F67507E"/>
    <w:rsid w:val="3F676329"/>
    <w:rsid w:val="3F6805FF"/>
    <w:rsid w:val="3F6820A1"/>
    <w:rsid w:val="3F6902F3"/>
    <w:rsid w:val="3F695BE4"/>
    <w:rsid w:val="3F6A0086"/>
    <w:rsid w:val="3F6A406B"/>
    <w:rsid w:val="3F6A6789"/>
    <w:rsid w:val="3F6A6C05"/>
    <w:rsid w:val="3F6D3166"/>
    <w:rsid w:val="3F6D5E17"/>
    <w:rsid w:val="3F6D6CC7"/>
    <w:rsid w:val="3F6E7B27"/>
    <w:rsid w:val="3F6F15E7"/>
    <w:rsid w:val="3F6F1681"/>
    <w:rsid w:val="3F6F1FDE"/>
    <w:rsid w:val="3F6F6722"/>
    <w:rsid w:val="3F6F78D3"/>
    <w:rsid w:val="3F711193"/>
    <w:rsid w:val="3F713EEF"/>
    <w:rsid w:val="3F724CCD"/>
    <w:rsid w:val="3F732B39"/>
    <w:rsid w:val="3F732F1F"/>
    <w:rsid w:val="3F7406F2"/>
    <w:rsid w:val="3F740A45"/>
    <w:rsid w:val="3F742888"/>
    <w:rsid w:val="3F744BEE"/>
    <w:rsid w:val="3F746C97"/>
    <w:rsid w:val="3F762A0F"/>
    <w:rsid w:val="3F7647BE"/>
    <w:rsid w:val="3F793E0B"/>
    <w:rsid w:val="3F7A3AC2"/>
    <w:rsid w:val="3F7A3C77"/>
    <w:rsid w:val="3F7B0026"/>
    <w:rsid w:val="3F7B1DD4"/>
    <w:rsid w:val="3F7B7B8A"/>
    <w:rsid w:val="3F7D507B"/>
    <w:rsid w:val="3F7D6C10"/>
    <w:rsid w:val="3F7D78FA"/>
    <w:rsid w:val="3F80388E"/>
    <w:rsid w:val="3F837BAE"/>
    <w:rsid w:val="3F853598"/>
    <w:rsid w:val="3F855E80"/>
    <w:rsid w:val="3F8637AB"/>
    <w:rsid w:val="3F870779"/>
    <w:rsid w:val="3F8769CB"/>
    <w:rsid w:val="3F896D1E"/>
    <w:rsid w:val="3F8A0099"/>
    <w:rsid w:val="3F8C0208"/>
    <w:rsid w:val="3F8D1F9F"/>
    <w:rsid w:val="3F8E7D59"/>
    <w:rsid w:val="3F8F3AD1"/>
    <w:rsid w:val="3F8F587F"/>
    <w:rsid w:val="3F920F7D"/>
    <w:rsid w:val="3F92243F"/>
    <w:rsid w:val="3F93536F"/>
    <w:rsid w:val="3F940D9B"/>
    <w:rsid w:val="3F942E96"/>
    <w:rsid w:val="3F9522F7"/>
    <w:rsid w:val="3F9543E2"/>
    <w:rsid w:val="3F961152"/>
    <w:rsid w:val="3F961A0B"/>
    <w:rsid w:val="3F966C0E"/>
    <w:rsid w:val="3F966D63"/>
    <w:rsid w:val="3F9707F3"/>
    <w:rsid w:val="3F976C6E"/>
    <w:rsid w:val="3F980472"/>
    <w:rsid w:val="3F981CCB"/>
    <w:rsid w:val="3F987B1A"/>
    <w:rsid w:val="3F9904AC"/>
    <w:rsid w:val="3F994C8C"/>
    <w:rsid w:val="3F9966FE"/>
    <w:rsid w:val="3F9A072C"/>
    <w:rsid w:val="3F9A186B"/>
    <w:rsid w:val="3F9A45A3"/>
    <w:rsid w:val="3F9B6A67"/>
    <w:rsid w:val="3F9D0255"/>
    <w:rsid w:val="3F9D1D4A"/>
    <w:rsid w:val="3F9D66A3"/>
    <w:rsid w:val="3F9E43BE"/>
    <w:rsid w:val="3F9F4867"/>
    <w:rsid w:val="3FA06623"/>
    <w:rsid w:val="3FA24216"/>
    <w:rsid w:val="3FA26167"/>
    <w:rsid w:val="3FA27361"/>
    <w:rsid w:val="3FA3268E"/>
    <w:rsid w:val="3FA330D9"/>
    <w:rsid w:val="3FA4132B"/>
    <w:rsid w:val="3FA44006"/>
    <w:rsid w:val="3FA4757D"/>
    <w:rsid w:val="3FA532F5"/>
    <w:rsid w:val="3FA561BF"/>
    <w:rsid w:val="3FA56E51"/>
    <w:rsid w:val="3FA61F7B"/>
    <w:rsid w:val="3FA71C20"/>
    <w:rsid w:val="3FA766D2"/>
    <w:rsid w:val="3FA7706D"/>
    <w:rsid w:val="3FAA090B"/>
    <w:rsid w:val="3FAC01DF"/>
    <w:rsid w:val="3FAC4683"/>
    <w:rsid w:val="3FAC6431"/>
    <w:rsid w:val="3FAE03FB"/>
    <w:rsid w:val="3FB26998"/>
    <w:rsid w:val="3FB33E48"/>
    <w:rsid w:val="3FB5178A"/>
    <w:rsid w:val="3FB62E0C"/>
    <w:rsid w:val="3FB83028"/>
    <w:rsid w:val="3FB853E2"/>
    <w:rsid w:val="3FB87052"/>
    <w:rsid w:val="3FB928FC"/>
    <w:rsid w:val="3FBA0B4E"/>
    <w:rsid w:val="3FBB1A3C"/>
    <w:rsid w:val="3FBB48C6"/>
    <w:rsid w:val="3FBC3D16"/>
    <w:rsid w:val="3FBE44C2"/>
    <w:rsid w:val="3FBE7F13"/>
    <w:rsid w:val="3FBF43B6"/>
    <w:rsid w:val="3FC11EC0"/>
    <w:rsid w:val="3FC167AB"/>
    <w:rsid w:val="3FC25C55"/>
    <w:rsid w:val="3FC306F2"/>
    <w:rsid w:val="3FC37AF9"/>
    <w:rsid w:val="3FC419CD"/>
    <w:rsid w:val="3FC464CB"/>
    <w:rsid w:val="3FC466BA"/>
    <w:rsid w:val="3FC46A7B"/>
    <w:rsid w:val="3FC574F3"/>
    <w:rsid w:val="3FC60A89"/>
    <w:rsid w:val="3FC733A8"/>
    <w:rsid w:val="3FC75019"/>
    <w:rsid w:val="3FC7515B"/>
    <w:rsid w:val="3FC86191"/>
    <w:rsid w:val="3FC9132A"/>
    <w:rsid w:val="3FC92B3F"/>
    <w:rsid w:val="3FCA4B09"/>
    <w:rsid w:val="3FCB1728"/>
    <w:rsid w:val="3FCB232C"/>
    <w:rsid w:val="3FCB252B"/>
    <w:rsid w:val="3FCC262F"/>
    <w:rsid w:val="3FCC3445"/>
    <w:rsid w:val="3FCC6AD3"/>
    <w:rsid w:val="3FCC7106"/>
    <w:rsid w:val="3FCD2003"/>
    <w:rsid w:val="3FCD5180"/>
    <w:rsid w:val="3FCE0156"/>
    <w:rsid w:val="3FCE45FA"/>
    <w:rsid w:val="3FCE63A8"/>
    <w:rsid w:val="3FCF2120"/>
    <w:rsid w:val="3FCF3E13"/>
    <w:rsid w:val="3FCF3ECE"/>
    <w:rsid w:val="3FD019E0"/>
    <w:rsid w:val="3FD0684B"/>
    <w:rsid w:val="3FD117C2"/>
    <w:rsid w:val="3FD157AF"/>
    <w:rsid w:val="3FD17C46"/>
    <w:rsid w:val="3FD357C2"/>
    <w:rsid w:val="3FD50795"/>
    <w:rsid w:val="3FD555D0"/>
    <w:rsid w:val="3FD72262"/>
    <w:rsid w:val="3FDA05C0"/>
    <w:rsid w:val="3FDB1988"/>
    <w:rsid w:val="3FDB5921"/>
    <w:rsid w:val="3FDD483D"/>
    <w:rsid w:val="3FDD65EB"/>
    <w:rsid w:val="3FE034BE"/>
    <w:rsid w:val="3FE058A8"/>
    <w:rsid w:val="3FE060DB"/>
    <w:rsid w:val="3FE168AD"/>
    <w:rsid w:val="3FE200A5"/>
    <w:rsid w:val="3FE212BF"/>
    <w:rsid w:val="3FE3612F"/>
    <w:rsid w:val="3FE37EA0"/>
    <w:rsid w:val="3FE40160"/>
    <w:rsid w:val="3FE51083"/>
    <w:rsid w:val="3FE61943"/>
    <w:rsid w:val="3FE756BB"/>
    <w:rsid w:val="3FE77469"/>
    <w:rsid w:val="3FE94F8F"/>
    <w:rsid w:val="3FEA0D08"/>
    <w:rsid w:val="3FEB6F5A"/>
    <w:rsid w:val="3FEC2CD2"/>
    <w:rsid w:val="3FEC4A80"/>
    <w:rsid w:val="3FED5A8B"/>
    <w:rsid w:val="3FEE1126"/>
    <w:rsid w:val="3FEE15BC"/>
    <w:rsid w:val="3FEE25A6"/>
    <w:rsid w:val="3FEE6A4A"/>
    <w:rsid w:val="3FEE7F68"/>
    <w:rsid w:val="3FEF4504"/>
    <w:rsid w:val="3FEF5AE6"/>
    <w:rsid w:val="3FF01FF5"/>
    <w:rsid w:val="3FF13DF2"/>
    <w:rsid w:val="3FF1653A"/>
    <w:rsid w:val="3FF31255"/>
    <w:rsid w:val="3FF322B2"/>
    <w:rsid w:val="3FF42A43"/>
    <w:rsid w:val="3FF43934"/>
    <w:rsid w:val="3FF57D7F"/>
    <w:rsid w:val="3FF64002"/>
    <w:rsid w:val="3FF658FE"/>
    <w:rsid w:val="3FF75270"/>
    <w:rsid w:val="3FF81676"/>
    <w:rsid w:val="3FF82C7E"/>
    <w:rsid w:val="3FF83425"/>
    <w:rsid w:val="3FF87828"/>
    <w:rsid w:val="3FFA0F4B"/>
    <w:rsid w:val="3FFC1167"/>
    <w:rsid w:val="3FFD4C7F"/>
    <w:rsid w:val="3FFD4EDF"/>
    <w:rsid w:val="3FFD6AE7"/>
    <w:rsid w:val="3FFE35E2"/>
    <w:rsid w:val="3FFF2A05"/>
    <w:rsid w:val="3FFF3A02"/>
    <w:rsid w:val="3FFF45F6"/>
    <w:rsid w:val="40004FD0"/>
    <w:rsid w:val="400134AE"/>
    <w:rsid w:val="4001677D"/>
    <w:rsid w:val="4002045D"/>
    <w:rsid w:val="40022383"/>
    <w:rsid w:val="400224F5"/>
    <w:rsid w:val="40030C42"/>
    <w:rsid w:val="40033813"/>
    <w:rsid w:val="40037546"/>
    <w:rsid w:val="4004131A"/>
    <w:rsid w:val="4004626D"/>
    <w:rsid w:val="40055B41"/>
    <w:rsid w:val="40061FE5"/>
    <w:rsid w:val="40071BD9"/>
    <w:rsid w:val="40083624"/>
    <w:rsid w:val="4008772F"/>
    <w:rsid w:val="40087C3C"/>
    <w:rsid w:val="40095632"/>
    <w:rsid w:val="400973E0"/>
    <w:rsid w:val="400A0B15"/>
    <w:rsid w:val="400B13AA"/>
    <w:rsid w:val="400B3158"/>
    <w:rsid w:val="400B4205"/>
    <w:rsid w:val="400C29D5"/>
    <w:rsid w:val="400C4B76"/>
    <w:rsid w:val="400C5122"/>
    <w:rsid w:val="400C6259"/>
    <w:rsid w:val="400C694A"/>
    <w:rsid w:val="400C6ED0"/>
    <w:rsid w:val="400D2A07"/>
    <w:rsid w:val="400E0E9A"/>
    <w:rsid w:val="400E31BD"/>
    <w:rsid w:val="400F27C8"/>
    <w:rsid w:val="40104C12"/>
    <w:rsid w:val="401146D6"/>
    <w:rsid w:val="4012242F"/>
    <w:rsid w:val="401248F6"/>
    <w:rsid w:val="40134349"/>
    <w:rsid w:val="40141BC7"/>
    <w:rsid w:val="40152228"/>
    <w:rsid w:val="40153FD6"/>
    <w:rsid w:val="401559DC"/>
    <w:rsid w:val="40161AFD"/>
    <w:rsid w:val="401670B8"/>
    <w:rsid w:val="401732FD"/>
    <w:rsid w:val="40175FA1"/>
    <w:rsid w:val="40183AC7"/>
    <w:rsid w:val="401935F5"/>
    <w:rsid w:val="401977DF"/>
    <w:rsid w:val="401A15ED"/>
    <w:rsid w:val="401A5E43"/>
    <w:rsid w:val="401B1A9A"/>
    <w:rsid w:val="401B7113"/>
    <w:rsid w:val="401C0367"/>
    <w:rsid w:val="401C35B7"/>
    <w:rsid w:val="401C5365"/>
    <w:rsid w:val="401D10DD"/>
    <w:rsid w:val="401D14C0"/>
    <w:rsid w:val="401D4686"/>
    <w:rsid w:val="401D5D3B"/>
    <w:rsid w:val="401E041B"/>
    <w:rsid w:val="401E1143"/>
    <w:rsid w:val="401E584A"/>
    <w:rsid w:val="401F09B1"/>
    <w:rsid w:val="401F30A7"/>
    <w:rsid w:val="402204A1"/>
    <w:rsid w:val="40222BB7"/>
    <w:rsid w:val="40224945"/>
    <w:rsid w:val="402257BC"/>
    <w:rsid w:val="402406BD"/>
    <w:rsid w:val="4024246B"/>
    <w:rsid w:val="40244C27"/>
    <w:rsid w:val="402466D3"/>
    <w:rsid w:val="40251CD1"/>
    <w:rsid w:val="40251D40"/>
    <w:rsid w:val="40264B87"/>
    <w:rsid w:val="40271F5C"/>
    <w:rsid w:val="40274A7E"/>
    <w:rsid w:val="4028272F"/>
    <w:rsid w:val="4029459A"/>
    <w:rsid w:val="4029552E"/>
    <w:rsid w:val="40297A82"/>
    <w:rsid w:val="40297E32"/>
    <w:rsid w:val="402A3932"/>
    <w:rsid w:val="402B1A4C"/>
    <w:rsid w:val="402B6928"/>
    <w:rsid w:val="402B6C6B"/>
    <w:rsid w:val="402B7E73"/>
    <w:rsid w:val="402C1113"/>
    <w:rsid w:val="402C1320"/>
    <w:rsid w:val="402C30CE"/>
    <w:rsid w:val="402C4CEF"/>
    <w:rsid w:val="402D7572"/>
    <w:rsid w:val="40316936"/>
    <w:rsid w:val="40322DDA"/>
    <w:rsid w:val="4032514F"/>
    <w:rsid w:val="40326890"/>
    <w:rsid w:val="403501D5"/>
    <w:rsid w:val="40362758"/>
    <w:rsid w:val="40362D6C"/>
    <w:rsid w:val="40363505"/>
    <w:rsid w:val="403719AB"/>
    <w:rsid w:val="4037219F"/>
    <w:rsid w:val="40380FC1"/>
    <w:rsid w:val="40385F17"/>
    <w:rsid w:val="40387BEA"/>
    <w:rsid w:val="40394ED4"/>
    <w:rsid w:val="403A57A6"/>
    <w:rsid w:val="403A57EB"/>
    <w:rsid w:val="403C5A07"/>
    <w:rsid w:val="403C77B5"/>
    <w:rsid w:val="403F2E01"/>
    <w:rsid w:val="403F72A5"/>
    <w:rsid w:val="40404335"/>
    <w:rsid w:val="404137B4"/>
    <w:rsid w:val="40442B0E"/>
    <w:rsid w:val="404448BC"/>
    <w:rsid w:val="40460634"/>
    <w:rsid w:val="404614DB"/>
    <w:rsid w:val="40463591"/>
    <w:rsid w:val="40464190"/>
    <w:rsid w:val="4046720F"/>
    <w:rsid w:val="40477626"/>
    <w:rsid w:val="40477F08"/>
    <w:rsid w:val="40491F46"/>
    <w:rsid w:val="40493C80"/>
    <w:rsid w:val="40494B17"/>
    <w:rsid w:val="404951A7"/>
    <w:rsid w:val="4049657B"/>
    <w:rsid w:val="404A1D0D"/>
    <w:rsid w:val="404A5340"/>
    <w:rsid w:val="404B5C4A"/>
    <w:rsid w:val="404B6A97"/>
    <w:rsid w:val="404C46A3"/>
    <w:rsid w:val="404C68FB"/>
    <w:rsid w:val="404E1296"/>
    <w:rsid w:val="404E30F7"/>
    <w:rsid w:val="404E6749"/>
    <w:rsid w:val="404F1622"/>
    <w:rsid w:val="404F3240"/>
    <w:rsid w:val="404F5E7F"/>
    <w:rsid w:val="40503C21"/>
    <w:rsid w:val="40505A20"/>
    <w:rsid w:val="40512B35"/>
    <w:rsid w:val="40512D12"/>
    <w:rsid w:val="40520D87"/>
    <w:rsid w:val="40524739"/>
    <w:rsid w:val="405368AD"/>
    <w:rsid w:val="40547059"/>
    <w:rsid w:val="40547469"/>
    <w:rsid w:val="40550877"/>
    <w:rsid w:val="40555D6E"/>
    <w:rsid w:val="405745EF"/>
    <w:rsid w:val="40580367"/>
    <w:rsid w:val="40580D4D"/>
    <w:rsid w:val="405908C8"/>
    <w:rsid w:val="405A40DF"/>
    <w:rsid w:val="405A7C3B"/>
    <w:rsid w:val="405C3814"/>
    <w:rsid w:val="405D597D"/>
    <w:rsid w:val="405F34A4"/>
    <w:rsid w:val="406155AD"/>
    <w:rsid w:val="40622AED"/>
    <w:rsid w:val="4062422E"/>
    <w:rsid w:val="40630A6C"/>
    <w:rsid w:val="40633B5A"/>
    <w:rsid w:val="40634EFB"/>
    <w:rsid w:val="40642868"/>
    <w:rsid w:val="40642B5B"/>
    <w:rsid w:val="40662A84"/>
    <w:rsid w:val="40664832"/>
    <w:rsid w:val="406665E0"/>
    <w:rsid w:val="40671125"/>
    <w:rsid w:val="40672358"/>
    <w:rsid w:val="40686461"/>
    <w:rsid w:val="406867FC"/>
    <w:rsid w:val="406901B9"/>
    <w:rsid w:val="40691653"/>
    <w:rsid w:val="406960D0"/>
    <w:rsid w:val="406A4D56"/>
    <w:rsid w:val="406A6C2D"/>
    <w:rsid w:val="406B3BF6"/>
    <w:rsid w:val="406D1E78"/>
    <w:rsid w:val="406D3E12"/>
    <w:rsid w:val="406D5BC1"/>
    <w:rsid w:val="406E1939"/>
    <w:rsid w:val="406E53A2"/>
    <w:rsid w:val="406F1526"/>
    <w:rsid w:val="40716073"/>
    <w:rsid w:val="40720CC9"/>
    <w:rsid w:val="40721429"/>
    <w:rsid w:val="4073314C"/>
    <w:rsid w:val="407343A1"/>
    <w:rsid w:val="40743C2F"/>
    <w:rsid w:val="40747AD3"/>
    <w:rsid w:val="40761B16"/>
    <w:rsid w:val="407654D0"/>
    <w:rsid w:val="407723DB"/>
    <w:rsid w:val="40783A4A"/>
    <w:rsid w:val="40785FF9"/>
    <w:rsid w:val="40786313"/>
    <w:rsid w:val="40792EE3"/>
    <w:rsid w:val="407A02DD"/>
    <w:rsid w:val="407B3DF4"/>
    <w:rsid w:val="407C75EC"/>
    <w:rsid w:val="407D4CB6"/>
    <w:rsid w:val="4080519A"/>
    <w:rsid w:val="40805871"/>
    <w:rsid w:val="40806FD6"/>
    <w:rsid w:val="4081166C"/>
    <w:rsid w:val="408178BE"/>
    <w:rsid w:val="40827192"/>
    <w:rsid w:val="40833636"/>
    <w:rsid w:val="4084115C"/>
    <w:rsid w:val="40842F0A"/>
    <w:rsid w:val="4084438A"/>
    <w:rsid w:val="40844CB8"/>
    <w:rsid w:val="4085484A"/>
    <w:rsid w:val="40855E87"/>
    <w:rsid w:val="40856FC5"/>
    <w:rsid w:val="40860A30"/>
    <w:rsid w:val="40867D28"/>
    <w:rsid w:val="4088053B"/>
    <w:rsid w:val="408829FA"/>
    <w:rsid w:val="408847A8"/>
    <w:rsid w:val="40885F49"/>
    <w:rsid w:val="408A0869"/>
    <w:rsid w:val="408A49C4"/>
    <w:rsid w:val="408A6DA7"/>
    <w:rsid w:val="408B24EB"/>
    <w:rsid w:val="408B342F"/>
    <w:rsid w:val="408B517E"/>
    <w:rsid w:val="408D0011"/>
    <w:rsid w:val="408D0AC7"/>
    <w:rsid w:val="408E08DA"/>
    <w:rsid w:val="408E5B37"/>
    <w:rsid w:val="4092048B"/>
    <w:rsid w:val="40924E1B"/>
    <w:rsid w:val="40925627"/>
    <w:rsid w:val="40953369"/>
    <w:rsid w:val="40954656"/>
    <w:rsid w:val="40955117"/>
    <w:rsid w:val="40957610"/>
    <w:rsid w:val="4096079B"/>
    <w:rsid w:val="4096712A"/>
    <w:rsid w:val="40970E8F"/>
    <w:rsid w:val="409749EB"/>
    <w:rsid w:val="409945F8"/>
    <w:rsid w:val="409969B6"/>
    <w:rsid w:val="409A44DC"/>
    <w:rsid w:val="409B3CAE"/>
    <w:rsid w:val="409B43BF"/>
    <w:rsid w:val="409B6D58"/>
    <w:rsid w:val="409C2B96"/>
    <w:rsid w:val="409D5D7A"/>
    <w:rsid w:val="409E221E"/>
    <w:rsid w:val="40A03222"/>
    <w:rsid w:val="40A03E1C"/>
    <w:rsid w:val="40A07EBD"/>
    <w:rsid w:val="40A11D0E"/>
    <w:rsid w:val="40A1586A"/>
    <w:rsid w:val="40A1608A"/>
    <w:rsid w:val="40A23390"/>
    <w:rsid w:val="40A27169"/>
    <w:rsid w:val="40A31C84"/>
    <w:rsid w:val="40A36CAB"/>
    <w:rsid w:val="40A430A9"/>
    <w:rsid w:val="40A435AC"/>
    <w:rsid w:val="40A4535A"/>
    <w:rsid w:val="40A46B14"/>
    <w:rsid w:val="40A5053E"/>
    <w:rsid w:val="40A60A95"/>
    <w:rsid w:val="40A610D2"/>
    <w:rsid w:val="40A67D91"/>
    <w:rsid w:val="40A702B8"/>
    <w:rsid w:val="40A92971"/>
    <w:rsid w:val="40A9471F"/>
    <w:rsid w:val="40A97E53"/>
    <w:rsid w:val="40AA0BC3"/>
    <w:rsid w:val="40AB493B"/>
    <w:rsid w:val="40AB66E9"/>
    <w:rsid w:val="40AC032F"/>
    <w:rsid w:val="40AC58DD"/>
    <w:rsid w:val="40AE6C10"/>
    <w:rsid w:val="40AE7F87"/>
    <w:rsid w:val="40AF2910"/>
    <w:rsid w:val="40AF3CC5"/>
    <w:rsid w:val="40AF442B"/>
    <w:rsid w:val="40B01316"/>
    <w:rsid w:val="40B014C1"/>
    <w:rsid w:val="40B05AAD"/>
    <w:rsid w:val="40B24D30"/>
    <w:rsid w:val="40B40332"/>
    <w:rsid w:val="40B416B7"/>
    <w:rsid w:val="40B437EF"/>
    <w:rsid w:val="40B44F66"/>
    <w:rsid w:val="40B52091"/>
    <w:rsid w:val="40B61327"/>
    <w:rsid w:val="40B70672"/>
    <w:rsid w:val="40B732E0"/>
    <w:rsid w:val="40B76E3C"/>
    <w:rsid w:val="40B84D47"/>
    <w:rsid w:val="40B85844"/>
    <w:rsid w:val="40B90E06"/>
    <w:rsid w:val="40BB5B14"/>
    <w:rsid w:val="40BB5E41"/>
    <w:rsid w:val="40BC26A4"/>
    <w:rsid w:val="40BC6B48"/>
    <w:rsid w:val="40BD484D"/>
    <w:rsid w:val="40BE330B"/>
    <w:rsid w:val="40BE466E"/>
    <w:rsid w:val="40BE58C5"/>
    <w:rsid w:val="40C1415E"/>
    <w:rsid w:val="40C17CBA"/>
    <w:rsid w:val="40C2412A"/>
    <w:rsid w:val="40C31C84"/>
    <w:rsid w:val="40C357E1"/>
    <w:rsid w:val="40C41559"/>
    <w:rsid w:val="40C63523"/>
    <w:rsid w:val="40C833DC"/>
    <w:rsid w:val="40C854ED"/>
    <w:rsid w:val="40C916D7"/>
    <w:rsid w:val="40C94DC1"/>
    <w:rsid w:val="40CB0B39"/>
    <w:rsid w:val="40CC3328"/>
    <w:rsid w:val="40CD2B03"/>
    <w:rsid w:val="40CD467D"/>
    <w:rsid w:val="40CD5608"/>
    <w:rsid w:val="40CF687B"/>
    <w:rsid w:val="40D043A1"/>
    <w:rsid w:val="40D17293"/>
    <w:rsid w:val="40D338F0"/>
    <w:rsid w:val="40D40F5B"/>
    <w:rsid w:val="40D45C40"/>
    <w:rsid w:val="40D55514"/>
    <w:rsid w:val="40D63773"/>
    <w:rsid w:val="40D75730"/>
    <w:rsid w:val="40D95004"/>
    <w:rsid w:val="40DA0D7C"/>
    <w:rsid w:val="40DA6C81"/>
    <w:rsid w:val="40DA6FCE"/>
    <w:rsid w:val="40DB0111"/>
    <w:rsid w:val="40DB5220"/>
    <w:rsid w:val="40DC2D46"/>
    <w:rsid w:val="40DC4AF4"/>
    <w:rsid w:val="40DD36DA"/>
    <w:rsid w:val="40DD6B90"/>
    <w:rsid w:val="40DE086C"/>
    <w:rsid w:val="40DF18A5"/>
    <w:rsid w:val="40DF6A92"/>
    <w:rsid w:val="40E1138C"/>
    <w:rsid w:val="40E1210B"/>
    <w:rsid w:val="40E13EB9"/>
    <w:rsid w:val="40E37C31"/>
    <w:rsid w:val="40E57E4D"/>
    <w:rsid w:val="40E65973"/>
    <w:rsid w:val="40E670C6"/>
    <w:rsid w:val="40E67721"/>
    <w:rsid w:val="40E816EB"/>
    <w:rsid w:val="40E85247"/>
    <w:rsid w:val="40EB768D"/>
    <w:rsid w:val="40EB7C06"/>
    <w:rsid w:val="40ED209F"/>
    <w:rsid w:val="40ED448D"/>
    <w:rsid w:val="40EF03F7"/>
    <w:rsid w:val="40F005A0"/>
    <w:rsid w:val="40F0234E"/>
    <w:rsid w:val="40F112A6"/>
    <w:rsid w:val="40F40090"/>
    <w:rsid w:val="40F41E3E"/>
    <w:rsid w:val="40F56DBE"/>
    <w:rsid w:val="40F66627"/>
    <w:rsid w:val="40F840B2"/>
    <w:rsid w:val="40F8599B"/>
    <w:rsid w:val="40F92010"/>
    <w:rsid w:val="40F956A6"/>
    <w:rsid w:val="40FA31CC"/>
    <w:rsid w:val="40FA626B"/>
    <w:rsid w:val="40FB13FB"/>
    <w:rsid w:val="40FC0CF2"/>
    <w:rsid w:val="40FC5196"/>
    <w:rsid w:val="40FC5C65"/>
    <w:rsid w:val="40FD375C"/>
    <w:rsid w:val="40FD623A"/>
    <w:rsid w:val="40FE0F0E"/>
    <w:rsid w:val="40FE7EF1"/>
    <w:rsid w:val="41006A35"/>
    <w:rsid w:val="410127AD"/>
    <w:rsid w:val="410249FD"/>
    <w:rsid w:val="41026F44"/>
    <w:rsid w:val="41026F6A"/>
    <w:rsid w:val="41031B51"/>
    <w:rsid w:val="41032748"/>
    <w:rsid w:val="4105229D"/>
    <w:rsid w:val="41053A33"/>
    <w:rsid w:val="41061B71"/>
    <w:rsid w:val="4106480E"/>
    <w:rsid w:val="410730D0"/>
    <w:rsid w:val="410A2B97"/>
    <w:rsid w:val="410C0680"/>
    <w:rsid w:val="410C7F22"/>
    <w:rsid w:val="410D1152"/>
    <w:rsid w:val="410D2422"/>
    <w:rsid w:val="410D4CAE"/>
    <w:rsid w:val="410D770F"/>
    <w:rsid w:val="410F0A26"/>
    <w:rsid w:val="410F38AF"/>
    <w:rsid w:val="410F480F"/>
    <w:rsid w:val="410F49D4"/>
    <w:rsid w:val="411029F0"/>
    <w:rsid w:val="41113062"/>
    <w:rsid w:val="41114D6F"/>
    <w:rsid w:val="41117EC9"/>
    <w:rsid w:val="41120516"/>
    <w:rsid w:val="41120A70"/>
    <w:rsid w:val="41122DB1"/>
    <w:rsid w:val="411339D5"/>
    <w:rsid w:val="411411C7"/>
    <w:rsid w:val="411502A2"/>
    <w:rsid w:val="41151DB4"/>
    <w:rsid w:val="41160006"/>
    <w:rsid w:val="41180544"/>
    <w:rsid w:val="41187257"/>
    <w:rsid w:val="411918A4"/>
    <w:rsid w:val="41197AF6"/>
    <w:rsid w:val="411B4114"/>
    <w:rsid w:val="411B580C"/>
    <w:rsid w:val="411B6EE7"/>
    <w:rsid w:val="411E335F"/>
    <w:rsid w:val="411E6F16"/>
    <w:rsid w:val="412070D7"/>
    <w:rsid w:val="41207397"/>
    <w:rsid w:val="41207F86"/>
    <w:rsid w:val="41210759"/>
    <w:rsid w:val="412133EB"/>
    <w:rsid w:val="41214BFD"/>
    <w:rsid w:val="41222870"/>
    <w:rsid w:val="412344D1"/>
    <w:rsid w:val="41234BFB"/>
    <w:rsid w:val="41255CDA"/>
    <w:rsid w:val="41261DCB"/>
    <w:rsid w:val="41263FC1"/>
    <w:rsid w:val="41265306"/>
    <w:rsid w:val="41270465"/>
    <w:rsid w:val="41285F8B"/>
    <w:rsid w:val="4128697B"/>
    <w:rsid w:val="412B138E"/>
    <w:rsid w:val="412B24C8"/>
    <w:rsid w:val="412B5D43"/>
    <w:rsid w:val="412B7F72"/>
    <w:rsid w:val="412C0CAA"/>
    <w:rsid w:val="412C31D4"/>
    <w:rsid w:val="412C397A"/>
    <w:rsid w:val="412C5A7C"/>
    <w:rsid w:val="412C782A"/>
    <w:rsid w:val="412D3E26"/>
    <w:rsid w:val="412D79B9"/>
    <w:rsid w:val="412E692E"/>
    <w:rsid w:val="412F3FB1"/>
    <w:rsid w:val="412F731A"/>
    <w:rsid w:val="412F7DA3"/>
    <w:rsid w:val="41304718"/>
    <w:rsid w:val="41314E40"/>
    <w:rsid w:val="41320BB8"/>
    <w:rsid w:val="41322966"/>
    <w:rsid w:val="41334B58"/>
    <w:rsid w:val="413621AC"/>
    <w:rsid w:val="41377F7D"/>
    <w:rsid w:val="41384420"/>
    <w:rsid w:val="41391C87"/>
    <w:rsid w:val="41391F47"/>
    <w:rsid w:val="413A51B0"/>
    <w:rsid w:val="413B126A"/>
    <w:rsid w:val="413B5CBF"/>
    <w:rsid w:val="413B7A6D"/>
    <w:rsid w:val="413C37E5"/>
    <w:rsid w:val="413E093E"/>
    <w:rsid w:val="413E3084"/>
    <w:rsid w:val="413E57AF"/>
    <w:rsid w:val="413F77C3"/>
    <w:rsid w:val="41401527"/>
    <w:rsid w:val="414032D5"/>
    <w:rsid w:val="414046BD"/>
    <w:rsid w:val="41410DFB"/>
    <w:rsid w:val="41410E54"/>
    <w:rsid w:val="4142704D"/>
    <w:rsid w:val="41427F42"/>
    <w:rsid w:val="41432DC5"/>
    <w:rsid w:val="41434B73"/>
    <w:rsid w:val="414508EB"/>
    <w:rsid w:val="414601C0"/>
    <w:rsid w:val="4148144B"/>
    <w:rsid w:val="414A7B75"/>
    <w:rsid w:val="414A7CB0"/>
    <w:rsid w:val="414C1C7A"/>
    <w:rsid w:val="414C5340"/>
    <w:rsid w:val="414C5D81"/>
    <w:rsid w:val="414C6E64"/>
    <w:rsid w:val="414C7ECC"/>
    <w:rsid w:val="414D154E"/>
    <w:rsid w:val="414F176A"/>
    <w:rsid w:val="414F3F68"/>
    <w:rsid w:val="414F6F99"/>
    <w:rsid w:val="41513452"/>
    <w:rsid w:val="4153125A"/>
    <w:rsid w:val="41541B00"/>
    <w:rsid w:val="415428DD"/>
    <w:rsid w:val="41546D80"/>
    <w:rsid w:val="41561829"/>
    <w:rsid w:val="41566655"/>
    <w:rsid w:val="41576C04"/>
    <w:rsid w:val="41594397"/>
    <w:rsid w:val="415A0FC6"/>
    <w:rsid w:val="415A36DF"/>
    <w:rsid w:val="415B7967"/>
    <w:rsid w:val="415C2796"/>
    <w:rsid w:val="415C5608"/>
    <w:rsid w:val="415C62B0"/>
    <w:rsid w:val="415D5357"/>
    <w:rsid w:val="415E375B"/>
    <w:rsid w:val="415E7BFF"/>
    <w:rsid w:val="41605419"/>
    <w:rsid w:val="41605725"/>
    <w:rsid w:val="416127D6"/>
    <w:rsid w:val="41614FF9"/>
    <w:rsid w:val="41621B6F"/>
    <w:rsid w:val="416255D1"/>
    <w:rsid w:val="41636602"/>
    <w:rsid w:val="41642659"/>
    <w:rsid w:val="41650BBE"/>
    <w:rsid w:val="41650F8E"/>
    <w:rsid w:val="41652D3C"/>
    <w:rsid w:val="41656898"/>
    <w:rsid w:val="41684383"/>
    <w:rsid w:val="41685BD9"/>
    <w:rsid w:val="41691F8F"/>
    <w:rsid w:val="41692B8E"/>
    <w:rsid w:val="41694918"/>
    <w:rsid w:val="416A0352"/>
    <w:rsid w:val="416A2100"/>
    <w:rsid w:val="416A65A4"/>
    <w:rsid w:val="416B088F"/>
    <w:rsid w:val="416C39BC"/>
    <w:rsid w:val="416C5E78"/>
    <w:rsid w:val="416C69B7"/>
    <w:rsid w:val="416D1BF0"/>
    <w:rsid w:val="416E4964"/>
    <w:rsid w:val="416E62DC"/>
    <w:rsid w:val="416F5968"/>
    <w:rsid w:val="4170196A"/>
    <w:rsid w:val="4170333B"/>
    <w:rsid w:val="4171147A"/>
    <w:rsid w:val="417116E0"/>
    <w:rsid w:val="4171348E"/>
    <w:rsid w:val="41717932"/>
    <w:rsid w:val="41732F67"/>
    <w:rsid w:val="41735459"/>
    <w:rsid w:val="417411D1"/>
    <w:rsid w:val="41742F7F"/>
    <w:rsid w:val="41764F49"/>
    <w:rsid w:val="417661AF"/>
    <w:rsid w:val="41774FF8"/>
    <w:rsid w:val="4178438F"/>
    <w:rsid w:val="417967E7"/>
    <w:rsid w:val="417A79A5"/>
    <w:rsid w:val="417B1711"/>
    <w:rsid w:val="417B2021"/>
    <w:rsid w:val="417B430D"/>
    <w:rsid w:val="417B60BB"/>
    <w:rsid w:val="417D62D7"/>
    <w:rsid w:val="417D75BF"/>
    <w:rsid w:val="417E3DFD"/>
    <w:rsid w:val="417F233C"/>
    <w:rsid w:val="41801923"/>
    <w:rsid w:val="41801E32"/>
    <w:rsid w:val="418036D2"/>
    <w:rsid w:val="418122D7"/>
    <w:rsid w:val="41815E93"/>
    <w:rsid w:val="41832C5B"/>
    <w:rsid w:val="41847666"/>
    <w:rsid w:val="41850291"/>
    <w:rsid w:val="41860B91"/>
    <w:rsid w:val="41864FBD"/>
    <w:rsid w:val="41870F04"/>
    <w:rsid w:val="41874A60"/>
    <w:rsid w:val="418807D8"/>
    <w:rsid w:val="41885B91"/>
    <w:rsid w:val="418A1F04"/>
    <w:rsid w:val="418A4550"/>
    <w:rsid w:val="418C2076"/>
    <w:rsid w:val="418C651A"/>
    <w:rsid w:val="418D4040"/>
    <w:rsid w:val="418D5DEE"/>
    <w:rsid w:val="418E2292"/>
    <w:rsid w:val="418F7DB9"/>
    <w:rsid w:val="41911D83"/>
    <w:rsid w:val="41913B31"/>
    <w:rsid w:val="419169CC"/>
    <w:rsid w:val="41917E68"/>
    <w:rsid w:val="419378A9"/>
    <w:rsid w:val="419413BB"/>
    <w:rsid w:val="41943621"/>
    <w:rsid w:val="419451A4"/>
    <w:rsid w:val="41952BC8"/>
    <w:rsid w:val="419655A8"/>
    <w:rsid w:val="41966349"/>
    <w:rsid w:val="41967399"/>
    <w:rsid w:val="41967F08"/>
    <w:rsid w:val="41984EBF"/>
    <w:rsid w:val="419929E5"/>
    <w:rsid w:val="4199411A"/>
    <w:rsid w:val="41994793"/>
    <w:rsid w:val="419951FF"/>
    <w:rsid w:val="4199585A"/>
    <w:rsid w:val="419B050B"/>
    <w:rsid w:val="419E77A1"/>
    <w:rsid w:val="419F30F7"/>
    <w:rsid w:val="41A020BB"/>
    <w:rsid w:val="41A02127"/>
    <w:rsid w:val="41A2189A"/>
    <w:rsid w:val="41A24424"/>
    <w:rsid w:val="41A2501B"/>
    <w:rsid w:val="41A27AEC"/>
    <w:rsid w:val="41A35AE1"/>
    <w:rsid w:val="41A73354"/>
    <w:rsid w:val="41A76EB0"/>
    <w:rsid w:val="41A82C28"/>
    <w:rsid w:val="41A978CD"/>
    <w:rsid w:val="41AA4BF2"/>
    <w:rsid w:val="41AA69A0"/>
    <w:rsid w:val="41AB0796"/>
    <w:rsid w:val="41AB652E"/>
    <w:rsid w:val="41AC096A"/>
    <w:rsid w:val="41AC1671"/>
    <w:rsid w:val="41AC2719"/>
    <w:rsid w:val="41AE6491"/>
    <w:rsid w:val="41AE658A"/>
    <w:rsid w:val="41AF2209"/>
    <w:rsid w:val="41AF3FB7"/>
    <w:rsid w:val="41AF4BFE"/>
    <w:rsid w:val="41AF633F"/>
    <w:rsid w:val="41B06F61"/>
    <w:rsid w:val="41B15F81"/>
    <w:rsid w:val="41B17D2F"/>
    <w:rsid w:val="41B20B9C"/>
    <w:rsid w:val="41B20CD4"/>
    <w:rsid w:val="41B22DCD"/>
    <w:rsid w:val="41B24C4F"/>
    <w:rsid w:val="41B33706"/>
    <w:rsid w:val="41B36150"/>
    <w:rsid w:val="41B45A71"/>
    <w:rsid w:val="41B4781F"/>
    <w:rsid w:val="41B551A9"/>
    <w:rsid w:val="41B63597"/>
    <w:rsid w:val="41B810BD"/>
    <w:rsid w:val="41B85367"/>
    <w:rsid w:val="41B86824"/>
    <w:rsid w:val="41B8730F"/>
    <w:rsid w:val="41BB0BAE"/>
    <w:rsid w:val="41BB2BB0"/>
    <w:rsid w:val="41BC5D72"/>
    <w:rsid w:val="41BD2B78"/>
    <w:rsid w:val="41BE24F6"/>
    <w:rsid w:val="41BE41FA"/>
    <w:rsid w:val="41BF46F3"/>
    <w:rsid w:val="41C03EF6"/>
    <w:rsid w:val="41C10754"/>
    <w:rsid w:val="41C247B5"/>
    <w:rsid w:val="41C35C45"/>
    <w:rsid w:val="41C51A2C"/>
    <w:rsid w:val="41C602F1"/>
    <w:rsid w:val="41C62590"/>
    <w:rsid w:val="41C645C6"/>
    <w:rsid w:val="41C757A4"/>
    <w:rsid w:val="41C75A3F"/>
    <w:rsid w:val="41C7731B"/>
    <w:rsid w:val="41C77552"/>
    <w:rsid w:val="41C932CA"/>
    <w:rsid w:val="41C95079"/>
    <w:rsid w:val="41CA7837"/>
    <w:rsid w:val="41CC2DBB"/>
    <w:rsid w:val="41CC4B69"/>
    <w:rsid w:val="41CE33DE"/>
    <w:rsid w:val="41CE5AFF"/>
    <w:rsid w:val="41CE603D"/>
    <w:rsid w:val="41CE6B33"/>
    <w:rsid w:val="41CF37F5"/>
    <w:rsid w:val="41D02391"/>
    <w:rsid w:val="41D10249"/>
    <w:rsid w:val="41D22B69"/>
    <w:rsid w:val="41D34932"/>
    <w:rsid w:val="41D349E5"/>
    <w:rsid w:val="41D42EC8"/>
    <w:rsid w:val="41D43A1D"/>
    <w:rsid w:val="41D45489"/>
    <w:rsid w:val="41D57EC1"/>
    <w:rsid w:val="41D659E7"/>
    <w:rsid w:val="41D67795"/>
    <w:rsid w:val="41D72A00"/>
    <w:rsid w:val="41D75A49"/>
    <w:rsid w:val="41D76705"/>
    <w:rsid w:val="41D7745E"/>
    <w:rsid w:val="41D80387"/>
    <w:rsid w:val="41D81760"/>
    <w:rsid w:val="41D96FF3"/>
    <w:rsid w:val="41DA2B51"/>
    <w:rsid w:val="41DA6FC0"/>
    <w:rsid w:val="41DB1250"/>
    <w:rsid w:val="41DC11A9"/>
    <w:rsid w:val="41DC67EC"/>
    <w:rsid w:val="41DD6D76"/>
    <w:rsid w:val="41DE284D"/>
    <w:rsid w:val="41DE664A"/>
    <w:rsid w:val="41E0224F"/>
    <w:rsid w:val="41E063BC"/>
    <w:rsid w:val="41E06866"/>
    <w:rsid w:val="41E2613A"/>
    <w:rsid w:val="41E316EF"/>
    <w:rsid w:val="41E33C60"/>
    <w:rsid w:val="41E41EB2"/>
    <w:rsid w:val="41E55C2A"/>
    <w:rsid w:val="41E57B4F"/>
    <w:rsid w:val="41E719A3"/>
    <w:rsid w:val="41E73751"/>
    <w:rsid w:val="41E84702"/>
    <w:rsid w:val="41E864D0"/>
    <w:rsid w:val="41E86D95"/>
    <w:rsid w:val="41E9396D"/>
    <w:rsid w:val="41E974C9"/>
    <w:rsid w:val="41E97BF7"/>
    <w:rsid w:val="41EA1493"/>
    <w:rsid w:val="41EA3241"/>
    <w:rsid w:val="41EA4FEF"/>
    <w:rsid w:val="41EC0D67"/>
    <w:rsid w:val="41EC3710"/>
    <w:rsid w:val="41EC6FB9"/>
    <w:rsid w:val="41ED1345"/>
    <w:rsid w:val="41EE0F83"/>
    <w:rsid w:val="41EF2091"/>
    <w:rsid w:val="41EF2605"/>
    <w:rsid w:val="41F06AA9"/>
    <w:rsid w:val="41F11F7A"/>
    <w:rsid w:val="41F1637D"/>
    <w:rsid w:val="41F22153"/>
    <w:rsid w:val="41F241AB"/>
    <w:rsid w:val="41F45E6E"/>
    <w:rsid w:val="41F51714"/>
    <w:rsid w:val="41F540C0"/>
    <w:rsid w:val="41F5554E"/>
    <w:rsid w:val="41F73D6A"/>
    <w:rsid w:val="41F8770C"/>
    <w:rsid w:val="41FA7928"/>
    <w:rsid w:val="41FB5367"/>
    <w:rsid w:val="41FC31BE"/>
    <w:rsid w:val="41FD11C6"/>
    <w:rsid w:val="41FD2F74"/>
    <w:rsid w:val="41FD4D22"/>
    <w:rsid w:val="41FE674B"/>
    <w:rsid w:val="41FF0A9A"/>
    <w:rsid w:val="4202058A"/>
    <w:rsid w:val="42021C48"/>
    <w:rsid w:val="42031084"/>
    <w:rsid w:val="420318E2"/>
    <w:rsid w:val="42042555"/>
    <w:rsid w:val="4205007B"/>
    <w:rsid w:val="42050FCE"/>
    <w:rsid w:val="4206124C"/>
    <w:rsid w:val="420613DE"/>
    <w:rsid w:val="420641FD"/>
    <w:rsid w:val="42077468"/>
    <w:rsid w:val="420A5691"/>
    <w:rsid w:val="420A743F"/>
    <w:rsid w:val="420B25C8"/>
    <w:rsid w:val="420B38E3"/>
    <w:rsid w:val="420C1409"/>
    <w:rsid w:val="420C2CFA"/>
    <w:rsid w:val="420C31B7"/>
    <w:rsid w:val="420E0FCD"/>
    <w:rsid w:val="420E6F2F"/>
    <w:rsid w:val="420F2CA7"/>
    <w:rsid w:val="420F4A55"/>
    <w:rsid w:val="42100FF6"/>
    <w:rsid w:val="42101E4A"/>
    <w:rsid w:val="421107CE"/>
    <w:rsid w:val="42113F9B"/>
    <w:rsid w:val="42114C71"/>
    <w:rsid w:val="42122820"/>
    <w:rsid w:val="42134546"/>
    <w:rsid w:val="4214206C"/>
    <w:rsid w:val="4214405D"/>
    <w:rsid w:val="42162288"/>
    <w:rsid w:val="42167C36"/>
    <w:rsid w:val="421877CE"/>
    <w:rsid w:val="421A1C49"/>
    <w:rsid w:val="421A7D7F"/>
    <w:rsid w:val="421C2B14"/>
    <w:rsid w:val="421D53C4"/>
    <w:rsid w:val="421E7CE0"/>
    <w:rsid w:val="421F738E"/>
    <w:rsid w:val="4220362C"/>
    <w:rsid w:val="42204EB5"/>
    <w:rsid w:val="42215F75"/>
    <w:rsid w:val="4221770A"/>
    <w:rsid w:val="422229DB"/>
    <w:rsid w:val="42233556"/>
    <w:rsid w:val="42237A68"/>
    <w:rsid w:val="42243F12"/>
    <w:rsid w:val="42246E4D"/>
    <w:rsid w:val="42254279"/>
    <w:rsid w:val="42255209"/>
    <w:rsid w:val="4226071D"/>
    <w:rsid w:val="42261BFE"/>
    <w:rsid w:val="422624CB"/>
    <w:rsid w:val="422640CB"/>
    <w:rsid w:val="42284221"/>
    <w:rsid w:val="422A3739"/>
    <w:rsid w:val="422B2070"/>
    <w:rsid w:val="422C159B"/>
    <w:rsid w:val="422C3859"/>
    <w:rsid w:val="422D13BB"/>
    <w:rsid w:val="422D5628"/>
    <w:rsid w:val="422E312E"/>
    <w:rsid w:val="422E5823"/>
    <w:rsid w:val="422F0C65"/>
    <w:rsid w:val="423004D0"/>
    <w:rsid w:val="42302661"/>
    <w:rsid w:val="423050F8"/>
    <w:rsid w:val="42312C1E"/>
    <w:rsid w:val="42316CEA"/>
    <w:rsid w:val="42332E3A"/>
    <w:rsid w:val="4233735E"/>
    <w:rsid w:val="42347335"/>
    <w:rsid w:val="4235270E"/>
    <w:rsid w:val="42357066"/>
    <w:rsid w:val="423746D8"/>
    <w:rsid w:val="42381D17"/>
    <w:rsid w:val="423821FE"/>
    <w:rsid w:val="42383FAC"/>
    <w:rsid w:val="423A0CFF"/>
    <w:rsid w:val="423B3A9C"/>
    <w:rsid w:val="423B7123"/>
    <w:rsid w:val="423C1870"/>
    <w:rsid w:val="423D15C3"/>
    <w:rsid w:val="423D5A66"/>
    <w:rsid w:val="423F17DF"/>
    <w:rsid w:val="423F3157"/>
    <w:rsid w:val="423F614B"/>
    <w:rsid w:val="42404F2E"/>
    <w:rsid w:val="4242307D"/>
    <w:rsid w:val="42424E2B"/>
    <w:rsid w:val="42426BD9"/>
    <w:rsid w:val="42431500"/>
    <w:rsid w:val="42434FE8"/>
    <w:rsid w:val="4243519E"/>
    <w:rsid w:val="4243599A"/>
    <w:rsid w:val="42447A1F"/>
    <w:rsid w:val="424566C9"/>
    <w:rsid w:val="4246491B"/>
    <w:rsid w:val="424661C2"/>
    <w:rsid w:val="4247611D"/>
    <w:rsid w:val="42493A39"/>
    <w:rsid w:val="42495444"/>
    <w:rsid w:val="424961B9"/>
    <w:rsid w:val="424B0183"/>
    <w:rsid w:val="424B0A62"/>
    <w:rsid w:val="424B1F31"/>
    <w:rsid w:val="424C5CAA"/>
    <w:rsid w:val="424C7A58"/>
    <w:rsid w:val="424D3EFC"/>
    <w:rsid w:val="424E1A22"/>
    <w:rsid w:val="424E557E"/>
    <w:rsid w:val="425012F6"/>
    <w:rsid w:val="425023B0"/>
    <w:rsid w:val="425132C0"/>
    <w:rsid w:val="4251506E"/>
    <w:rsid w:val="42521512"/>
    <w:rsid w:val="425272A4"/>
    <w:rsid w:val="42537038"/>
    <w:rsid w:val="42552DB0"/>
    <w:rsid w:val="42554B5E"/>
    <w:rsid w:val="4255709C"/>
    <w:rsid w:val="42561B2D"/>
    <w:rsid w:val="42563E10"/>
    <w:rsid w:val="42576B28"/>
    <w:rsid w:val="425828A0"/>
    <w:rsid w:val="425863FC"/>
    <w:rsid w:val="425A1883"/>
    <w:rsid w:val="425A2F65"/>
    <w:rsid w:val="425A3F23"/>
    <w:rsid w:val="425B1F13"/>
    <w:rsid w:val="425C0953"/>
    <w:rsid w:val="425C0DE0"/>
    <w:rsid w:val="425C32D7"/>
    <w:rsid w:val="425C413F"/>
    <w:rsid w:val="425C5EED"/>
    <w:rsid w:val="425C7C82"/>
    <w:rsid w:val="425D1112"/>
    <w:rsid w:val="425D222F"/>
    <w:rsid w:val="425E35DB"/>
    <w:rsid w:val="425F3C2F"/>
    <w:rsid w:val="425F4FF1"/>
    <w:rsid w:val="42601048"/>
    <w:rsid w:val="42601FA2"/>
    <w:rsid w:val="426052B1"/>
    <w:rsid w:val="42611755"/>
    <w:rsid w:val="42613503"/>
    <w:rsid w:val="426254CD"/>
    <w:rsid w:val="42634441"/>
    <w:rsid w:val="42641245"/>
    <w:rsid w:val="42642FF3"/>
    <w:rsid w:val="42644DA1"/>
    <w:rsid w:val="42652475"/>
    <w:rsid w:val="4265572A"/>
    <w:rsid w:val="4267045E"/>
    <w:rsid w:val="42672AE3"/>
    <w:rsid w:val="42674D95"/>
    <w:rsid w:val="42680B06"/>
    <w:rsid w:val="42686225"/>
    <w:rsid w:val="426C7777"/>
    <w:rsid w:val="426E3E72"/>
    <w:rsid w:val="426E79CE"/>
    <w:rsid w:val="42706590"/>
    <w:rsid w:val="427174BE"/>
    <w:rsid w:val="42723962"/>
    <w:rsid w:val="42725710"/>
    <w:rsid w:val="42733236"/>
    <w:rsid w:val="42734FE4"/>
    <w:rsid w:val="427447C8"/>
    <w:rsid w:val="42750829"/>
    <w:rsid w:val="42750D5C"/>
    <w:rsid w:val="42755200"/>
    <w:rsid w:val="42777E2B"/>
    <w:rsid w:val="42791BF6"/>
    <w:rsid w:val="42791D7B"/>
    <w:rsid w:val="42793A5D"/>
    <w:rsid w:val="42793AAF"/>
    <w:rsid w:val="427A258B"/>
    <w:rsid w:val="427A45C5"/>
    <w:rsid w:val="427B03DF"/>
    <w:rsid w:val="427D40B5"/>
    <w:rsid w:val="427D5126"/>
    <w:rsid w:val="427E044B"/>
    <w:rsid w:val="427E2307"/>
    <w:rsid w:val="427F1BDB"/>
    <w:rsid w:val="427F6443"/>
    <w:rsid w:val="427F7570"/>
    <w:rsid w:val="427F7E2D"/>
    <w:rsid w:val="4280593C"/>
    <w:rsid w:val="4280659A"/>
    <w:rsid w:val="4281150A"/>
    <w:rsid w:val="42815551"/>
    <w:rsid w:val="4282551A"/>
    <w:rsid w:val="4283791D"/>
    <w:rsid w:val="42843695"/>
    <w:rsid w:val="42847F5C"/>
    <w:rsid w:val="42850F5B"/>
    <w:rsid w:val="42854A5E"/>
    <w:rsid w:val="428611BC"/>
    <w:rsid w:val="42862F6A"/>
    <w:rsid w:val="428632A6"/>
    <w:rsid w:val="42863FCE"/>
    <w:rsid w:val="42865306"/>
    <w:rsid w:val="42876CE2"/>
    <w:rsid w:val="42884F34"/>
    <w:rsid w:val="428851A7"/>
    <w:rsid w:val="42893325"/>
    <w:rsid w:val="428C2677"/>
    <w:rsid w:val="428C60A6"/>
    <w:rsid w:val="428F35C1"/>
    <w:rsid w:val="4290203A"/>
    <w:rsid w:val="42902094"/>
    <w:rsid w:val="42903DE8"/>
    <w:rsid w:val="42917DE4"/>
    <w:rsid w:val="42921492"/>
    <w:rsid w:val="4292190E"/>
    <w:rsid w:val="42933DB2"/>
    <w:rsid w:val="42937435"/>
    <w:rsid w:val="42950790"/>
    <w:rsid w:val="42972733"/>
    <w:rsid w:val="42975177"/>
    <w:rsid w:val="42976F25"/>
    <w:rsid w:val="42982C9D"/>
    <w:rsid w:val="42984A4B"/>
    <w:rsid w:val="4298502E"/>
    <w:rsid w:val="42994958"/>
    <w:rsid w:val="42997141"/>
    <w:rsid w:val="429A07C3"/>
    <w:rsid w:val="429A6A15"/>
    <w:rsid w:val="429C278D"/>
    <w:rsid w:val="429C5115"/>
    <w:rsid w:val="429D02B3"/>
    <w:rsid w:val="429D6505"/>
    <w:rsid w:val="429E7A35"/>
    <w:rsid w:val="429F3D43"/>
    <w:rsid w:val="429F3F8A"/>
    <w:rsid w:val="429F5DD9"/>
    <w:rsid w:val="42A115FB"/>
    <w:rsid w:val="42A23AC2"/>
    <w:rsid w:val="42A31D6D"/>
    <w:rsid w:val="42A33B1C"/>
    <w:rsid w:val="42A37D97"/>
    <w:rsid w:val="42A41642"/>
    <w:rsid w:val="42A44D37"/>
    <w:rsid w:val="42A45AE6"/>
    <w:rsid w:val="42A5457A"/>
    <w:rsid w:val="42A561C7"/>
    <w:rsid w:val="42A56F6B"/>
    <w:rsid w:val="42A72EE0"/>
    <w:rsid w:val="42A766EA"/>
    <w:rsid w:val="42A87384"/>
    <w:rsid w:val="42A930FC"/>
    <w:rsid w:val="42A93B81"/>
    <w:rsid w:val="42A96A2E"/>
    <w:rsid w:val="42AB29D0"/>
    <w:rsid w:val="42AB3FE2"/>
    <w:rsid w:val="42AC5635"/>
    <w:rsid w:val="42AC7906"/>
    <w:rsid w:val="42AD10D6"/>
    <w:rsid w:val="42AD4959"/>
    <w:rsid w:val="42AD499A"/>
    <w:rsid w:val="42AD752A"/>
    <w:rsid w:val="42AE1D40"/>
    <w:rsid w:val="42AE426E"/>
    <w:rsid w:val="42B03E44"/>
    <w:rsid w:val="42B0448A"/>
    <w:rsid w:val="42B06238"/>
    <w:rsid w:val="42B07FE6"/>
    <w:rsid w:val="42B21FB1"/>
    <w:rsid w:val="42B37AD7"/>
    <w:rsid w:val="42B408BE"/>
    <w:rsid w:val="42B6714C"/>
    <w:rsid w:val="42B673D4"/>
    <w:rsid w:val="42B705DC"/>
    <w:rsid w:val="42B707FA"/>
    <w:rsid w:val="42B71375"/>
    <w:rsid w:val="42B75700"/>
    <w:rsid w:val="42B75819"/>
    <w:rsid w:val="42B821D1"/>
    <w:rsid w:val="42B86E9B"/>
    <w:rsid w:val="42BA0F5E"/>
    <w:rsid w:val="42BA17C9"/>
    <w:rsid w:val="42BA443E"/>
    <w:rsid w:val="42BA4BA8"/>
    <w:rsid w:val="42BB79FE"/>
    <w:rsid w:val="42BC2E2F"/>
    <w:rsid w:val="42BE04AF"/>
    <w:rsid w:val="42BE0955"/>
    <w:rsid w:val="42BE4ED1"/>
    <w:rsid w:val="42BE6BA7"/>
    <w:rsid w:val="42BF46CD"/>
    <w:rsid w:val="42BF4B02"/>
    <w:rsid w:val="42BF5204"/>
    <w:rsid w:val="42C121F4"/>
    <w:rsid w:val="42C125E0"/>
    <w:rsid w:val="42C13FA2"/>
    <w:rsid w:val="42C20E9A"/>
    <w:rsid w:val="42C27D1A"/>
    <w:rsid w:val="42C341BE"/>
    <w:rsid w:val="42C41CE4"/>
    <w:rsid w:val="42C53A9C"/>
    <w:rsid w:val="42C57F36"/>
    <w:rsid w:val="42C617E9"/>
    <w:rsid w:val="42C6222B"/>
    <w:rsid w:val="42C63EB4"/>
    <w:rsid w:val="42C6780A"/>
    <w:rsid w:val="42C84132"/>
    <w:rsid w:val="42C910A8"/>
    <w:rsid w:val="42C929F1"/>
    <w:rsid w:val="42CB3072"/>
    <w:rsid w:val="42CB6BCE"/>
    <w:rsid w:val="42CE526A"/>
    <w:rsid w:val="42CE6BAE"/>
    <w:rsid w:val="42D014F6"/>
    <w:rsid w:val="42D068DB"/>
    <w:rsid w:val="42D1489E"/>
    <w:rsid w:val="42D1508F"/>
    <w:rsid w:val="42D23353"/>
    <w:rsid w:val="42D261AF"/>
    <w:rsid w:val="42D33864"/>
    <w:rsid w:val="42D42037"/>
    <w:rsid w:val="42D52A11"/>
    <w:rsid w:val="42D63A92"/>
    <w:rsid w:val="42D64EC1"/>
    <w:rsid w:val="42D71A17"/>
    <w:rsid w:val="42D7226B"/>
    <w:rsid w:val="42D75573"/>
    <w:rsid w:val="42D96731"/>
    <w:rsid w:val="42D9753D"/>
    <w:rsid w:val="42DB056C"/>
    <w:rsid w:val="42DC761B"/>
    <w:rsid w:val="42DD045D"/>
    <w:rsid w:val="42DD0AFB"/>
    <w:rsid w:val="42DD6902"/>
    <w:rsid w:val="42DE0FF8"/>
    <w:rsid w:val="42DE2DA6"/>
    <w:rsid w:val="42DF2A98"/>
    <w:rsid w:val="42DF6B1E"/>
    <w:rsid w:val="42E00A4C"/>
    <w:rsid w:val="42E10D3E"/>
    <w:rsid w:val="42E163F2"/>
    <w:rsid w:val="42E24CCF"/>
    <w:rsid w:val="42E27A71"/>
    <w:rsid w:val="42E34E1B"/>
    <w:rsid w:val="42E3660E"/>
    <w:rsid w:val="42E44134"/>
    <w:rsid w:val="42E45EE2"/>
    <w:rsid w:val="42E5654F"/>
    <w:rsid w:val="42E650B4"/>
    <w:rsid w:val="42E6627D"/>
    <w:rsid w:val="42E66639"/>
    <w:rsid w:val="42E81D1A"/>
    <w:rsid w:val="42E83C24"/>
    <w:rsid w:val="42E859D2"/>
    <w:rsid w:val="42E87780"/>
    <w:rsid w:val="42E92842"/>
    <w:rsid w:val="42E934F8"/>
    <w:rsid w:val="42EB54C2"/>
    <w:rsid w:val="42EB7271"/>
    <w:rsid w:val="42EC4206"/>
    <w:rsid w:val="42ED2EA4"/>
    <w:rsid w:val="42EE0B0F"/>
    <w:rsid w:val="42EE5C48"/>
    <w:rsid w:val="42EF3FBB"/>
    <w:rsid w:val="42EF456E"/>
    <w:rsid w:val="42F00D2B"/>
    <w:rsid w:val="42F02AD9"/>
    <w:rsid w:val="42F02C8F"/>
    <w:rsid w:val="42F04887"/>
    <w:rsid w:val="42F056CE"/>
    <w:rsid w:val="42F223AD"/>
    <w:rsid w:val="42F233D6"/>
    <w:rsid w:val="42F26851"/>
    <w:rsid w:val="42F425C9"/>
    <w:rsid w:val="42F44377"/>
    <w:rsid w:val="42F51E9D"/>
    <w:rsid w:val="42F56A23"/>
    <w:rsid w:val="42F8373B"/>
    <w:rsid w:val="42F9198D"/>
    <w:rsid w:val="42F97BDF"/>
    <w:rsid w:val="42FA2B97"/>
    <w:rsid w:val="42FA5706"/>
    <w:rsid w:val="42FB3958"/>
    <w:rsid w:val="42FC0536"/>
    <w:rsid w:val="42FC1903"/>
    <w:rsid w:val="42FC5643"/>
    <w:rsid w:val="42FE6FA4"/>
    <w:rsid w:val="42FF16EA"/>
    <w:rsid w:val="42FF3120"/>
    <w:rsid w:val="42FF3E34"/>
    <w:rsid w:val="43000262"/>
    <w:rsid w:val="43016A94"/>
    <w:rsid w:val="43022EE1"/>
    <w:rsid w:val="43030A5E"/>
    <w:rsid w:val="430345BA"/>
    <w:rsid w:val="43040332"/>
    <w:rsid w:val="430420E0"/>
    <w:rsid w:val="43043D8C"/>
    <w:rsid w:val="43052C44"/>
    <w:rsid w:val="43056584"/>
    <w:rsid w:val="43065E58"/>
    <w:rsid w:val="430664B8"/>
    <w:rsid w:val="4307368D"/>
    <w:rsid w:val="43081BD1"/>
    <w:rsid w:val="43083194"/>
    <w:rsid w:val="430869F4"/>
    <w:rsid w:val="43087E22"/>
    <w:rsid w:val="4309762C"/>
    <w:rsid w:val="43097E84"/>
    <w:rsid w:val="430A1DED"/>
    <w:rsid w:val="430A69D0"/>
    <w:rsid w:val="430B16C1"/>
    <w:rsid w:val="430C6DA3"/>
    <w:rsid w:val="430C716C"/>
    <w:rsid w:val="430C74FE"/>
    <w:rsid w:val="430D368B"/>
    <w:rsid w:val="430D4D0F"/>
    <w:rsid w:val="430F2F5F"/>
    <w:rsid w:val="430F68C7"/>
    <w:rsid w:val="430F6E81"/>
    <w:rsid w:val="431232D0"/>
    <w:rsid w:val="431247FD"/>
    <w:rsid w:val="43135248"/>
    <w:rsid w:val="43140575"/>
    <w:rsid w:val="431467C7"/>
    <w:rsid w:val="4315253F"/>
    <w:rsid w:val="43152739"/>
    <w:rsid w:val="431542ED"/>
    <w:rsid w:val="43166D1E"/>
    <w:rsid w:val="43170066"/>
    <w:rsid w:val="4317479F"/>
    <w:rsid w:val="4318395D"/>
    <w:rsid w:val="43192030"/>
    <w:rsid w:val="431A1904"/>
    <w:rsid w:val="431C14C4"/>
    <w:rsid w:val="431C6D74"/>
    <w:rsid w:val="431D48C5"/>
    <w:rsid w:val="431E31A2"/>
    <w:rsid w:val="431E7646"/>
    <w:rsid w:val="43200B63"/>
    <w:rsid w:val="43210EE4"/>
    <w:rsid w:val="43217136"/>
    <w:rsid w:val="43244149"/>
    <w:rsid w:val="4324555B"/>
    <w:rsid w:val="4325739A"/>
    <w:rsid w:val="432642C5"/>
    <w:rsid w:val="4326474D"/>
    <w:rsid w:val="432664FB"/>
    <w:rsid w:val="43266E9D"/>
    <w:rsid w:val="43282273"/>
    <w:rsid w:val="432864A3"/>
    <w:rsid w:val="4329203E"/>
    <w:rsid w:val="43293069"/>
    <w:rsid w:val="432A5FEB"/>
    <w:rsid w:val="432B3F19"/>
    <w:rsid w:val="432D5ADB"/>
    <w:rsid w:val="432D7889"/>
    <w:rsid w:val="432E715D"/>
    <w:rsid w:val="432F1853"/>
    <w:rsid w:val="432F3601"/>
    <w:rsid w:val="432F53AF"/>
    <w:rsid w:val="43313BEC"/>
    <w:rsid w:val="43315E48"/>
    <w:rsid w:val="43317379"/>
    <w:rsid w:val="433230F1"/>
    <w:rsid w:val="43326C4D"/>
    <w:rsid w:val="4334069B"/>
    <w:rsid w:val="43340C18"/>
    <w:rsid w:val="433443A0"/>
    <w:rsid w:val="4335673E"/>
    <w:rsid w:val="43362122"/>
    <w:rsid w:val="43362BE2"/>
    <w:rsid w:val="43370708"/>
    <w:rsid w:val="43372562"/>
    <w:rsid w:val="43385AD2"/>
    <w:rsid w:val="433867EA"/>
    <w:rsid w:val="433A03BF"/>
    <w:rsid w:val="433A05B9"/>
    <w:rsid w:val="433A17D1"/>
    <w:rsid w:val="433B4ED8"/>
    <w:rsid w:val="433B640A"/>
    <w:rsid w:val="433B7428"/>
    <w:rsid w:val="433C2FFA"/>
    <w:rsid w:val="433C7CC3"/>
    <w:rsid w:val="433D44BC"/>
    <w:rsid w:val="433E3844"/>
    <w:rsid w:val="434019E2"/>
    <w:rsid w:val="43412DAE"/>
    <w:rsid w:val="43413334"/>
    <w:rsid w:val="43413CD0"/>
    <w:rsid w:val="434265FC"/>
    <w:rsid w:val="434268E8"/>
    <w:rsid w:val="434445E7"/>
    <w:rsid w:val="43452E25"/>
    <w:rsid w:val="43454BD3"/>
    <w:rsid w:val="434612F6"/>
    <w:rsid w:val="434626F9"/>
    <w:rsid w:val="43467CEE"/>
    <w:rsid w:val="434755A1"/>
    <w:rsid w:val="4348098D"/>
    <w:rsid w:val="43482915"/>
    <w:rsid w:val="434A21E9"/>
    <w:rsid w:val="434A6AFA"/>
    <w:rsid w:val="434B7D0F"/>
    <w:rsid w:val="434C14BE"/>
    <w:rsid w:val="434C41B3"/>
    <w:rsid w:val="434D1CD9"/>
    <w:rsid w:val="434D3A87"/>
    <w:rsid w:val="434D5943"/>
    <w:rsid w:val="434D7F2B"/>
    <w:rsid w:val="43500901"/>
    <w:rsid w:val="43502618"/>
    <w:rsid w:val="435074D6"/>
    <w:rsid w:val="435272F0"/>
    <w:rsid w:val="435412BA"/>
    <w:rsid w:val="43543068"/>
    <w:rsid w:val="4354320B"/>
    <w:rsid w:val="43544E16"/>
    <w:rsid w:val="43560B8E"/>
    <w:rsid w:val="435610F2"/>
    <w:rsid w:val="43566DE0"/>
    <w:rsid w:val="43572B58"/>
    <w:rsid w:val="43574906"/>
    <w:rsid w:val="43584036"/>
    <w:rsid w:val="43593652"/>
    <w:rsid w:val="435A2577"/>
    <w:rsid w:val="435A7F52"/>
    <w:rsid w:val="435B2648"/>
    <w:rsid w:val="435C0177"/>
    <w:rsid w:val="435C1F1C"/>
    <w:rsid w:val="435D35E9"/>
    <w:rsid w:val="435E5C94"/>
    <w:rsid w:val="43607C5E"/>
    <w:rsid w:val="43610097"/>
    <w:rsid w:val="43610E59"/>
    <w:rsid w:val="43611474"/>
    <w:rsid w:val="43615785"/>
    <w:rsid w:val="43617533"/>
    <w:rsid w:val="43631A45"/>
    <w:rsid w:val="436332AB"/>
    <w:rsid w:val="43635059"/>
    <w:rsid w:val="4364623E"/>
    <w:rsid w:val="43650DD1"/>
    <w:rsid w:val="43654FAA"/>
    <w:rsid w:val="4367089F"/>
    <w:rsid w:val="43670FED"/>
    <w:rsid w:val="43674582"/>
    <w:rsid w:val="436808C1"/>
    <w:rsid w:val="43681139"/>
    <w:rsid w:val="436827A3"/>
    <w:rsid w:val="43684475"/>
    <w:rsid w:val="436877AD"/>
    <w:rsid w:val="436A3581"/>
    <w:rsid w:val="436C03B1"/>
    <w:rsid w:val="436D237B"/>
    <w:rsid w:val="436E32CF"/>
    <w:rsid w:val="436E3370"/>
    <w:rsid w:val="436F471F"/>
    <w:rsid w:val="43712B99"/>
    <w:rsid w:val="4372175A"/>
    <w:rsid w:val="43723D05"/>
    <w:rsid w:val="43730583"/>
    <w:rsid w:val="4373683C"/>
    <w:rsid w:val="43741014"/>
    <w:rsid w:val="437454B8"/>
    <w:rsid w:val="43745E2D"/>
    <w:rsid w:val="43745E58"/>
    <w:rsid w:val="43747266"/>
    <w:rsid w:val="43762FDE"/>
    <w:rsid w:val="43783306"/>
    <w:rsid w:val="43792CB4"/>
    <w:rsid w:val="437B05F4"/>
    <w:rsid w:val="437B6846"/>
    <w:rsid w:val="437B68B2"/>
    <w:rsid w:val="437C2D76"/>
    <w:rsid w:val="437C611B"/>
    <w:rsid w:val="437E00E5"/>
    <w:rsid w:val="437E6337"/>
    <w:rsid w:val="437F6B26"/>
    <w:rsid w:val="43813731"/>
    <w:rsid w:val="43830078"/>
    <w:rsid w:val="4383394D"/>
    <w:rsid w:val="438356FB"/>
    <w:rsid w:val="438438A3"/>
    <w:rsid w:val="43851473"/>
    <w:rsid w:val="4385196C"/>
    <w:rsid w:val="43860D47"/>
    <w:rsid w:val="43866F99"/>
    <w:rsid w:val="43870F88"/>
    <w:rsid w:val="438970F8"/>
    <w:rsid w:val="438A0837"/>
    <w:rsid w:val="438A6A89"/>
    <w:rsid w:val="438C2802"/>
    <w:rsid w:val="438C312B"/>
    <w:rsid w:val="438C45B0"/>
    <w:rsid w:val="438D0328"/>
    <w:rsid w:val="438D26B4"/>
    <w:rsid w:val="438E5AAC"/>
    <w:rsid w:val="438E731E"/>
    <w:rsid w:val="4390340C"/>
    <w:rsid w:val="43903A09"/>
    <w:rsid w:val="43903D02"/>
    <w:rsid w:val="43912BFC"/>
    <w:rsid w:val="4392593E"/>
    <w:rsid w:val="43931DE2"/>
    <w:rsid w:val="43963680"/>
    <w:rsid w:val="43987EC9"/>
    <w:rsid w:val="43993170"/>
    <w:rsid w:val="439B1832"/>
    <w:rsid w:val="439B47F3"/>
    <w:rsid w:val="439C17FD"/>
    <w:rsid w:val="439D3271"/>
    <w:rsid w:val="439D67BD"/>
    <w:rsid w:val="439E0787"/>
    <w:rsid w:val="439E42E3"/>
    <w:rsid w:val="439E6414"/>
    <w:rsid w:val="43A10A30"/>
    <w:rsid w:val="43A15B81"/>
    <w:rsid w:val="43A25237"/>
    <w:rsid w:val="43A35D9D"/>
    <w:rsid w:val="43A45CCF"/>
    <w:rsid w:val="43A4765F"/>
    <w:rsid w:val="43A55379"/>
    <w:rsid w:val="43A645BE"/>
    <w:rsid w:val="43A7763B"/>
    <w:rsid w:val="43A77B5E"/>
    <w:rsid w:val="43A81B10"/>
    <w:rsid w:val="43AA1C19"/>
    <w:rsid w:val="43AA712C"/>
    <w:rsid w:val="43AB5691"/>
    <w:rsid w:val="43AC6A00"/>
    <w:rsid w:val="43AD2778"/>
    <w:rsid w:val="43AF029E"/>
    <w:rsid w:val="43AF07D2"/>
    <w:rsid w:val="43AF4742"/>
    <w:rsid w:val="43B04DA0"/>
    <w:rsid w:val="43B12268"/>
    <w:rsid w:val="43B254F2"/>
    <w:rsid w:val="43B41D58"/>
    <w:rsid w:val="43B43AC3"/>
    <w:rsid w:val="43B44DA0"/>
    <w:rsid w:val="43B458B4"/>
    <w:rsid w:val="43B52ACB"/>
    <w:rsid w:val="43B66B2B"/>
    <w:rsid w:val="43B72C56"/>
    <w:rsid w:val="43B91FB9"/>
    <w:rsid w:val="43B92ECB"/>
    <w:rsid w:val="43BA2D18"/>
    <w:rsid w:val="43BB04AD"/>
    <w:rsid w:val="43BC29BB"/>
    <w:rsid w:val="43BC2C7F"/>
    <w:rsid w:val="43BE2B29"/>
    <w:rsid w:val="43BE4985"/>
    <w:rsid w:val="43C0001A"/>
    <w:rsid w:val="43C04259"/>
    <w:rsid w:val="43C04B94"/>
    <w:rsid w:val="43C2293A"/>
    <w:rsid w:val="43C24475"/>
    <w:rsid w:val="43C401ED"/>
    <w:rsid w:val="43C52E38"/>
    <w:rsid w:val="43C57AC2"/>
    <w:rsid w:val="43C648F9"/>
    <w:rsid w:val="43C71A8C"/>
    <w:rsid w:val="43C7383A"/>
    <w:rsid w:val="43C9462F"/>
    <w:rsid w:val="43CA50D8"/>
    <w:rsid w:val="43CB4647"/>
    <w:rsid w:val="43CC52F4"/>
    <w:rsid w:val="43CD118E"/>
    <w:rsid w:val="43CF26EE"/>
    <w:rsid w:val="43CF6B92"/>
    <w:rsid w:val="43D178FC"/>
    <w:rsid w:val="43D23F8D"/>
    <w:rsid w:val="43D2415C"/>
    <w:rsid w:val="43D30430"/>
    <w:rsid w:val="43D321DE"/>
    <w:rsid w:val="43D62A5C"/>
    <w:rsid w:val="43D64325"/>
    <w:rsid w:val="43D736D0"/>
    <w:rsid w:val="43D85A47"/>
    <w:rsid w:val="43D877F5"/>
    <w:rsid w:val="43DB5537"/>
    <w:rsid w:val="43DD12AF"/>
    <w:rsid w:val="43DE6DD5"/>
    <w:rsid w:val="43DF5027"/>
    <w:rsid w:val="43DF51E0"/>
    <w:rsid w:val="43DF63AB"/>
    <w:rsid w:val="43E02B4D"/>
    <w:rsid w:val="43E15EC3"/>
    <w:rsid w:val="43E22422"/>
    <w:rsid w:val="43E268C5"/>
    <w:rsid w:val="43E3619A"/>
    <w:rsid w:val="43E4263E"/>
    <w:rsid w:val="43E51449"/>
    <w:rsid w:val="43E51F12"/>
    <w:rsid w:val="43E54D63"/>
    <w:rsid w:val="43E65DFA"/>
    <w:rsid w:val="43E72417"/>
    <w:rsid w:val="43E724A1"/>
    <w:rsid w:val="43E73EDC"/>
    <w:rsid w:val="43E75C8A"/>
    <w:rsid w:val="43E80173"/>
    <w:rsid w:val="43E92AF3"/>
    <w:rsid w:val="43EC14F2"/>
    <w:rsid w:val="43EC2FD6"/>
    <w:rsid w:val="43EC32A0"/>
    <w:rsid w:val="43EC504E"/>
    <w:rsid w:val="43EE526A"/>
    <w:rsid w:val="43EE7018"/>
    <w:rsid w:val="43EF38DA"/>
    <w:rsid w:val="43EF4B3E"/>
    <w:rsid w:val="43F0516B"/>
    <w:rsid w:val="43F108B7"/>
    <w:rsid w:val="43F140E1"/>
    <w:rsid w:val="43F344D6"/>
    <w:rsid w:val="43F40B99"/>
    <w:rsid w:val="43F565F9"/>
    <w:rsid w:val="43F81C45"/>
    <w:rsid w:val="43F839F3"/>
    <w:rsid w:val="43F87E97"/>
    <w:rsid w:val="43F94DFC"/>
    <w:rsid w:val="43F96D1B"/>
    <w:rsid w:val="43FB34E3"/>
    <w:rsid w:val="43FE2FD4"/>
    <w:rsid w:val="43FE4D82"/>
    <w:rsid w:val="43FF1225"/>
    <w:rsid w:val="440028DC"/>
    <w:rsid w:val="44006D4C"/>
    <w:rsid w:val="44011802"/>
    <w:rsid w:val="44027DCD"/>
    <w:rsid w:val="4403299E"/>
    <w:rsid w:val="44034DAA"/>
    <w:rsid w:val="440406C2"/>
    <w:rsid w:val="44043E2E"/>
    <w:rsid w:val="44044A8E"/>
    <w:rsid w:val="44046027"/>
    <w:rsid w:val="4404683C"/>
    <w:rsid w:val="44050C52"/>
    <w:rsid w:val="44056110"/>
    <w:rsid w:val="440700DA"/>
    <w:rsid w:val="4407632C"/>
    <w:rsid w:val="44083C3F"/>
    <w:rsid w:val="44091C8B"/>
    <w:rsid w:val="440A5A5D"/>
    <w:rsid w:val="440A677A"/>
    <w:rsid w:val="440B1130"/>
    <w:rsid w:val="440B5E1C"/>
    <w:rsid w:val="440C749E"/>
    <w:rsid w:val="440E0545"/>
    <w:rsid w:val="440E1469"/>
    <w:rsid w:val="4411676E"/>
    <w:rsid w:val="44124CF1"/>
    <w:rsid w:val="44130575"/>
    <w:rsid w:val="44131EEB"/>
    <w:rsid w:val="44134CD1"/>
    <w:rsid w:val="44136A7F"/>
    <w:rsid w:val="44137800"/>
    <w:rsid w:val="441427F7"/>
    <w:rsid w:val="44163800"/>
    <w:rsid w:val="44166243"/>
    <w:rsid w:val="441706D6"/>
    <w:rsid w:val="44181FF3"/>
    <w:rsid w:val="441848A5"/>
    <w:rsid w:val="44185497"/>
    <w:rsid w:val="44185E43"/>
    <w:rsid w:val="44197234"/>
    <w:rsid w:val="441A1710"/>
    <w:rsid w:val="441A7E0D"/>
    <w:rsid w:val="441B2AC5"/>
    <w:rsid w:val="441B5933"/>
    <w:rsid w:val="441B74E4"/>
    <w:rsid w:val="441C0974"/>
    <w:rsid w:val="441E76F6"/>
    <w:rsid w:val="441F3676"/>
    <w:rsid w:val="44202F4B"/>
    <w:rsid w:val="442073EE"/>
    <w:rsid w:val="44222B9D"/>
    <w:rsid w:val="442272A7"/>
    <w:rsid w:val="44240C8C"/>
    <w:rsid w:val="44246EDE"/>
    <w:rsid w:val="44264CF5"/>
    <w:rsid w:val="442742D8"/>
    <w:rsid w:val="44280935"/>
    <w:rsid w:val="44283229"/>
    <w:rsid w:val="442865FA"/>
    <w:rsid w:val="44293A44"/>
    <w:rsid w:val="44297467"/>
    <w:rsid w:val="442A1C1D"/>
    <w:rsid w:val="442B0D48"/>
    <w:rsid w:val="442C18EF"/>
    <w:rsid w:val="442C5D93"/>
    <w:rsid w:val="442C7B41"/>
    <w:rsid w:val="442E0C70"/>
    <w:rsid w:val="442F052B"/>
    <w:rsid w:val="442F0D9E"/>
    <w:rsid w:val="44302CEE"/>
    <w:rsid w:val="44305F6D"/>
    <w:rsid w:val="443133A9"/>
    <w:rsid w:val="4433033C"/>
    <w:rsid w:val="44330ECF"/>
    <w:rsid w:val="443469F5"/>
    <w:rsid w:val="4436276D"/>
    <w:rsid w:val="44363DF4"/>
    <w:rsid w:val="443640EC"/>
    <w:rsid w:val="4436451B"/>
    <w:rsid w:val="44366CBD"/>
    <w:rsid w:val="443706C8"/>
    <w:rsid w:val="44380293"/>
    <w:rsid w:val="44384FBA"/>
    <w:rsid w:val="4439400C"/>
    <w:rsid w:val="44395170"/>
    <w:rsid w:val="443A0603"/>
    <w:rsid w:val="443A225E"/>
    <w:rsid w:val="443A58B8"/>
    <w:rsid w:val="443B7384"/>
    <w:rsid w:val="443B7D84"/>
    <w:rsid w:val="443C4228"/>
    <w:rsid w:val="443D0E19"/>
    <w:rsid w:val="443E0904"/>
    <w:rsid w:val="443E29E2"/>
    <w:rsid w:val="443E7E3B"/>
    <w:rsid w:val="443F1622"/>
    <w:rsid w:val="443F4672"/>
    <w:rsid w:val="443F5AC6"/>
    <w:rsid w:val="443F6D03"/>
    <w:rsid w:val="444014B0"/>
    <w:rsid w:val="44405732"/>
    <w:rsid w:val="44407D6F"/>
    <w:rsid w:val="4441183E"/>
    <w:rsid w:val="4441232E"/>
    <w:rsid w:val="444255B6"/>
    <w:rsid w:val="44426E70"/>
    <w:rsid w:val="444301AF"/>
    <w:rsid w:val="44437E74"/>
    <w:rsid w:val="444574EE"/>
    <w:rsid w:val="44463BE1"/>
    <w:rsid w:val="444655A9"/>
    <w:rsid w:val="444924A1"/>
    <w:rsid w:val="44496945"/>
    <w:rsid w:val="444A7FC7"/>
    <w:rsid w:val="444F0B46"/>
    <w:rsid w:val="444F1BAC"/>
    <w:rsid w:val="44501A81"/>
    <w:rsid w:val="44510C48"/>
    <w:rsid w:val="4451295E"/>
    <w:rsid w:val="44522379"/>
    <w:rsid w:val="445441A7"/>
    <w:rsid w:val="44550E45"/>
    <w:rsid w:val="4455119B"/>
    <w:rsid w:val="445671E0"/>
    <w:rsid w:val="445826E4"/>
    <w:rsid w:val="4458489B"/>
    <w:rsid w:val="44593EB2"/>
    <w:rsid w:val="445A3B32"/>
    <w:rsid w:val="445A46AE"/>
    <w:rsid w:val="445A645C"/>
    <w:rsid w:val="445B21D4"/>
    <w:rsid w:val="445B5A74"/>
    <w:rsid w:val="445C1832"/>
    <w:rsid w:val="445C3961"/>
    <w:rsid w:val="445E2B4B"/>
    <w:rsid w:val="445F4D0F"/>
    <w:rsid w:val="44603C00"/>
    <w:rsid w:val="44611D47"/>
    <w:rsid w:val="44611DC6"/>
    <w:rsid w:val="44613C8E"/>
    <w:rsid w:val="44641089"/>
    <w:rsid w:val="446472DA"/>
    <w:rsid w:val="44650E36"/>
    <w:rsid w:val="44654E01"/>
    <w:rsid w:val="44662566"/>
    <w:rsid w:val="44676E58"/>
    <w:rsid w:val="4469669F"/>
    <w:rsid w:val="446979B3"/>
    <w:rsid w:val="446A6C18"/>
    <w:rsid w:val="446A72EE"/>
    <w:rsid w:val="446B50A7"/>
    <w:rsid w:val="446B68BB"/>
    <w:rsid w:val="446C2B53"/>
    <w:rsid w:val="446E0159"/>
    <w:rsid w:val="447339C1"/>
    <w:rsid w:val="44735770"/>
    <w:rsid w:val="4473751E"/>
    <w:rsid w:val="44746C5F"/>
    <w:rsid w:val="44755F8D"/>
    <w:rsid w:val="4475773A"/>
    <w:rsid w:val="44760A9D"/>
    <w:rsid w:val="44764BDD"/>
    <w:rsid w:val="44770915"/>
    <w:rsid w:val="44775260"/>
    <w:rsid w:val="447A08AC"/>
    <w:rsid w:val="447A1C2A"/>
    <w:rsid w:val="447A4D50"/>
    <w:rsid w:val="447A6AFE"/>
    <w:rsid w:val="447B2820"/>
    <w:rsid w:val="447B2DE3"/>
    <w:rsid w:val="447C0AC8"/>
    <w:rsid w:val="447C53F1"/>
    <w:rsid w:val="447D214A"/>
    <w:rsid w:val="447D65EE"/>
    <w:rsid w:val="44804CC7"/>
    <w:rsid w:val="44806045"/>
    <w:rsid w:val="448129B8"/>
    <w:rsid w:val="44816692"/>
    <w:rsid w:val="44817E8C"/>
    <w:rsid w:val="44827761"/>
    <w:rsid w:val="44841371"/>
    <w:rsid w:val="4484172B"/>
    <w:rsid w:val="4485051C"/>
    <w:rsid w:val="44867251"/>
    <w:rsid w:val="448750D5"/>
    <w:rsid w:val="4488746D"/>
    <w:rsid w:val="448B3A56"/>
    <w:rsid w:val="448B4867"/>
    <w:rsid w:val="448B5BE3"/>
    <w:rsid w:val="448C6831"/>
    <w:rsid w:val="448D197D"/>
    <w:rsid w:val="448E07FB"/>
    <w:rsid w:val="448E3562"/>
    <w:rsid w:val="448E4357"/>
    <w:rsid w:val="448E5DEE"/>
    <w:rsid w:val="448E7078"/>
    <w:rsid w:val="448F5AC0"/>
    <w:rsid w:val="449000D0"/>
    <w:rsid w:val="44907192"/>
    <w:rsid w:val="44910D58"/>
    <w:rsid w:val="44912A78"/>
    <w:rsid w:val="44915BF6"/>
    <w:rsid w:val="44923EBD"/>
    <w:rsid w:val="4493196E"/>
    <w:rsid w:val="44937BC0"/>
    <w:rsid w:val="449432A7"/>
    <w:rsid w:val="44944F45"/>
    <w:rsid w:val="449507E3"/>
    <w:rsid w:val="449556E6"/>
    <w:rsid w:val="4496785E"/>
    <w:rsid w:val="449776B0"/>
    <w:rsid w:val="44983FC9"/>
    <w:rsid w:val="4498412E"/>
    <w:rsid w:val="449851D6"/>
    <w:rsid w:val="44991E3D"/>
    <w:rsid w:val="44996CDC"/>
    <w:rsid w:val="449A0F4E"/>
    <w:rsid w:val="449A71A0"/>
    <w:rsid w:val="449A7EB1"/>
    <w:rsid w:val="449B5A9D"/>
    <w:rsid w:val="449C1C13"/>
    <w:rsid w:val="449C4CC6"/>
    <w:rsid w:val="449C6A74"/>
    <w:rsid w:val="449D0A3E"/>
    <w:rsid w:val="449D27EC"/>
    <w:rsid w:val="449D369B"/>
    <w:rsid w:val="449D459A"/>
    <w:rsid w:val="449F47B6"/>
    <w:rsid w:val="449F6565"/>
    <w:rsid w:val="449F7D81"/>
    <w:rsid w:val="44A122DD"/>
    <w:rsid w:val="44A22CB6"/>
    <w:rsid w:val="44A26055"/>
    <w:rsid w:val="44A43B7B"/>
    <w:rsid w:val="44A44DFA"/>
    <w:rsid w:val="44A45929"/>
    <w:rsid w:val="44A60EAD"/>
    <w:rsid w:val="44A703AC"/>
    <w:rsid w:val="44A771C7"/>
    <w:rsid w:val="44A863D8"/>
    <w:rsid w:val="44A92F3F"/>
    <w:rsid w:val="44A96FDE"/>
    <w:rsid w:val="44AC2A30"/>
    <w:rsid w:val="44AC4903"/>
    <w:rsid w:val="44AD421E"/>
    <w:rsid w:val="44AD6DEF"/>
    <w:rsid w:val="44AE6655"/>
    <w:rsid w:val="44B02B9F"/>
    <w:rsid w:val="44B042CE"/>
    <w:rsid w:val="44B30262"/>
    <w:rsid w:val="44B34B10"/>
    <w:rsid w:val="44B408DE"/>
    <w:rsid w:val="44B518E4"/>
    <w:rsid w:val="44B55D88"/>
    <w:rsid w:val="44B6680D"/>
    <w:rsid w:val="44B71A34"/>
    <w:rsid w:val="44B71B00"/>
    <w:rsid w:val="44B72A72"/>
    <w:rsid w:val="44B764A9"/>
    <w:rsid w:val="44B85878"/>
    <w:rsid w:val="44B85C36"/>
    <w:rsid w:val="44BA7F63"/>
    <w:rsid w:val="44BB1B4C"/>
    <w:rsid w:val="44BB2A89"/>
    <w:rsid w:val="44BB6D19"/>
    <w:rsid w:val="44BC0EC5"/>
    <w:rsid w:val="44BC2BF5"/>
    <w:rsid w:val="44BC7116"/>
    <w:rsid w:val="44BE6633"/>
    <w:rsid w:val="44BF09B5"/>
    <w:rsid w:val="44C1472D"/>
    <w:rsid w:val="44C24001"/>
    <w:rsid w:val="44C244D0"/>
    <w:rsid w:val="44C24F25"/>
    <w:rsid w:val="44C419B0"/>
    <w:rsid w:val="44C46F12"/>
    <w:rsid w:val="44C47D79"/>
    <w:rsid w:val="44C55076"/>
    <w:rsid w:val="44C57A3A"/>
    <w:rsid w:val="44C61D43"/>
    <w:rsid w:val="44C63AF1"/>
    <w:rsid w:val="44C645DA"/>
    <w:rsid w:val="44C935E1"/>
    <w:rsid w:val="44C93746"/>
    <w:rsid w:val="44C94E87"/>
    <w:rsid w:val="44CB1108"/>
    <w:rsid w:val="44CB77A7"/>
    <w:rsid w:val="44CD30D2"/>
    <w:rsid w:val="44CF0CF9"/>
    <w:rsid w:val="44D206E8"/>
    <w:rsid w:val="44D22496"/>
    <w:rsid w:val="44D2693A"/>
    <w:rsid w:val="44D3768F"/>
    <w:rsid w:val="44D37FBC"/>
    <w:rsid w:val="44D501D8"/>
    <w:rsid w:val="44D52DD8"/>
    <w:rsid w:val="44D5342A"/>
    <w:rsid w:val="44D644EB"/>
    <w:rsid w:val="44D77AAC"/>
    <w:rsid w:val="44D81A76"/>
    <w:rsid w:val="44D81DAB"/>
    <w:rsid w:val="44D93800"/>
    <w:rsid w:val="44D95EDB"/>
    <w:rsid w:val="44DC0B83"/>
    <w:rsid w:val="44DC3315"/>
    <w:rsid w:val="44DC5FE7"/>
    <w:rsid w:val="44DD06EB"/>
    <w:rsid w:val="44DD564F"/>
    <w:rsid w:val="44DE1B9E"/>
    <w:rsid w:val="44DF02C8"/>
    <w:rsid w:val="44DF1057"/>
    <w:rsid w:val="44DF5B32"/>
    <w:rsid w:val="44E029FB"/>
    <w:rsid w:val="44E16B7D"/>
    <w:rsid w:val="44E317FE"/>
    <w:rsid w:val="44E724C5"/>
    <w:rsid w:val="44E8716A"/>
    <w:rsid w:val="44E95A32"/>
    <w:rsid w:val="44E977E0"/>
    <w:rsid w:val="44EB17AA"/>
    <w:rsid w:val="44EB6D91"/>
    <w:rsid w:val="44EB79FC"/>
    <w:rsid w:val="44EC107E"/>
    <w:rsid w:val="44ED5522"/>
    <w:rsid w:val="44ED72D0"/>
    <w:rsid w:val="44EE3263"/>
    <w:rsid w:val="44EE4DF6"/>
    <w:rsid w:val="44EF32F1"/>
    <w:rsid w:val="44F01485"/>
    <w:rsid w:val="44F05012"/>
    <w:rsid w:val="44F05780"/>
    <w:rsid w:val="44F11A7C"/>
    <w:rsid w:val="44F12C03"/>
    <w:rsid w:val="44F13FE4"/>
    <w:rsid w:val="44F14EE8"/>
    <w:rsid w:val="44F231C6"/>
    <w:rsid w:val="44F2351D"/>
    <w:rsid w:val="44F3065E"/>
    <w:rsid w:val="44F3240C"/>
    <w:rsid w:val="44F33C92"/>
    <w:rsid w:val="44F37A97"/>
    <w:rsid w:val="44F468B0"/>
    <w:rsid w:val="44F82B2C"/>
    <w:rsid w:val="44F92119"/>
    <w:rsid w:val="44FA19ED"/>
    <w:rsid w:val="44FA35FD"/>
    <w:rsid w:val="44FA6121"/>
    <w:rsid w:val="44FD4C93"/>
    <w:rsid w:val="44FF1386"/>
    <w:rsid w:val="44FF20B3"/>
    <w:rsid w:val="44FF34A7"/>
    <w:rsid w:val="450364A8"/>
    <w:rsid w:val="450468CF"/>
    <w:rsid w:val="45060392"/>
    <w:rsid w:val="45062140"/>
    <w:rsid w:val="4508235C"/>
    <w:rsid w:val="45085EB8"/>
    <w:rsid w:val="45091972"/>
    <w:rsid w:val="45091C30"/>
    <w:rsid w:val="45097749"/>
    <w:rsid w:val="45097E82"/>
    <w:rsid w:val="450A739D"/>
    <w:rsid w:val="450B1E4C"/>
    <w:rsid w:val="450B3BFA"/>
    <w:rsid w:val="450B59A8"/>
    <w:rsid w:val="450C272E"/>
    <w:rsid w:val="450C60F4"/>
    <w:rsid w:val="450D755A"/>
    <w:rsid w:val="45101210"/>
    <w:rsid w:val="45107462"/>
    <w:rsid w:val="45126D36"/>
    <w:rsid w:val="45127CB9"/>
    <w:rsid w:val="45131DF7"/>
    <w:rsid w:val="4513234C"/>
    <w:rsid w:val="45132AAF"/>
    <w:rsid w:val="45156827"/>
    <w:rsid w:val="45163CE2"/>
    <w:rsid w:val="4517259F"/>
    <w:rsid w:val="451731DD"/>
    <w:rsid w:val="45173945"/>
    <w:rsid w:val="451900C5"/>
    <w:rsid w:val="45191BF7"/>
    <w:rsid w:val="45192D66"/>
    <w:rsid w:val="451960FD"/>
    <w:rsid w:val="45196946"/>
    <w:rsid w:val="451A1C4E"/>
    <w:rsid w:val="451A208F"/>
    <w:rsid w:val="451A3E3D"/>
    <w:rsid w:val="451C1963"/>
    <w:rsid w:val="451C70D7"/>
    <w:rsid w:val="451D082D"/>
    <w:rsid w:val="451E1B7F"/>
    <w:rsid w:val="451E392D"/>
    <w:rsid w:val="451E56DB"/>
    <w:rsid w:val="451F3201"/>
    <w:rsid w:val="451F4540"/>
    <w:rsid w:val="451F76A5"/>
    <w:rsid w:val="452075A3"/>
    <w:rsid w:val="4521341D"/>
    <w:rsid w:val="45216878"/>
    <w:rsid w:val="45221C68"/>
    <w:rsid w:val="45230F44"/>
    <w:rsid w:val="45232EC1"/>
    <w:rsid w:val="45237196"/>
    <w:rsid w:val="45244618"/>
    <w:rsid w:val="45244B16"/>
    <w:rsid w:val="45244CBC"/>
    <w:rsid w:val="452472A0"/>
    <w:rsid w:val="4526151E"/>
    <w:rsid w:val="45264590"/>
    <w:rsid w:val="45265032"/>
    <w:rsid w:val="45294080"/>
    <w:rsid w:val="4529554E"/>
    <w:rsid w:val="452A1AFB"/>
    <w:rsid w:val="452B429C"/>
    <w:rsid w:val="452B7DF8"/>
    <w:rsid w:val="452C6451"/>
    <w:rsid w:val="452C78A0"/>
    <w:rsid w:val="452D1715"/>
    <w:rsid w:val="452E1696"/>
    <w:rsid w:val="452F0157"/>
    <w:rsid w:val="452F4FBA"/>
    <w:rsid w:val="452F5CE5"/>
    <w:rsid w:val="452F78E8"/>
    <w:rsid w:val="4530540F"/>
    <w:rsid w:val="453146CC"/>
    <w:rsid w:val="45321187"/>
    <w:rsid w:val="45321D53"/>
    <w:rsid w:val="45344EFF"/>
    <w:rsid w:val="45354706"/>
    <w:rsid w:val="45356EC9"/>
    <w:rsid w:val="45361205"/>
    <w:rsid w:val="45361337"/>
    <w:rsid w:val="45366D5A"/>
    <w:rsid w:val="453726EF"/>
    <w:rsid w:val="453727C7"/>
    <w:rsid w:val="4537679D"/>
    <w:rsid w:val="45390767"/>
    <w:rsid w:val="453A003B"/>
    <w:rsid w:val="453A3769"/>
    <w:rsid w:val="453B3D96"/>
    <w:rsid w:val="453C61CC"/>
    <w:rsid w:val="453C6A16"/>
    <w:rsid w:val="453E3FCF"/>
    <w:rsid w:val="453E5429"/>
    <w:rsid w:val="453E7B2C"/>
    <w:rsid w:val="453F038D"/>
    <w:rsid w:val="453F38A4"/>
    <w:rsid w:val="453F5652"/>
    <w:rsid w:val="45401AF6"/>
    <w:rsid w:val="4540503E"/>
    <w:rsid w:val="454113CA"/>
    <w:rsid w:val="454148DE"/>
    <w:rsid w:val="45416074"/>
    <w:rsid w:val="454315E6"/>
    <w:rsid w:val="45433394"/>
    <w:rsid w:val="4544792E"/>
    <w:rsid w:val="454532DE"/>
    <w:rsid w:val="454559C7"/>
    <w:rsid w:val="45457A6E"/>
    <w:rsid w:val="45460437"/>
    <w:rsid w:val="45464C32"/>
    <w:rsid w:val="454676EB"/>
    <w:rsid w:val="454722BC"/>
    <w:rsid w:val="454806F3"/>
    <w:rsid w:val="45485320"/>
    <w:rsid w:val="4548631D"/>
    <w:rsid w:val="45486BFC"/>
    <w:rsid w:val="4549052D"/>
    <w:rsid w:val="454964D0"/>
    <w:rsid w:val="454A2974"/>
    <w:rsid w:val="454A4722"/>
    <w:rsid w:val="454A59EF"/>
    <w:rsid w:val="454A7D88"/>
    <w:rsid w:val="454B2248"/>
    <w:rsid w:val="454C593C"/>
    <w:rsid w:val="454C62B0"/>
    <w:rsid w:val="454D2FA1"/>
    <w:rsid w:val="454D612E"/>
    <w:rsid w:val="454E2A66"/>
    <w:rsid w:val="454E55FD"/>
    <w:rsid w:val="454F1253"/>
    <w:rsid w:val="454F3AE7"/>
    <w:rsid w:val="454F5916"/>
    <w:rsid w:val="45505AB1"/>
    <w:rsid w:val="455079AF"/>
    <w:rsid w:val="45513D03"/>
    <w:rsid w:val="455235D7"/>
    <w:rsid w:val="455363E3"/>
    <w:rsid w:val="455410FD"/>
    <w:rsid w:val="45541CEF"/>
    <w:rsid w:val="455434EC"/>
    <w:rsid w:val="4554734F"/>
    <w:rsid w:val="455530C7"/>
    <w:rsid w:val="45554E75"/>
    <w:rsid w:val="45561319"/>
    <w:rsid w:val="45561D3F"/>
    <w:rsid w:val="455768EB"/>
    <w:rsid w:val="455871C2"/>
    <w:rsid w:val="45592BB7"/>
    <w:rsid w:val="45596713"/>
    <w:rsid w:val="455B0481"/>
    <w:rsid w:val="455B692F"/>
    <w:rsid w:val="455C7EDF"/>
    <w:rsid w:val="456015FF"/>
    <w:rsid w:val="45605CF4"/>
    <w:rsid w:val="4561381A"/>
    <w:rsid w:val="456255F2"/>
    <w:rsid w:val="456471F5"/>
    <w:rsid w:val="4565155C"/>
    <w:rsid w:val="4565234B"/>
    <w:rsid w:val="45666CD5"/>
    <w:rsid w:val="45667082"/>
    <w:rsid w:val="45667182"/>
    <w:rsid w:val="456926CF"/>
    <w:rsid w:val="456A4DC4"/>
    <w:rsid w:val="456B4699"/>
    <w:rsid w:val="456B5A30"/>
    <w:rsid w:val="456B7F76"/>
    <w:rsid w:val="456C24E3"/>
    <w:rsid w:val="456D21BF"/>
    <w:rsid w:val="456D3B81"/>
    <w:rsid w:val="456E55CE"/>
    <w:rsid w:val="456E79C4"/>
    <w:rsid w:val="456F1408"/>
    <w:rsid w:val="456F4189"/>
    <w:rsid w:val="456F44C9"/>
    <w:rsid w:val="456F5DD5"/>
    <w:rsid w:val="45701CAF"/>
    <w:rsid w:val="45702958"/>
    <w:rsid w:val="45702974"/>
    <w:rsid w:val="457059EE"/>
    <w:rsid w:val="4570743E"/>
    <w:rsid w:val="45712FED"/>
    <w:rsid w:val="45717F01"/>
    <w:rsid w:val="45723DD9"/>
    <w:rsid w:val="45725A27"/>
    <w:rsid w:val="4573338A"/>
    <w:rsid w:val="45737E49"/>
    <w:rsid w:val="45741214"/>
    <w:rsid w:val="457479F1"/>
    <w:rsid w:val="45763769"/>
    <w:rsid w:val="45774DEB"/>
    <w:rsid w:val="457772B0"/>
    <w:rsid w:val="45785ADF"/>
    <w:rsid w:val="457875F6"/>
    <w:rsid w:val="45790B64"/>
    <w:rsid w:val="45795008"/>
    <w:rsid w:val="45796DB6"/>
    <w:rsid w:val="457B0D80"/>
    <w:rsid w:val="457B2B2E"/>
    <w:rsid w:val="457B545B"/>
    <w:rsid w:val="457C3DA0"/>
    <w:rsid w:val="457C4D58"/>
    <w:rsid w:val="457C4F0E"/>
    <w:rsid w:val="457D6264"/>
    <w:rsid w:val="457D6AC5"/>
    <w:rsid w:val="457E29D2"/>
    <w:rsid w:val="457E530D"/>
    <w:rsid w:val="457E617A"/>
    <w:rsid w:val="457F1EF2"/>
    <w:rsid w:val="457F23F7"/>
    <w:rsid w:val="457F72E8"/>
    <w:rsid w:val="45800055"/>
    <w:rsid w:val="45800144"/>
    <w:rsid w:val="45803E7F"/>
    <w:rsid w:val="45813EBC"/>
    <w:rsid w:val="45815C6A"/>
    <w:rsid w:val="4582210E"/>
    <w:rsid w:val="45822CF4"/>
    <w:rsid w:val="45837C34"/>
    <w:rsid w:val="458539AC"/>
    <w:rsid w:val="458563B0"/>
    <w:rsid w:val="45863281"/>
    <w:rsid w:val="45866996"/>
    <w:rsid w:val="45870763"/>
    <w:rsid w:val="4588349D"/>
    <w:rsid w:val="45894320"/>
    <w:rsid w:val="458A0FC3"/>
    <w:rsid w:val="458C1BD9"/>
    <w:rsid w:val="458C4D3B"/>
    <w:rsid w:val="458C5D17"/>
    <w:rsid w:val="458D2861"/>
    <w:rsid w:val="458D5B36"/>
    <w:rsid w:val="458E4A51"/>
    <w:rsid w:val="458E53DC"/>
    <w:rsid w:val="4591123D"/>
    <w:rsid w:val="45921C25"/>
    <w:rsid w:val="45924E5D"/>
    <w:rsid w:val="459308C3"/>
    <w:rsid w:val="4594599D"/>
    <w:rsid w:val="4595145E"/>
    <w:rsid w:val="459534C4"/>
    <w:rsid w:val="45975CBC"/>
    <w:rsid w:val="45976794"/>
    <w:rsid w:val="45977244"/>
    <w:rsid w:val="45984A28"/>
    <w:rsid w:val="45991206"/>
    <w:rsid w:val="459A5DBF"/>
    <w:rsid w:val="459A7DBB"/>
    <w:rsid w:val="459B5DB4"/>
    <w:rsid w:val="459C2AA4"/>
    <w:rsid w:val="459C6E90"/>
    <w:rsid w:val="459D4546"/>
    <w:rsid w:val="459D5D78"/>
    <w:rsid w:val="459E4A6E"/>
    <w:rsid w:val="459E692A"/>
    <w:rsid w:val="459F310F"/>
    <w:rsid w:val="45A007E6"/>
    <w:rsid w:val="45A04342"/>
    <w:rsid w:val="45A04F56"/>
    <w:rsid w:val="45A0554A"/>
    <w:rsid w:val="45A100BA"/>
    <w:rsid w:val="45A16B0C"/>
    <w:rsid w:val="45A23050"/>
    <w:rsid w:val="45A2455E"/>
    <w:rsid w:val="45A33E32"/>
    <w:rsid w:val="45A35BE1"/>
    <w:rsid w:val="45A46C77"/>
    <w:rsid w:val="45A55DFD"/>
    <w:rsid w:val="45A57BAB"/>
    <w:rsid w:val="45A73923"/>
    <w:rsid w:val="45A81449"/>
    <w:rsid w:val="45A858ED"/>
    <w:rsid w:val="45A87057"/>
    <w:rsid w:val="45A92AE9"/>
    <w:rsid w:val="45A97F18"/>
    <w:rsid w:val="45AA50D0"/>
    <w:rsid w:val="45AB0FF2"/>
    <w:rsid w:val="45AB2CE7"/>
    <w:rsid w:val="45AC6152"/>
    <w:rsid w:val="45AD2F03"/>
    <w:rsid w:val="45AD4CB1"/>
    <w:rsid w:val="45AF27D7"/>
    <w:rsid w:val="45B01CA9"/>
    <w:rsid w:val="45B1409B"/>
    <w:rsid w:val="45B20519"/>
    <w:rsid w:val="45B21DE4"/>
    <w:rsid w:val="45B222C8"/>
    <w:rsid w:val="45B3114C"/>
    <w:rsid w:val="45B32F89"/>
    <w:rsid w:val="45B44292"/>
    <w:rsid w:val="45B44C81"/>
    <w:rsid w:val="45B47DEE"/>
    <w:rsid w:val="45B55914"/>
    <w:rsid w:val="45B61DB8"/>
    <w:rsid w:val="45B84BF7"/>
    <w:rsid w:val="45B928A8"/>
    <w:rsid w:val="45BB5620"/>
    <w:rsid w:val="45BC2204"/>
    <w:rsid w:val="45BC5E3F"/>
    <w:rsid w:val="45BC638E"/>
    <w:rsid w:val="45BC6CA2"/>
    <w:rsid w:val="45BE0FCC"/>
    <w:rsid w:val="45BE23EF"/>
    <w:rsid w:val="45BF7797"/>
    <w:rsid w:val="45C02C36"/>
    <w:rsid w:val="45C1250B"/>
    <w:rsid w:val="45C142B9"/>
    <w:rsid w:val="45C36283"/>
    <w:rsid w:val="45C4558B"/>
    <w:rsid w:val="45C7207A"/>
    <w:rsid w:val="45C73FC5"/>
    <w:rsid w:val="45C76993"/>
    <w:rsid w:val="45C83899"/>
    <w:rsid w:val="45C920D3"/>
    <w:rsid w:val="45C9503B"/>
    <w:rsid w:val="45C97502"/>
    <w:rsid w:val="45CA7C18"/>
    <w:rsid w:val="45CC0FA9"/>
    <w:rsid w:val="45CC5137"/>
    <w:rsid w:val="45CC5F92"/>
    <w:rsid w:val="45CD0EAF"/>
    <w:rsid w:val="45CE07A3"/>
    <w:rsid w:val="45CE1B56"/>
    <w:rsid w:val="45CF1C33"/>
    <w:rsid w:val="45CF69D6"/>
    <w:rsid w:val="45D10865"/>
    <w:rsid w:val="45D12B0D"/>
    <w:rsid w:val="45D16BF2"/>
    <w:rsid w:val="45D17124"/>
    <w:rsid w:val="45D21950"/>
    <w:rsid w:val="45D264C6"/>
    <w:rsid w:val="45D34639"/>
    <w:rsid w:val="45D42DD1"/>
    <w:rsid w:val="45D466E2"/>
    <w:rsid w:val="45D50676"/>
    <w:rsid w:val="45D6072E"/>
    <w:rsid w:val="45D67D64"/>
    <w:rsid w:val="45D74323"/>
    <w:rsid w:val="45D82B2A"/>
    <w:rsid w:val="45D872AB"/>
    <w:rsid w:val="45DB078A"/>
    <w:rsid w:val="45DB35CC"/>
    <w:rsid w:val="45DB537A"/>
    <w:rsid w:val="45DC10F2"/>
    <w:rsid w:val="45DC5978"/>
    <w:rsid w:val="45DD0CE5"/>
    <w:rsid w:val="45DD5472"/>
    <w:rsid w:val="45DD7344"/>
    <w:rsid w:val="45DE252B"/>
    <w:rsid w:val="45DE30BD"/>
    <w:rsid w:val="45DE4E6B"/>
    <w:rsid w:val="45DF1728"/>
    <w:rsid w:val="45DF42EB"/>
    <w:rsid w:val="45E13FD8"/>
    <w:rsid w:val="45E245E4"/>
    <w:rsid w:val="45E261FE"/>
    <w:rsid w:val="45E306D3"/>
    <w:rsid w:val="45E31539"/>
    <w:rsid w:val="45E32481"/>
    <w:rsid w:val="45E36925"/>
    <w:rsid w:val="45E418DD"/>
    <w:rsid w:val="45E510BA"/>
    <w:rsid w:val="45E60856"/>
    <w:rsid w:val="45E65EC4"/>
    <w:rsid w:val="45E71F71"/>
    <w:rsid w:val="45E76415"/>
    <w:rsid w:val="45E858D0"/>
    <w:rsid w:val="45E85CE9"/>
    <w:rsid w:val="45EB331F"/>
    <w:rsid w:val="45EC57D9"/>
    <w:rsid w:val="45ED3300"/>
    <w:rsid w:val="45ED50AE"/>
    <w:rsid w:val="45EE2F12"/>
    <w:rsid w:val="45EE69F8"/>
    <w:rsid w:val="45F03E8E"/>
    <w:rsid w:val="45F27B9E"/>
    <w:rsid w:val="45F32B73"/>
    <w:rsid w:val="45F46992"/>
    <w:rsid w:val="45F47E6E"/>
    <w:rsid w:val="45F60406"/>
    <w:rsid w:val="45F61135"/>
    <w:rsid w:val="45F66658"/>
    <w:rsid w:val="45F6758C"/>
    <w:rsid w:val="45F75F2C"/>
    <w:rsid w:val="45F823D0"/>
    <w:rsid w:val="45F8417E"/>
    <w:rsid w:val="45F84858"/>
    <w:rsid w:val="45FA1273"/>
    <w:rsid w:val="45FA3846"/>
    <w:rsid w:val="45FB77CB"/>
    <w:rsid w:val="45FC3543"/>
    <w:rsid w:val="45FD2B8F"/>
    <w:rsid w:val="45FD4CB1"/>
    <w:rsid w:val="45FD5D62"/>
    <w:rsid w:val="45FE72BB"/>
    <w:rsid w:val="45FF375F"/>
    <w:rsid w:val="45FF6B67"/>
    <w:rsid w:val="460049F6"/>
    <w:rsid w:val="46004D73"/>
    <w:rsid w:val="46004DE1"/>
    <w:rsid w:val="460074D7"/>
    <w:rsid w:val="46016203"/>
    <w:rsid w:val="4602035D"/>
    <w:rsid w:val="46024FFD"/>
    <w:rsid w:val="46032B23"/>
    <w:rsid w:val="46036001"/>
    <w:rsid w:val="46050649"/>
    <w:rsid w:val="46054AED"/>
    <w:rsid w:val="46072613"/>
    <w:rsid w:val="460A2104"/>
    <w:rsid w:val="460A5C60"/>
    <w:rsid w:val="460A6426"/>
    <w:rsid w:val="460B7B64"/>
    <w:rsid w:val="460C0745"/>
    <w:rsid w:val="460C19D8"/>
    <w:rsid w:val="460C5E7C"/>
    <w:rsid w:val="460E39A2"/>
    <w:rsid w:val="460F1C96"/>
    <w:rsid w:val="460F3772"/>
    <w:rsid w:val="461118F6"/>
    <w:rsid w:val="46113492"/>
    <w:rsid w:val="46115CF7"/>
    <w:rsid w:val="461204F3"/>
    <w:rsid w:val="46135147"/>
    <w:rsid w:val="4613720A"/>
    <w:rsid w:val="461413E0"/>
    <w:rsid w:val="46144678"/>
    <w:rsid w:val="46151C09"/>
    <w:rsid w:val="46172330"/>
    <w:rsid w:val="461779D4"/>
    <w:rsid w:val="461965C5"/>
    <w:rsid w:val="461A28EF"/>
    <w:rsid w:val="461B34E3"/>
    <w:rsid w:val="461B60BF"/>
    <w:rsid w:val="461C16C9"/>
    <w:rsid w:val="461C5F1F"/>
    <w:rsid w:val="461D4100"/>
    <w:rsid w:val="461D54A6"/>
    <w:rsid w:val="461D5993"/>
    <w:rsid w:val="461E24D8"/>
    <w:rsid w:val="461E5346"/>
    <w:rsid w:val="461E55A5"/>
    <w:rsid w:val="461E6C96"/>
    <w:rsid w:val="461F178B"/>
    <w:rsid w:val="461F7058"/>
    <w:rsid w:val="46205483"/>
    <w:rsid w:val="46206466"/>
    <w:rsid w:val="4620797A"/>
    <w:rsid w:val="46211C73"/>
    <w:rsid w:val="462151CE"/>
    <w:rsid w:val="462211FB"/>
    <w:rsid w:val="46226C7C"/>
    <w:rsid w:val="46236D21"/>
    <w:rsid w:val="462417D4"/>
    <w:rsid w:val="46244F73"/>
    <w:rsid w:val="46250CEB"/>
    <w:rsid w:val="46252A99"/>
    <w:rsid w:val="462A4451"/>
    <w:rsid w:val="462B052A"/>
    <w:rsid w:val="462B16A5"/>
    <w:rsid w:val="462B7A84"/>
    <w:rsid w:val="462C28FF"/>
    <w:rsid w:val="462C5BD6"/>
    <w:rsid w:val="462D194E"/>
    <w:rsid w:val="462D713C"/>
    <w:rsid w:val="462E5DF2"/>
    <w:rsid w:val="462F56C6"/>
    <w:rsid w:val="46304725"/>
    <w:rsid w:val="463158E2"/>
    <w:rsid w:val="46317690"/>
    <w:rsid w:val="463352C3"/>
    <w:rsid w:val="46347950"/>
    <w:rsid w:val="46353024"/>
    <w:rsid w:val="46354877"/>
    <w:rsid w:val="46364CA7"/>
    <w:rsid w:val="46380EA2"/>
    <w:rsid w:val="46386C71"/>
    <w:rsid w:val="46393B1B"/>
    <w:rsid w:val="46396545"/>
    <w:rsid w:val="463A1231"/>
    <w:rsid w:val="463A4797"/>
    <w:rsid w:val="463B117C"/>
    <w:rsid w:val="463B406B"/>
    <w:rsid w:val="463C0EE8"/>
    <w:rsid w:val="463D2143"/>
    <w:rsid w:val="463D2AEF"/>
    <w:rsid w:val="463D4287"/>
    <w:rsid w:val="463D6C05"/>
    <w:rsid w:val="463D7DE3"/>
    <w:rsid w:val="463E4D14"/>
    <w:rsid w:val="463F7FFF"/>
    <w:rsid w:val="46401681"/>
    <w:rsid w:val="4640345A"/>
    <w:rsid w:val="46411F54"/>
    <w:rsid w:val="4642364B"/>
    <w:rsid w:val="4643076C"/>
    <w:rsid w:val="46445615"/>
    <w:rsid w:val="464473C4"/>
    <w:rsid w:val="46447445"/>
    <w:rsid w:val="464716F8"/>
    <w:rsid w:val="464B69A4"/>
    <w:rsid w:val="464D1554"/>
    <w:rsid w:val="464E1FF0"/>
    <w:rsid w:val="46510589"/>
    <w:rsid w:val="46511AE0"/>
    <w:rsid w:val="46516B0B"/>
    <w:rsid w:val="46523D01"/>
    <w:rsid w:val="4653100E"/>
    <w:rsid w:val="46532CDD"/>
    <w:rsid w:val="46535859"/>
    <w:rsid w:val="4654322F"/>
    <w:rsid w:val="4654337F"/>
    <w:rsid w:val="46547170"/>
    <w:rsid w:val="46555273"/>
    <w:rsid w:val="4657521B"/>
    <w:rsid w:val="46582E6F"/>
    <w:rsid w:val="465A0995"/>
    <w:rsid w:val="465A6BE7"/>
    <w:rsid w:val="465B64BB"/>
    <w:rsid w:val="465B7E10"/>
    <w:rsid w:val="465D0485"/>
    <w:rsid w:val="465E66B3"/>
    <w:rsid w:val="465E7D59"/>
    <w:rsid w:val="465F038F"/>
    <w:rsid w:val="465F41FD"/>
    <w:rsid w:val="465F7237"/>
    <w:rsid w:val="46601D24"/>
    <w:rsid w:val="466054DD"/>
    <w:rsid w:val="466229CE"/>
    <w:rsid w:val="4663178C"/>
    <w:rsid w:val="46641814"/>
    <w:rsid w:val="46647A66"/>
    <w:rsid w:val="466510E8"/>
    <w:rsid w:val="4665733A"/>
    <w:rsid w:val="46671304"/>
    <w:rsid w:val="46673C6F"/>
    <w:rsid w:val="46674E60"/>
    <w:rsid w:val="46696E2A"/>
    <w:rsid w:val="466B16B2"/>
    <w:rsid w:val="466E2692"/>
    <w:rsid w:val="466E3FB0"/>
    <w:rsid w:val="466E7679"/>
    <w:rsid w:val="466E7E16"/>
    <w:rsid w:val="466F1F67"/>
    <w:rsid w:val="46716462"/>
    <w:rsid w:val="46731A57"/>
    <w:rsid w:val="46733805"/>
    <w:rsid w:val="46735006"/>
    <w:rsid w:val="46744E00"/>
    <w:rsid w:val="46745ABF"/>
    <w:rsid w:val="467557CF"/>
    <w:rsid w:val="46762F9F"/>
    <w:rsid w:val="467852BF"/>
    <w:rsid w:val="46794B93"/>
    <w:rsid w:val="46797804"/>
    <w:rsid w:val="467A0C55"/>
    <w:rsid w:val="467A1037"/>
    <w:rsid w:val="467A34E7"/>
    <w:rsid w:val="467B090B"/>
    <w:rsid w:val="467B1AC6"/>
    <w:rsid w:val="467D4684"/>
    <w:rsid w:val="467E21A7"/>
    <w:rsid w:val="467F3637"/>
    <w:rsid w:val="468054CC"/>
    <w:rsid w:val="468224AF"/>
    <w:rsid w:val="46843FE7"/>
    <w:rsid w:val="46845740"/>
    <w:rsid w:val="468477C0"/>
    <w:rsid w:val="46853538"/>
    <w:rsid w:val="468667E7"/>
    <w:rsid w:val="468679DC"/>
    <w:rsid w:val="4687265B"/>
    <w:rsid w:val="4687351F"/>
    <w:rsid w:val="46884682"/>
    <w:rsid w:val="46887D79"/>
    <w:rsid w:val="468904D6"/>
    <w:rsid w:val="4689127A"/>
    <w:rsid w:val="468972BA"/>
    <w:rsid w:val="468A6DA0"/>
    <w:rsid w:val="468B0801"/>
    <w:rsid w:val="468B4FF2"/>
    <w:rsid w:val="468C2B19"/>
    <w:rsid w:val="468C306B"/>
    <w:rsid w:val="468E671C"/>
    <w:rsid w:val="469043B7"/>
    <w:rsid w:val="46906DA4"/>
    <w:rsid w:val="46911EDD"/>
    <w:rsid w:val="469139FC"/>
    <w:rsid w:val="46916381"/>
    <w:rsid w:val="46916EDC"/>
    <w:rsid w:val="46922533"/>
    <w:rsid w:val="4692342B"/>
    <w:rsid w:val="46933EA7"/>
    <w:rsid w:val="46965745"/>
    <w:rsid w:val="4697017D"/>
    <w:rsid w:val="4697550E"/>
    <w:rsid w:val="469813B7"/>
    <w:rsid w:val="469814BD"/>
    <w:rsid w:val="4698770F"/>
    <w:rsid w:val="4699566E"/>
    <w:rsid w:val="469A23F9"/>
    <w:rsid w:val="469A5235"/>
    <w:rsid w:val="469A6FE4"/>
    <w:rsid w:val="469C69B8"/>
    <w:rsid w:val="469D0882"/>
    <w:rsid w:val="469D20E2"/>
    <w:rsid w:val="469E47A2"/>
    <w:rsid w:val="469F284C"/>
    <w:rsid w:val="469F43E0"/>
    <w:rsid w:val="46A11D57"/>
    <w:rsid w:val="46A1247D"/>
    <w:rsid w:val="46A14816"/>
    <w:rsid w:val="46A20FAA"/>
    <w:rsid w:val="46A2233C"/>
    <w:rsid w:val="46A3401E"/>
    <w:rsid w:val="46A37971"/>
    <w:rsid w:val="46A42944"/>
    <w:rsid w:val="46A47E62"/>
    <w:rsid w:val="46A55988"/>
    <w:rsid w:val="46A6340C"/>
    <w:rsid w:val="46A71700"/>
    <w:rsid w:val="46A72843"/>
    <w:rsid w:val="46A77952"/>
    <w:rsid w:val="46A81102"/>
    <w:rsid w:val="46A83CD3"/>
    <w:rsid w:val="46AA2F9F"/>
    <w:rsid w:val="46AA452D"/>
    <w:rsid w:val="46AB2A08"/>
    <w:rsid w:val="46AB68FC"/>
    <w:rsid w:val="46AB7228"/>
    <w:rsid w:val="46AB7443"/>
    <w:rsid w:val="46AC4F69"/>
    <w:rsid w:val="46AC7988"/>
    <w:rsid w:val="46AE0CE1"/>
    <w:rsid w:val="46AE2A8F"/>
    <w:rsid w:val="46B00313"/>
    <w:rsid w:val="46B02465"/>
    <w:rsid w:val="46B04A59"/>
    <w:rsid w:val="46B06807"/>
    <w:rsid w:val="46B1730F"/>
    <w:rsid w:val="46B2185A"/>
    <w:rsid w:val="46B53E1D"/>
    <w:rsid w:val="46B6031B"/>
    <w:rsid w:val="46B61944"/>
    <w:rsid w:val="46B8390E"/>
    <w:rsid w:val="46B86C48"/>
    <w:rsid w:val="46BA0199"/>
    <w:rsid w:val="46BA1434"/>
    <w:rsid w:val="46BA2A7A"/>
    <w:rsid w:val="46BA58D8"/>
    <w:rsid w:val="46BD2CD2"/>
    <w:rsid w:val="46BE0D9D"/>
    <w:rsid w:val="46BE69A6"/>
    <w:rsid w:val="46BE763A"/>
    <w:rsid w:val="46BF2EEE"/>
    <w:rsid w:val="46BF4C9C"/>
    <w:rsid w:val="46C04255"/>
    <w:rsid w:val="46C045C0"/>
    <w:rsid w:val="46C15763"/>
    <w:rsid w:val="46C15FBB"/>
    <w:rsid w:val="46C21A07"/>
    <w:rsid w:val="46C2487A"/>
    <w:rsid w:val="46C5493C"/>
    <w:rsid w:val="46C67DD9"/>
    <w:rsid w:val="46C73B51"/>
    <w:rsid w:val="46C831B4"/>
    <w:rsid w:val="46C832BD"/>
    <w:rsid w:val="46C9474D"/>
    <w:rsid w:val="46CA5589"/>
    <w:rsid w:val="46CB1893"/>
    <w:rsid w:val="46CC1167"/>
    <w:rsid w:val="46CC73B9"/>
    <w:rsid w:val="46CD560B"/>
    <w:rsid w:val="46CE0FFF"/>
    <w:rsid w:val="46CF6512"/>
    <w:rsid w:val="46D00C57"/>
    <w:rsid w:val="46D02A05"/>
    <w:rsid w:val="46D06EA9"/>
    <w:rsid w:val="46D1697A"/>
    <w:rsid w:val="46D25E8F"/>
    <w:rsid w:val="46D303D0"/>
    <w:rsid w:val="46D40048"/>
    <w:rsid w:val="46D63D94"/>
    <w:rsid w:val="46D71FE6"/>
    <w:rsid w:val="46D72EC2"/>
    <w:rsid w:val="46D76F97"/>
    <w:rsid w:val="46D86895"/>
    <w:rsid w:val="46D92D86"/>
    <w:rsid w:val="46DA7F29"/>
    <w:rsid w:val="46DB3076"/>
    <w:rsid w:val="46DB35F5"/>
    <w:rsid w:val="46DB4144"/>
    <w:rsid w:val="46DC0B73"/>
    <w:rsid w:val="46DC75FC"/>
    <w:rsid w:val="46DD5122"/>
    <w:rsid w:val="46DE54E3"/>
    <w:rsid w:val="46DF5F3C"/>
    <w:rsid w:val="46DF70EC"/>
    <w:rsid w:val="46DF75D3"/>
    <w:rsid w:val="46E12E64"/>
    <w:rsid w:val="46E1494D"/>
    <w:rsid w:val="46E25187"/>
    <w:rsid w:val="46E25ADA"/>
    <w:rsid w:val="46E26BDC"/>
    <w:rsid w:val="46E26F1E"/>
    <w:rsid w:val="46E3156D"/>
    <w:rsid w:val="46E41355"/>
    <w:rsid w:val="46E55481"/>
    <w:rsid w:val="46E65E38"/>
    <w:rsid w:val="46E75FA1"/>
    <w:rsid w:val="46E878B4"/>
    <w:rsid w:val="46E91D19"/>
    <w:rsid w:val="46E97F6B"/>
    <w:rsid w:val="46EA4B04"/>
    <w:rsid w:val="46EB3AC4"/>
    <w:rsid w:val="46EB5A91"/>
    <w:rsid w:val="46EC3161"/>
    <w:rsid w:val="46EC35B7"/>
    <w:rsid w:val="46ED2407"/>
    <w:rsid w:val="46EE10DD"/>
    <w:rsid w:val="46EE44EF"/>
    <w:rsid w:val="46EE5581"/>
    <w:rsid w:val="46EE732F"/>
    <w:rsid w:val="46F04E55"/>
    <w:rsid w:val="46F07B2C"/>
    <w:rsid w:val="46F10BCE"/>
    <w:rsid w:val="46F30DEA"/>
    <w:rsid w:val="46F34946"/>
    <w:rsid w:val="46F506BE"/>
    <w:rsid w:val="46F62029"/>
    <w:rsid w:val="46F7136A"/>
    <w:rsid w:val="46F74BFA"/>
    <w:rsid w:val="46F77D27"/>
    <w:rsid w:val="46F801AE"/>
    <w:rsid w:val="46FA2178"/>
    <w:rsid w:val="46FA357B"/>
    <w:rsid w:val="46FB61D5"/>
    <w:rsid w:val="46FC1976"/>
    <w:rsid w:val="46FC5E9B"/>
    <w:rsid w:val="46FE5CAA"/>
    <w:rsid w:val="46FF2A7C"/>
    <w:rsid w:val="46FF32EA"/>
    <w:rsid w:val="46FF778E"/>
    <w:rsid w:val="47005C08"/>
    <w:rsid w:val="47013507"/>
    <w:rsid w:val="47017063"/>
    <w:rsid w:val="47022DDB"/>
    <w:rsid w:val="47024B89"/>
    <w:rsid w:val="47037AD4"/>
    <w:rsid w:val="47040901"/>
    <w:rsid w:val="47046B53"/>
    <w:rsid w:val="47061B1E"/>
    <w:rsid w:val="47064679"/>
    <w:rsid w:val="47086643"/>
    <w:rsid w:val="47097A44"/>
    <w:rsid w:val="470A3146"/>
    <w:rsid w:val="470B6133"/>
    <w:rsid w:val="470C0561"/>
    <w:rsid w:val="470D152C"/>
    <w:rsid w:val="470D1EAB"/>
    <w:rsid w:val="470D36EF"/>
    <w:rsid w:val="470D3C59"/>
    <w:rsid w:val="470D5A07"/>
    <w:rsid w:val="470E352E"/>
    <w:rsid w:val="470F6157"/>
    <w:rsid w:val="471072A6"/>
    <w:rsid w:val="47121270"/>
    <w:rsid w:val="47121447"/>
    <w:rsid w:val="471274C2"/>
    <w:rsid w:val="47130145"/>
    <w:rsid w:val="47134FE8"/>
    <w:rsid w:val="47150183"/>
    <w:rsid w:val="47150D60"/>
    <w:rsid w:val="47152B0E"/>
    <w:rsid w:val="471640E6"/>
    <w:rsid w:val="47176886"/>
    <w:rsid w:val="471825FE"/>
    <w:rsid w:val="47190850"/>
    <w:rsid w:val="471C0AE0"/>
    <w:rsid w:val="471C3E9C"/>
    <w:rsid w:val="471C7124"/>
    <w:rsid w:val="471D14E6"/>
    <w:rsid w:val="471E1235"/>
    <w:rsid w:val="471E7C15"/>
    <w:rsid w:val="471F0F75"/>
    <w:rsid w:val="471F1BDF"/>
    <w:rsid w:val="471F573B"/>
    <w:rsid w:val="472114B3"/>
    <w:rsid w:val="47217705"/>
    <w:rsid w:val="47225AAA"/>
    <w:rsid w:val="47234C08"/>
    <w:rsid w:val="4723522B"/>
    <w:rsid w:val="47240D29"/>
    <w:rsid w:val="47245267"/>
    <w:rsid w:val="47262F6D"/>
    <w:rsid w:val="47264328"/>
    <w:rsid w:val="47270F9A"/>
    <w:rsid w:val="47282841"/>
    <w:rsid w:val="4729044D"/>
    <w:rsid w:val="47293817"/>
    <w:rsid w:val="4729480B"/>
    <w:rsid w:val="47297A89"/>
    <w:rsid w:val="472A0F19"/>
    <w:rsid w:val="472B0D96"/>
    <w:rsid w:val="472D60AA"/>
    <w:rsid w:val="472E0D2A"/>
    <w:rsid w:val="472F1E22"/>
    <w:rsid w:val="473032BE"/>
    <w:rsid w:val="47304268"/>
    <w:rsid w:val="47307948"/>
    <w:rsid w:val="47326B5E"/>
    <w:rsid w:val="47330B3B"/>
    <w:rsid w:val="47341D77"/>
    <w:rsid w:val="473471DC"/>
    <w:rsid w:val="47347438"/>
    <w:rsid w:val="473531B0"/>
    <w:rsid w:val="47354F5E"/>
    <w:rsid w:val="473632F0"/>
    <w:rsid w:val="47370CD6"/>
    <w:rsid w:val="47372A84"/>
    <w:rsid w:val="47394A4E"/>
    <w:rsid w:val="4739668B"/>
    <w:rsid w:val="473B751F"/>
    <w:rsid w:val="473C62ED"/>
    <w:rsid w:val="473F5DDD"/>
    <w:rsid w:val="47407C4E"/>
    <w:rsid w:val="47412E3C"/>
    <w:rsid w:val="47413903"/>
    <w:rsid w:val="474164E5"/>
    <w:rsid w:val="47424F4E"/>
    <w:rsid w:val="474260A3"/>
    <w:rsid w:val="47431429"/>
    <w:rsid w:val="4743767B"/>
    <w:rsid w:val="47446AF9"/>
    <w:rsid w:val="47451645"/>
    <w:rsid w:val="47456240"/>
    <w:rsid w:val="47456DDE"/>
    <w:rsid w:val="47484C91"/>
    <w:rsid w:val="47490A0A"/>
    <w:rsid w:val="474927B8"/>
    <w:rsid w:val="4749618D"/>
    <w:rsid w:val="474A6558"/>
    <w:rsid w:val="474B29D4"/>
    <w:rsid w:val="474D04FA"/>
    <w:rsid w:val="47503B46"/>
    <w:rsid w:val="47513C75"/>
    <w:rsid w:val="47523D62"/>
    <w:rsid w:val="47525B10"/>
    <w:rsid w:val="4753709D"/>
    <w:rsid w:val="47541888"/>
    <w:rsid w:val="47545E34"/>
    <w:rsid w:val="4755115C"/>
    <w:rsid w:val="47561677"/>
    <w:rsid w:val="47573126"/>
    <w:rsid w:val="47573C81"/>
    <w:rsid w:val="475758FD"/>
    <w:rsid w:val="475953BF"/>
    <w:rsid w:val="475C073D"/>
    <w:rsid w:val="475D1BA0"/>
    <w:rsid w:val="475E78D5"/>
    <w:rsid w:val="475F022D"/>
    <w:rsid w:val="475F3D89"/>
    <w:rsid w:val="47610BA3"/>
    <w:rsid w:val="47611F43"/>
    <w:rsid w:val="47612B67"/>
    <w:rsid w:val="47615D53"/>
    <w:rsid w:val="4761678A"/>
    <w:rsid w:val="476172DA"/>
    <w:rsid w:val="47617B01"/>
    <w:rsid w:val="47621AAE"/>
    <w:rsid w:val="47631D32"/>
    <w:rsid w:val="4764066F"/>
    <w:rsid w:val="47643C7B"/>
    <w:rsid w:val="4764659D"/>
    <w:rsid w:val="476475F1"/>
    <w:rsid w:val="47655843"/>
    <w:rsid w:val="4766336A"/>
    <w:rsid w:val="47680C7B"/>
    <w:rsid w:val="47680E90"/>
    <w:rsid w:val="47684B3D"/>
    <w:rsid w:val="476870E2"/>
    <w:rsid w:val="47694C08"/>
    <w:rsid w:val="47694F1C"/>
    <w:rsid w:val="476A10AC"/>
    <w:rsid w:val="476A2E5A"/>
    <w:rsid w:val="476A4B03"/>
    <w:rsid w:val="476A6321"/>
    <w:rsid w:val="476A63AC"/>
    <w:rsid w:val="476B6BD2"/>
    <w:rsid w:val="476D18F8"/>
    <w:rsid w:val="476D46F8"/>
    <w:rsid w:val="476D4D2D"/>
    <w:rsid w:val="476D64A6"/>
    <w:rsid w:val="476E0DE5"/>
    <w:rsid w:val="476E1257"/>
    <w:rsid w:val="476E221E"/>
    <w:rsid w:val="476E4379"/>
    <w:rsid w:val="476E61BD"/>
    <w:rsid w:val="4770221E"/>
    <w:rsid w:val="477161DB"/>
    <w:rsid w:val="4771627F"/>
    <w:rsid w:val="477261B2"/>
    <w:rsid w:val="4773208C"/>
    <w:rsid w:val="477360B9"/>
    <w:rsid w:val="47737835"/>
    <w:rsid w:val="47746AF3"/>
    <w:rsid w:val="47764C4B"/>
    <w:rsid w:val="477737C9"/>
    <w:rsid w:val="47775577"/>
    <w:rsid w:val="47777520"/>
    <w:rsid w:val="4778699D"/>
    <w:rsid w:val="47787B56"/>
    <w:rsid w:val="477904C3"/>
    <w:rsid w:val="477912EF"/>
    <w:rsid w:val="4779309D"/>
    <w:rsid w:val="477B5067"/>
    <w:rsid w:val="477C493B"/>
    <w:rsid w:val="477D265F"/>
    <w:rsid w:val="477D4822"/>
    <w:rsid w:val="477E06B3"/>
    <w:rsid w:val="477E6905"/>
    <w:rsid w:val="477F5D35"/>
    <w:rsid w:val="47801D13"/>
    <w:rsid w:val="478101A3"/>
    <w:rsid w:val="478131A3"/>
    <w:rsid w:val="47813E6C"/>
    <w:rsid w:val="47824633"/>
    <w:rsid w:val="4783216D"/>
    <w:rsid w:val="47835AC3"/>
    <w:rsid w:val="47835CCA"/>
    <w:rsid w:val="47841A42"/>
    <w:rsid w:val="47841C0B"/>
    <w:rsid w:val="47857C94"/>
    <w:rsid w:val="478611A1"/>
    <w:rsid w:val="478641C7"/>
    <w:rsid w:val="47887784"/>
    <w:rsid w:val="478A1A03"/>
    <w:rsid w:val="478A2738"/>
    <w:rsid w:val="478A34FC"/>
    <w:rsid w:val="478A7058"/>
    <w:rsid w:val="478B2DD0"/>
    <w:rsid w:val="478B3ED8"/>
    <w:rsid w:val="478B4B7E"/>
    <w:rsid w:val="478B62E5"/>
    <w:rsid w:val="478C4AD1"/>
    <w:rsid w:val="478C4FF2"/>
    <w:rsid w:val="478C7274"/>
    <w:rsid w:val="478D08F6"/>
    <w:rsid w:val="478D2DCD"/>
    <w:rsid w:val="478D4D9A"/>
    <w:rsid w:val="478E4DEB"/>
    <w:rsid w:val="478F0B12"/>
    <w:rsid w:val="478F40CF"/>
    <w:rsid w:val="47906638"/>
    <w:rsid w:val="47912C97"/>
    <w:rsid w:val="4791488A"/>
    <w:rsid w:val="4792415F"/>
    <w:rsid w:val="47925F0D"/>
    <w:rsid w:val="47932F28"/>
    <w:rsid w:val="47941C85"/>
    <w:rsid w:val="47947C68"/>
    <w:rsid w:val="47961EA1"/>
    <w:rsid w:val="47962FFF"/>
    <w:rsid w:val="479A3D49"/>
    <w:rsid w:val="479B55B1"/>
    <w:rsid w:val="479B74B7"/>
    <w:rsid w:val="479C4FDD"/>
    <w:rsid w:val="479C6D8B"/>
    <w:rsid w:val="479E1428"/>
    <w:rsid w:val="479E48B1"/>
    <w:rsid w:val="479F062A"/>
    <w:rsid w:val="479F1F62"/>
    <w:rsid w:val="47A04ACD"/>
    <w:rsid w:val="47A07BBB"/>
    <w:rsid w:val="47A143A2"/>
    <w:rsid w:val="47A3011A"/>
    <w:rsid w:val="47A3653C"/>
    <w:rsid w:val="47A43097"/>
    <w:rsid w:val="47A45C40"/>
    <w:rsid w:val="47A54FEA"/>
    <w:rsid w:val="47A6109B"/>
    <w:rsid w:val="47A619B8"/>
    <w:rsid w:val="47A81BD4"/>
    <w:rsid w:val="47A85730"/>
    <w:rsid w:val="47A872E3"/>
    <w:rsid w:val="47AC65CF"/>
    <w:rsid w:val="47AD05DA"/>
    <w:rsid w:val="47AD71EA"/>
    <w:rsid w:val="47AF2F63"/>
    <w:rsid w:val="47AF4D11"/>
    <w:rsid w:val="47AF6ABF"/>
    <w:rsid w:val="47B076B0"/>
    <w:rsid w:val="47B14998"/>
    <w:rsid w:val="47B16CDB"/>
    <w:rsid w:val="47B21FD0"/>
    <w:rsid w:val="47B36F9E"/>
    <w:rsid w:val="47B40579"/>
    <w:rsid w:val="47B42327"/>
    <w:rsid w:val="47B440D5"/>
    <w:rsid w:val="47B60970"/>
    <w:rsid w:val="47B60B99"/>
    <w:rsid w:val="47B666DF"/>
    <w:rsid w:val="47B74AF5"/>
    <w:rsid w:val="47B91EA3"/>
    <w:rsid w:val="47B95B8F"/>
    <w:rsid w:val="47BA5463"/>
    <w:rsid w:val="47BA7421"/>
    <w:rsid w:val="47BC11DC"/>
    <w:rsid w:val="47BC3EBE"/>
    <w:rsid w:val="47BC7CD3"/>
    <w:rsid w:val="47BD747C"/>
    <w:rsid w:val="47BE46CD"/>
    <w:rsid w:val="47BE6D02"/>
    <w:rsid w:val="47BF469F"/>
    <w:rsid w:val="47C00CCC"/>
    <w:rsid w:val="47C06F1E"/>
    <w:rsid w:val="47C071A5"/>
    <w:rsid w:val="47C14A44"/>
    <w:rsid w:val="47C22C96"/>
    <w:rsid w:val="47C307BC"/>
    <w:rsid w:val="47C562E2"/>
    <w:rsid w:val="47C63E08"/>
    <w:rsid w:val="47C702AC"/>
    <w:rsid w:val="47C7185C"/>
    <w:rsid w:val="47C72840"/>
    <w:rsid w:val="47C85DD2"/>
    <w:rsid w:val="47C87B80"/>
    <w:rsid w:val="47CA16E7"/>
    <w:rsid w:val="47CA1B4A"/>
    <w:rsid w:val="47CA2E28"/>
    <w:rsid w:val="47CA56A6"/>
    <w:rsid w:val="47CA7D9C"/>
    <w:rsid w:val="47CB7671"/>
    <w:rsid w:val="47CC58C3"/>
    <w:rsid w:val="47CD33E9"/>
    <w:rsid w:val="47CD5197"/>
    <w:rsid w:val="47CE5C82"/>
    <w:rsid w:val="47CE7435"/>
    <w:rsid w:val="47CF17FF"/>
    <w:rsid w:val="47CF6279"/>
    <w:rsid w:val="47D069E7"/>
    <w:rsid w:val="47D14C87"/>
    <w:rsid w:val="47D150F9"/>
    <w:rsid w:val="47D165C5"/>
    <w:rsid w:val="47D1745E"/>
    <w:rsid w:val="47D21405"/>
    <w:rsid w:val="47D32818"/>
    <w:rsid w:val="47D4046E"/>
    <w:rsid w:val="47D41223"/>
    <w:rsid w:val="47D429C9"/>
    <w:rsid w:val="47D46525"/>
    <w:rsid w:val="47D46A43"/>
    <w:rsid w:val="47D604EF"/>
    <w:rsid w:val="47D66741"/>
    <w:rsid w:val="47D9517B"/>
    <w:rsid w:val="47D97D4C"/>
    <w:rsid w:val="47D97FDF"/>
    <w:rsid w:val="47DC523D"/>
    <w:rsid w:val="47DD7AD0"/>
    <w:rsid w:val="47DE55F6"/>
    <w:rsid w:val="47DE73A4"/>
    <w:rsid w:val="47E04ECA"/>
    <w:rsid w:val="47E051A9"/>
    <w:rsid w:val="47E250E6"/>
    <w:rsid w:val="47E26D7C"/>
    <w:rsid w:val="47E32C53"/>
    <w:rsid w:val="47E36768"/>
    <w:rsid w:val="47E476E5"/>
    <w:rsid w:val="47E50732"/>
    <w:rsid w:val="47E52CA5"/>
    <w:rsid w:val="47E66258"/>
    <w:rsid w:val="47E744AA"/>
    <w:rsid w:val="47E90EFB"/>
    <w:rsid w:val="47EA3F9B"/>
    <w:rsid w:val="47EA6100"/>
    <w:rsid w:val="47ED3A8B"/>
    <w:rsid w:val="47ED75E7"/>
    <w:rsid w:val="47EF3A41"/>
    <w:rsid w:val="47EF4316"/>
    <w:rsid w:val="47EF6E7B"/>
    <w:rsid w:val="47EF7803"/>
    <w:rsid w:val="47F06A69"/>
    <w:rsid w:val="47F15B78"/>
    <w:rsid w:val="47F15FD3"/>
    <w:rsid w:val="47F170D7"/>
    <w:rsid w:val="47F210A1"/>
    <w:rsid w:val="47F21211"/>
    <w:rsid w:val="47F240E7"/>
    <w:rsid w:val="47F24BFD"/>
    <w:rsid w:val="47F40975"/>
    <w:rsid w:val="47F4380C"/>
    <w:rsid w:val="47F4447A"/>
    <w:rsid w:val="47F44E19"/>
    <w:rsid w:val="47F46BC7"/>
    <w:rsid w:val="47F60B91"/>
    <w:rsid w:val="47F6293F"/>
    <w:rsid w:val="47F70466"/>
    <w:rsid w:val="47F93301"/>
    <w:rsid w:val="47F941DE"/>
    <w:rsid w:val="47F94765"/>
    <w:rsid w:val="47F95F8C"/>
    <w:rsid w:val="47F964A7"/>
    <w:rsid w:val="47FA07C6"/>
    <w:rsid w:val="47FA7AD0"/>
    <w:rsid w:val="47FB10AC"/>
    <w:rsid w:val="47FD0B4D"/>
    <w:rsid w:val="47FD5FB7"/>
    <w:rsid w:val="47FE17F4"/>
    <w:rsid w:val="47FF4A0A"/>
    <w:rsid w:val="48014387"/>
    <w:rsid w:val="48015ECB"/>
    <w:rsid w:val="48020068"/>
    <w:rsid w:val="4802434A"/>
    <w:rsid w:val="4803065F"/>
    <w:rsid w:val="48030BB8"/>
    <w:rsid w:val="4803505C"/>
    <w:rsid w:val="4803794D"/>
    <w:rsid w:val="4805102B"/>
    <w:rsid w:val="48052B82"/>
    <w:rsid w:val="4806200D"/>
    <w:rsid w:val="480768FB"/>
    <w:rsid w:val="48084421"/>
    <w:rsid w:val="48090D78"/>
    <w:rsid w:val="48095624"/>
    <w:rsid w:val="480A1F47"/>
    <w:rsid w:val="480B330E"/>
    <w:rsid w:val="480C5CBF"/>
    <w:rsid w:val="480D1F11"/>
    <w:rsid w:val="480E00CC"/>
    <w:rsid w:val="480E2480"/>
    <w:rsid w:val="480F1C53"/>
    <w:rsid w:val="480F57AF"/>
    <w:rsid w:val="48103208"/>
    <w:rsid w:val="481039F9"/>
    <w:rsid w:val="48111527"/>
    <w:rsid w:val="481149E3"/>
    <w:rsid w:val="4812529F"/>
    <w:rsid w:val="4813321D"/>
    <w:rsid w:val="48137810"/>
    <w:rsid w:val="48166B3E"/>
    <w:rsid w:val="48166FA4"/>
    <w:rsid w:val="48174A91"/>
    <w:rsid w:val="481850B5"/>
    <w:rsid w:val="48194880"/>
    <w:rsid w:val="481B23A6"/>
    <w:rsid w:val="481C455D"/>
    <w:rsid w:val="481D241F"/>
    <w:rsid w:val="481D5806"/>
    <w:rsid w:val="481D7ECC"/>
    <w:rsid w:val="481E7522"/>
    <w:rsid w:val="482027B5"/>
    <w:rsid w:val="482079BC"/>
    <w:rsid w:val="48213DA7"/>
    <w:rsid w:val="482254E2"/>
    <w:rsid w:val="4822715D"/>
    <w:rsid w:val="48233A4F"/>
    <w:rsid w:val="482374AD"/>
    <w:rsid w:val="48242B78"/>
    <w:rsid w:val="48247C3C"/>
    <w:rsid w:val="48254FD3"/>
    <w:rsid w:val="48264C12"/>
    <w:rsid w:val="48271FC2"/>
    <w:rsid w:val="48272AF9"/>
    <w:rsid w:val="48295C97"/>
    <w:rsid w:val="482A25E9"/>
    <w:rsid w:val="482B6E84"/>
    <w:rsid w:val="482C2540"/>
    <w:rsid w:val="482C4AE7"/>
    <w:rsid w:val="482C5CFA"/>
    <w:rsid w:val="482C6361"/>
    <w:rsid w:val="482D1F14"/>
    <w:rsid w:val="482F5E51"/>
    <w:rsid w:val="48301787"/>
    <w:rsid w:val="48311BC9"/>
    <w:rsid w:val="48315726"/>
    <w:rsid w:val="48324343"/>
    <w:rsid w:val="48324F2F"/>
    <w:rsid w:val="48335942"/>
    <w:rsid w:val="48343468"/>
    <w:rsid w:val="483458AA"/>
    <w:rsid w:val="48347216"/>
    <w:rsid w:val="48360F8E"/>
    <w:rsid w:val="483671E0"/>
    <w:rsid w:val="48372086"/>
    <w:rsid w:val="48375B97"/>
    <w:rsid w:val="48384DB6"/>
    <w:rsid w:val="4839282C"/>
    <w:rsid w:val="483950D7"/>
    <w:rsid w:val="483B0352"/>
    <w:rsid w:val="483B1A2C"/>
    <w:rsid w:val="483D056E"/>
    <w:rsid w:val="483D540F"/>
    <w:rsid w:val="483D6C2B"/>
    <w:rsid w:val="483E3585"/>
    <w:rsid w:val="4840118F"/>
    <w:rsid w:val="48407323"/>
    <w:rsid w:val="48427933"/>
    <w:rsid w:val="484336AB"/>
    <w:rsid w:val="4843441C"/>
    <w:rsid w:val="48435459"/>
    <w:rsid w:val="484453C8"/>
    <w:rsid w:val="48455675"/>
    <w:rsid w:val="48457423"/>
    <w:rsid w:val="484649BD"/>
    <w:rsid w:val="484662D3"/>
    <w:rsid w:val="4847319B"/>
    <w:rsid w:val="4847426C"/>
    <w:rsid w:val="484746CA"/>
    <w:rsid w:val="48475A81"/>
    <w:rsid w:val="48480CC1"/>
    <w:rsid w:val="484916ED"/>
    <w:rsid w:val="484933FC"/>
    <w:rsid w:val="48495275"/>
    <w:rsid w:val="48497FAC"/>
    <w:rsid w:val="484A67E7"/>
    <w:rsid w:val="484C7CEF"/>
    <w:rsid w:val="484D4835"/>
    <w:rsid w:val="484D75B3"/>
    <w:rsid w:val="484E10AB"/>
    <w:rsid w:val="48515DC8"/>
    <w:rsid w:val="48517B76"/>
    <w:rsid w:val="48524506"/>
    <w:rsid w:val="485338EE"/>
    <w:rsid w:val="485350A5"/>
    <w:rsid w:val="48536C35"/>
    <w:rsid w:val="48537D92"/>
    <w:rsid w:val="485407C7"/>
    <w:rsid w:val="48540955"/>
    <w:rsid w:val="485476CA"/>
    <w:rsid w:val="48551120"/>
    <w:rsid w:val="485633DE"/>
    <w:rsid w:val="48582728"/>
    <w:rsid w:val="48587156"/>
    <w:rsid w:val="48587276"/>
    <w:rsid w:val="48592ECE"/>
    <w:rsid w:val="4859390D"/>
    <w:rsid w:val="485A1120"/>
    <w:rsid w:val="485A499E"/>
    <w:rsid w:val="485B6C46"/>
    <w:rsid w:val="485B6FEA"/>
    <w:rsid w:val="485D29BF"/>
    <w:rsid w:val="485D651B"/>
    <w:rsid w:val="485E04E5"/>
    <w:rsid w:val="485F6B32"/>
    <w:rsid w:val="486003D7"/>
    <w:rsid w:val="486024AF"/>
    <w:rsid w:val="4860600B"/>
    <w:rsid w:val="48607974"/>
    <w:rsid w:val="48621D83"/>
    <w:rsid w:val="48623B31"/>
    <w:rsid w:val="48634E65"/>
    <w:rsid w:val="48641BA5"/>
    <w:rsid w:val="48644BB4"/>
    <w:rsid w:val="486501EC"/>
    <w:rsid w:val="48657AC5"/>
    <w:rsid w:val="48657F5E"/>
    <w:rsid w:val="4867383D"/>
    <w:rsid w:val="48674C76"/>
    <w:rsid w:val="486755EB"/>
    <w:rsid w:val="4867697B"/>
    <w:rsid w:val="48677399"/>
    <w:rsid w:val="48681C73"/>
    <w:rsid w:val="48691363"/>
    <w:rsid w:val="48693111"/>
    <w:rsid w:val="486A35F7"/>
    <w:rsid w:val="486B6EDA"/>
    <w:rsid w:val="486C0E54"/>
    <w:rsid w:val="486D24D6"/>
    <w:rsid w:val="486D7C0A"/>
    <w:rsid w:val="486E0961"/>
    <w:rsid w:val="486E2920"/>
    <w:rsid w:val="486E5043"/>
    <w:rsid w:val="486F26F2"/>
    <w:rsid w:val="48710218"/>
    <w:rsid w:val="487108F9"/>
    <w:rsid w:val="4872040B"/>
    <w:rsid w:val="487321E2"/>
    <w:rsid w:val="4876582E"/>
    <w:rsid w:val="487675DC"/>
    <w:rsid w:val="487779CA"/>
    <w:rsid w:val="48777D12"/>
    <w:rsid w:val="48777D8D"/>
    <w:rsid w:val="487A3659"/>
    <w:rsid w:val="487B19AB"/>
    <w:rsid w:val="487B2E3B"/>
    <w:rsid w:val="487B2E45"/>
    <w:rsid w:val="487B4BF3"/>
    <w:rsid w:val="487D2F04"/>
    <w:rsid w:val="487D3B49"/>
    <w:rsid w:val="487D6BBD"/>
    <w:rsid w:val="487F0EA0"/>
    <w:rsid w:val="487F2935"/>
    <w:rsid w:val="487F60CE"/>
    <w:rsid w:val="487F7084"/>
    <w:rsid w:val="487F7E32"/>
    <w:rsid w:val="4880083A"/>
    <w:rsid w:val="488167F4"/>
    <w:rsid w:val="48816CAD"/>
    <w:rsid w:val="48825005"/>
    <w:rsid w:val="4883492F"/>
    <w:rsid w:val="48836FD3"/>
    <w:rsid w:val="48847D15"/>
    <w:rsid w:val="48847F4B"/>
    <w:rsid w:val="488501FF"/>
    <w:rsid w:val="48867527"/>
    <w:rsid w:val="48897310"/>
    <w:rsid w:val="488C32A4"/>
    <w:rsid w:val="488C5052"/>
    <w:rsid w:val="488E0DCA"/>
    <w:rsid w:val="488E2B78"/>
    <w:rsid w:val="488E4445"/>
    <w:rsid w:val="488F069E"/>
    <w:rsid w:val="488F3E82"/>
    <w:rsid w:val="489104BD"/>
    <w:rsid w:val="48914416"/>
    <w:rsid w:val="48927C32"/>
    <w:rsid w:val="48931F3C"/>
    <w:rsid w:val="489348DF"/>
    <w:rsid w:val="48937901"/>
    <w:rsid w:val="48937EE4"/>
    <w:rsid w:val="48955471"/>
    <w:rsid w:val="48961F89"/>
    <w:rsid w:val="48983AA4"/>
    <w:rsid w:val="489857A5"/>
    <w:rsid w:val="489905C6"/>
    <w:rsid w:val="489A01DD"/>
    <w:rsid w:val="489A1D96"/>
    <w:rsid w:val="489A63C4"/>
    <w:rsid w:val="489A776F"/>
    <w:rsid w:val="489B7043"/>
    <w:rsid w:val="489D2DBB"/>
    <w:rsid w:val="489E2939"/>
    <w:rsid w:val="489E37C5"/>
    <w:rsid w:val="489F6B33"/>
    <w:rsid w:val="48A00CF2"/>
    <w:rsid w:val="48A203D1"/>
    <w:rsid w:val="48A405ED"/>
    <w:rsid w:val="48A44149"/>
    <w:rsid w:val="48A567D1"/>
    <w:rsid w:val="48A57EC2"/>
    <w:rsid w:val="48A633EA"/>
    <w:rsid w:val="48A64365"/>
    <w:rsid w:val="48A736BB"/>
    <w:rsid w:val="48A7553D"/>
    <w:rsid w:val="48A759E8"/>
    <w:rsid w:val="48A81948"/>
    <w:rsid w:val="48A87371"/>
    <w:rsid w:val="48A874B9"/>
    <w:rsid w:val="48A95C04"/>
    <w:rsid w:val="48AA5EB9"/>
    <w:rsid w:val="48AA5F8F"/>
    <w:rsid w:val="48AA7389"/>
    <w:rsid w:val="48AB197C"/>
    <w:rsid w:val="48AB372A"/>
    <w:rsid w:val="48AC2FFE"/>
    <w:rsid w:val="48AD2F65"/>
    <w:rsid w:val="48AD7515"/>
    <w:rsid w:val="48AE321A"/>
    <w:rsid w:val="48AE42F2"/>
    <w:rsid w:val="48AE6D76"/>
    <w:rsid w:val="48AF715A"/>
    <w:rsid w:val="48B0193B"/>
    <w:rsid w:val="48B14D38"/>
    <w:rsid w:val="48B16866"/>
    <w:rsid w:val="48B26527"/>
    <w:rsid w:val="48B30830"/>
    <w:rsid w:val="48B4470D"/>
    <w:rsid w:val="48B45470"/>
    <w:rsid w:val="48B5284B"/>
    <w:rsid w:val="48B56357"/>
    <w:rsid w:val="48B620CF"/>
    <w:rsid w:val="48B80984"/>
    <w:rsid w:val="48B8098D"/>
    <w:rsid w:val="48B83B95"/>
    <w:rsid w:val="48B85E47"/>
    <w:rsid w:val="48B87BF5"/>
    <w:rsid w:val="48B9451E"/>
    <w:rsid w:val="48B9571B"/>
    <w:rsid w:val="48B95FAF"/>
    <w:rsid w:val="48B96900"/>
    <w:rsid w:val="48BA108A"/>
    <w:rsid w:val="48BA1BBF"/>
    <w:rsid w:val="48BD16AF"/>
    <w:rsid w:val="48BD34D6"/>
    <w:rsid w:val="48BD376D"/>
    <w:rsid w:val="48BE2BA2"/>
    <w:rsid w:val="48BF2D31"/>
    <w:rsid w:val="48BF5427"/>
    <w:rsid w:val="48BF71D5"/>
    <w:rsid w:val="48C000DF"/>
    <w:rsid w:val="48C02CB0"/>
    <w:rsid w:val="48C04DDD"/>
    <w:rsid w:val="48C12F4D"/>
    <w:rsid w:val="48C20A74"/>
    <w:rsid w:val="48C36B0D"/>
    <w:rsid w:val="48C41631"/>
    <w:rsid w:val="48C447EC"/>
    <w:rsid w:val="48C45878"/>
    <w:rsid w:val="48C540C0"/>
    <w:rsid w:val="48C60608"/>
    <w:rsid w:val="48C77E38"/>
    <w:rsid w:val="48C90054"/>
    <w:rsid w:val="48C91E02"/>
    <w:rsid w:val="48CA4CE9"/>
    <w:rsid w:val="48CB0D15"/>
    <w:rsid w:val="48CE11C6"/>
    <w:rsid w:val="48CE1E02"/>
    <w:rsid w:val="48CE400C"/>
    <w:rsid w:val="48CE7418"/>
    <w:rsid w:val="48D04F5D"/>
    <w:rsid w:val="48D10CB7"/>
    <w:rsid w:val="48D12A65"/>
    <w:rsid w:val="48D16F09"/>
    <w:rsid w:val="48D17705"/>
    <w:rsid w:val="48D3302F"/>
    <w:rsid w:val="48D452EA"/>
    <w:rsid w:val="48D569F9"/>
    <w:rsid w:val="48D6451F"/>
    <w:rsid w:val="48D80297"/>
    <w:rsid w:val="48D82045"/>
    <w:rsid w:val="48D83DF3"/>
    <w:rsid w:val="48D9521E"/>
    <w:rsid w:val="48DA28FB"/>
    <w:rsid w:val="48DA2C66"/>
    <w:rsid w:val="48DB1B35"/>
    <w:rsid w:val="48DD2FA1"/>
    <w:rsid w:val="48DD3AFF"/>
    <w:rsid w:val="48DD58AD"/>
    <w:rsid w:val="48DE4596"/>
    <w:rsid w:val="48DF1625"/>
    <w:rsid w:val="48E00EFA"/>
    <w:rsid w:val="48E10B59"/>
    <w:rsid w:val="48E1539E"/>
    <w:rsid w:val="48E16FA2"/>
    <w:rsid w:val="48E21116"/>
    <w:rsid w:val="48E22EC4"/>
    <w:rsid w:val="48E42798"/>
    <w:rsid w:val="48E46D6D"/>
    <w:rsid w:val="48E5353B"/>
    <w:rsid w:val="48E56510"/>
    <w:rsid w:val="48E7655B"/>
    <w:rsid w:val="48E7759C"/>
    <w:rsid w:val="48E85B4C"/>
    <w:rsid w:val="48E924A4"/>
    <w:rsid w:val="48E94252"/>
    <w:rsid w:val="48E9432B"/>
    <w:rsid w:val="48E94F23"/>
    <w:rsid w:val="48EA3B26"/>
    <w:rsid w:val="48EB44D7"/>
    <w:rsid w:val="48EB73AD"/>
    <w:rsid w:val="48EB7DA1"/>
    <w:rsid w:val="48EC5AF0"/>
    <w:rsid w:val="48ED04BA"/>
    <w:rsid w:val="48ED0B47"/>
    <w:rsid w:val="48ED237B"/>
    <w:rsid w:val="48EE1869"/>
    <w:rsid w:val="48EE3617"/>
    <w:rsid w:val="48EE37C3"/>
    <w:rsid w:val="48F03833"/>
    <w:rsid w:val="48F055E1"/>
    <w:rsid w:val="48F0738F"/>
    <w:rsid w:val="48F17A38"/>
    <w:rsid w:val="48F20AA4"/>
    <w:rsid w:val="48F22F6E"/>
    <w:rsid w:val="48F30C2D"/>
    <w:rsid w:val="48F34D79"/>
    <w:rsid w:val="48F350D1"/>
    <w:rsid w:val="48F43B85"/>
    <w:rsid w:val="48F50E49"/>
    <w:rsid w:val="48F549A5"/>
    <w:rsid w:val="48F6071D"/>
    <w:rsid w:val="48F650FE"/>
    <w:rsid w:val="48F8015A"/>
    <w:rsid w:val="48F826E7"/>
    <w:rsid w:val="48FA1FBB"/>
    <w:rsid w:val="48FB5D34"/>
    <w:rsid w:val="48FC3F85"/>
    <w:rsid w:val="48FC449C"/>
    <w:rsid w:val="48FD385A"/>
    <w:rsid w:val="48FF3281"/>
    <w:rsid w:val="48FF3A76"/>
    <w:rsid w:val="48FF75D2"/>
    <w:rsid w:val="49000143"/>
    <w:rsid w:val="4900334A"/>
    <w:rsid w:val="490270C2"/>
    <w:rsid w:val="49033566"/>
    <w:rsid w:val="49057251"/>
    <w:rsid w:val="49060960"/>
    <w:rsid w:val="49061651"/>
    <w:rsid w:val="49064E04"/>
    <w:rsid w:val="49066BB2"/>
    <w:rsid w:val="4907292A"/>
    <w:rsid w:val="490746D8"/>
    <w:rsid w:val="49080B7C"/>
    <w:rsid w:val="49085FD9"/>
    <w:rsid w:val="490948F4"/>
    <w:rsid w:val="490960E7"/>
    <w:rsid w:val="490C1CEF"/>
    <w:rsid w:val="490E3CB9"/>
    <w:rsid w:val="490E5A67"/>
    <w:rsid w:val="490F4DD5"/>
    <w:rsid w:val="490F582F"/>
    <w:rsid w:val="491017DF"/>
    <w:rsid w:val="49101BBE"/>
    <w:rsid w:val="49115557"/>
    <w:rsid w:val="491237A9"/>
    <w:rsid w:val="49124793"/>
    <w:rsid w:val="49125759"/>
    <w:rsid w:val="49125F02"/>
    <w:rsid w:val="491312CF"/>
    <w:rsid w:val="4913307D"/>
    <w:rsid w:val="491352B1"/>
    <w:rsid w:val="49137521"/>
    <w:rsid w:val="49142E69"/>
    <w:rsid w:val="49144504"/>
    <w:rsid w:val="49156DF5"/>
    <w:rsid w:val="4916491B"/>
    <w:rsid w:val="49170DBF"/>
    <w:rsid w:val="49172B6D"/>
    <w:rsid w:val="49177011"/>
    <w:rsid w:val="491777AA"/>
    <w:rsid w:val="491834FB"/>
    <w:rsid w:val="49184C88"/>
    <w:rsid w:val="49191739"/>
    <w:rsid w:val="49197423"/>
    <w:rsid w:val="491A05A9"/>
    <w:rsid w:val="491A265E"/>
    <w:rsid w:val="491D214E"/>
    <w:rsid w:val="491D5CAA"/>
    <w:rsid w:val="491E52DF"/>
    <w:rsid w:val="491F7C74"/>
    <w:rsid w:val="492029CB"/>
    <w:rsid w:val="49211C3E"/>
    <w:rsid w:val="49226D5F"/>
    <w:rsid w:val="49227764"/>
    <w:rsid w:val="492359B6"/>
    <w:rsid w:val="492449B5"/>
    <w:rsid w:val="492568A0"/>
    <w:rsid w:val="49256F44"/>
    <w:rsid w:val="49257FFA"/>
    <w:rsid w:val="49261002"/>
    <w:rsid w:val="49270C74"/>
    <w:rsid w:val="49276B29"/>
    <w:rsid w:val="49284D7B"/>
    <w:rsid w:val="49297CE1"/>
    <w:rsid w:val="492A0E97"/>
    <w:rsid w:val="492B6619"/>
    <w:rsid w:val="492C30FE"/>
    <w:rsid w:val="492C413F"/>
    <w:rsid w:val="492D30F4"/>
    <w:rsid w:val="492D3265"/>
    <w:rsid w:val="492D715F"/>
    <w:rsid w:val="492E6F78"/>
    <w:rsid w:val="492F224C"/>
    <w:rsid w:val="492F278C"/>
    <w:rsid w:val="49303C2F"/>
    <w:rsid w:val="49310DE8"/>
    <w:rsid w:val="49313FBF"/>
    <w:rsid w:val="49327CE6"/>
    <w:rsid w:val="49331971"/>
    <w:rsid w:val="4934622F"/>
    <w:rsid w:val="49357497"/>
    <w:rsid w:val="49364975"/>
    <w:rsid w:val="49366D6C"/>
    <w:rsid w:val="49372589"/>
    <w:rsid w:val="49373210"/>
    <w:rsid w:val="49376F2E"/>
    <w:rsid w:val="49391B51"/>
    <w:rsid w:val="49395702"/>
    <w:rsid w:val="493966AB"/>
    <w:rsid w:val="493A2D00"/>
    <w:rsid w:val="493A685C"/>
    <w:rsid w:val="493A7185"/>
    <w:rsid w:val="493A7878"/>
    <w:rsid w:val="493C196F"/>
    <w:rsid w:val="493D58DD"/>
    <w:rsid w:val="493E03BE"/>
    <w:rsid w:val="493E459E"/>
    <w:rsid w:val="493F26AB"/>
    <w:rsid w:val="49417BEA"/>
    <w:rsid w:val="49431385"/>
    <w:rsid w:val="4943208B"/>
    <w:rsid w:val="4944592C"/>
    <w:rsid w:val="494628C3"/>
    <w:rsid w:val="49463453"/>
    <w:rsid w:val="49470F79"/>
    <w:rsid w:val="494871CB"/>
    <w:rsid w:val="49491F07"/>
    <w:rsid w:val="49494CF1"/>
    <w:rsid w:val="494A551F"/>
    <w:rsid w:val="494B0A69"/>
    <w:rsid w:val="494B5F27"/>
    <w:rsid w:val="494E0559"/>
    <w:rsid w:val="494E1CC8"/>
    <w:rsid w:val="494E2307"/>
    <w:rsid w:val="494E5236"/>
    <w:rsid w:val="494E7BD9"/>
    <w:rsid w:val="4950607F"/>
    <w:rsid w:val="49524257"/>
    <w:rsid w:val="495265B4"/>
    <w:rsid w:val="495272CF"/>
    <w:rsid w:val="495360B2"/>
    <w:rsid w:val="4953703A"/>
    <w:rsid w:val="4953791E"/>
    <w:rsid w:val="49543BEC"/>
    <w:rsid w:val="49543DC1"/>
    <w:rsid w:val="49557B3A"/>
    <w:rsid w:val="4957681F"/>
    <w:rsid w:val="495A6EFE"/>
    <w:rsid w:val="495C14FA"/>
    <w:rsid w:val="495C2C76"/>
    <w:rsid w:val="495C67D2"/>
    <w:rsid w:val="495D254A"/>
    <w:rsid w:val="495D50E9"/>
    <w:rsid w:val="495E1254"/>
    <w:rsid w:val="495E69EE"/>
    <w:rsid w:val="495F0B5E"/>
    <w:rsid w:val="49602288"/>
    <w:rsid w:val="4961028C"/>
    <w:rsid w:val="496117F6"/>
    <w:rsid w:val="4961203A"/>
    <w:rsid w:val="49612636"/>
    <w:rsid w:val="4961347E"/>
    <w:rsid w:val="496201DA"/>
    <w:rsid w:val="49621FD8"/>
    <w:rsid w:val="49626D45"/>
    <w:rsid w:val="49634005"/>
    <w:rsid w:val="496345E5"/>
    <w:rsid w:val="496410FE"/>
    <w:rsid w:val="496516D1"/>
    <w:rsid w:val="496679E4"/>
    <w:rsid w:val="4967456F"/>
    <w:rsid w:val="49675177"/>
    <w:rsid w:val="4968161B"/>
    <w:rsid w:val="496833C9"/>
    <w:rsid w:val="4968786D"/>
    <w:rsid w:val="496878C3"/>
    <w:rsid w:val="49690EEF"/>
    <w:rsid w:val="49697141"/>
    <w:rsid w:val="49697C34"/>
    <w:rsid w:val="496A5C71"/>
    <w:rsid w:val="496B05B4"/>
    <w:rsid w:val="496B110B"/>
    <w:rsid w:val="496B2EB9"/>
    <w:rsid w:val="496E6505"/>
    <w:rsid w:val="496F1B60"/>
    <w:rsid w:val="49703731"/>
    <w:rsid w:val="4972249A"/>
    <w:rsid w:val="49730464"/>
    <w:rsid w:val="49731D6E"/>
    <w:rsid w:val="49736FB8"/>
    <w:rsid w:val="49750A02"/>
    <w:rsid w:val="49755AE6"/>
    <w:rsid w:val="49757894"/>
    <w:rsid w:val="49763079"/>
    <w:rsid w:val="497756A4"/>
    <w:rsid w:val="4977656D"/>
    <w:rsid w:val="49781705"/>
    <w:rsid w:val="49787384"/>
    <w:rsid w:val="49793828"/>
    <w:rsid w:val="497955D6"/>
    <w:rsid w:val="497A5766"/>
    <w:rsid w:val="497C50C6"/>
    <w:rsid w:val="497C6E74"/>
    <w:rsid w:val="497D7872"/>
    <w:rsid w:val="497E0E3E"/>
    <w:rsid w:val="497E209A"/>
    <w:rsid w:val="498126DD"/>
    <w:rsid w:val="49831FB1"/>
    <w:rsid w:val="49834253"/>
    <w:rsid w:val="498413E9"/>
    <w:rsid w:val="4985641B"/>
    <w:rsid w:val="4985667B"/>
    <w:rsid w:val="49865138"/>
    <w:rsid w:val="49867CF3"/>
    <w:rsid w:val="498702B5"/>
    <w:rsid w:val="49870F95"/>
    <w:rsid w:val="49875842"/>
    <w:rsid w:val="4988244F"/>
    <w:rsid w:val="49887D00"/>
    <w:rsid w:val="49891591"/>
    <w:rsid w:val="4989333F"/>
    <w:rsid w:val="49895E1A"/>
    <w:rsid w:val="498A4BEA"/>
    <w:rsid w:val="498B3956"/>
    <w:rsid w:val="498B5309"/>
    <w:rsid w:val="498B70B7"/>
    <w:rsid w:val="498B7378"/>
    <w:rsid w:val="498C63C6"/>
    <w:rsid w:val="498D2E30"/>
    <w:rsid w:val="498E0956"/>
    <w:rsid w:val="498E6BA8"/>
    <w:rsid w:val="498F54A8"/>
    <w:rsid w:val="49900E4D"/>
    <w:rsid w:val="49902086"/>
    <w:rsid w:val="49920446"/>
    <w:rsid w:val="49922F66"/>
    <w:rsid w:val="499248EA"/>
    <w:rsid w:val="49927773"/>
    <w:rsid w:val="499279B0"/>
    <w:rsid w:val="4993054F"/>
    <w:rsid w:val="49937524"/>
    <w:rsid w:val="49940662"/>
    <w:rsid w:val="499410ED"/>
    <w:rsid w:val="49942410"/>
    <w:rsid w:val="49944056"/>
    <w:rsid w:val="49950C2D"/>
    <w:rsid w:val="49956188"/>
    <w:rsid w:val="49957F36"/>
    <w:rsid w:val="499713DC"/>
    <w:rsid w:val="49971591"/>
    <w:rsid w:val="49971F00"/>
    <w:rsid w:val="49972D3B"/>
    <w:rsid w:val="49973CAE"/>
    <w:rsid w:val="49974ABE"/>
    <w:rsid w:val="499A379E"/>
    <w:rsid w:val="499C12C5"/>
    <w:rsid w:val="499C3073"/>
    <w:rsid w:val="499C4755"/>
    <w:rsid w:val="499C7517"/>
    <w:rsid w:val="499C7DAD"/>
    <w:rsid w:val="499D0285"/>
    <w:rsid w:val="499E503D"/>
    <w:rsid w:val="499E6DEB"/>
    <w:rsid w:val="499F2B63"/>
    <w:rsid w:val="499F5FF1"/>
    <w:rsid w:val="49A07B83"/>
    <w:rsid w:val="49A308A5"/>
    <w:rsid w:val="49A34401"/>
    <w:rsid w:val="49A44445"/>
    <w:rsid w:val="49A55F90"/>
    <w:rsid w:val="49A563CB"/>
    <w:rsid w:val="49A61BB2"/>
    <w:rsid w:val="49A74726"/>
    <w:rsid w:val="49A75C13"/>
    <w:rsid w:val="49A90C47"/>
    <w:rsid w:val="49A95790"/>
    <w:rsid w:val="49A95B72"/>
    <w:rsid w:val="49AA1C33"/>
    <w:rsid w:val="49AC4287"/>
    <w:rsid w:val="49AD1724"/>
    <w:rsid w:val="49B04D70"/>
    <w:rsid w:val="49B06B1E"/>
    <w:rsid w:val="49B17BD6"/>
    <w:rsid w:val="49B20AE8"/>
    <w:rsid w:val="49B21896"/>
    <w:rsid w:val="49B2260A"/>
    <w:rsid w:val="49B25C5F"/>
    <w:rsid w:val="49B36842"/>
    <w:rsid w:val="49B368B7"/>
    <w:rsid w:val="49B41657"/>
    <w:rsid w:val="49B760FE"/>
    <w:rsid w:val="49B77EAC"/>
    <w:rsid w:val="49B8082A"/>
    <w:rsid w:val="49B91E77"/>
    <w:rsid w:val="49B93C25"/>
    <w:rsid w:val="49B961CB"/>
    <w:rsid w:val="49BB19A7"/>
    <w:rsid w:val="49BB5BEF"/>
    <w:rsid w:val="49BC7E1C"/>
    <w:rsid w:val="49BE283E"/>
    <w:rsid w:val="49BE56DF"/>
    <w:rsid w:val="49C02EB0"/>
    <w:rsid w:val="49C10D2B"/>
    <w:rsid w:val="49C1713E"/>
    <w:rsid w:val="49C21241"/>
    <w:rsid w:val="49C32CF5"/>
    <w:rsid w:val="49C34AA3"/>
    <w:rsid w:val="49C36851"/>
    <w:rsid w:val="49C425C9"/>
    <w:rsid w:val="49C5339B"/>
    <w:rsid w:val="49C565CB"/>
    <w:rsid w:val="49C8030C"/>
    <w:rsid w:val="49C820BA"/>
    <w:rsid w:val="49CA4084"/>
    <w:rsid w:val="49CA668B"/>
    <w:rsid w:val="49CB18E3"/>
    <w:rsid w:val="49CC7DFC"/>
    <w:rsid w:val="49CD711E"/>
    <w:rsid w:val="49CE0DBE"/>
    <w:rsid w:val="49CF169A"/>
    <w:rsid w:val="49CF51F6"/>
    <w:rsid w:val="49CF6CE6"/>
    <w:rsid w:val="49D00F6E"/>
    <w:rsid w:val="49D22D10"/>
    <w:rsid w:val="49D277BE"/>
    <w:rsid w:val="49D3791F"/>
    <w:rsid w:val="49D40A5E"/>
    <w:rsid w:val="49D4280C"/>
    <w:rsid w:val="49D46CB0"/>
    <w:rsid w:val="49D560C0"/>
    <w:rsid w:val="49D62A28"/>
    <w:rsid w:val="49D63469"/>
    <w:rsid w:val="49D63663"/>
    <w:rsid w:val="49D65EF3"/>
    <w:rsid w:val="49D7054F"/>
    <w:rsid w:val="49D73719"/>
    <w:rsid w:val="49D767A1"/>
    <w:rsid w:val="49D847BF"/>
    <w:rsid w:val="49D86182"/>
    <w:rsid w:val="49D92519"/>
    <w:rsid w:val="49DB003F"/>
    <w:rsid w:val="49DB08B6"/>
    <w:rsid w:val="49DB1F32"/>
    <w:rsid w:val="49DC7913"/>
    <w:rsid w:val="49DD5648"/>
    <w:rsid w:val="49DE368B"/>
    <w:rsid w:val="49DF52A1"/>
    <w:rsid w:val="49DF5C72"/>
    <w:rsid w:val="49E02FB1"/>
    <w:rsid w:val="49E03FD4"/>
    <w:rsid w:val="49E05A1E"/>
    <w:rsid w:val="49E113CD"/>
    <w:rsid w:val="49E14F29"/>
    <w:rsid w:val="49E36EF3"/>
    <w:rsid w:val="49E54A1A"/>
    <w:rsid w:val="49E60792"/>
    <w:rsid w:val="49E704D5"/>
    <w:rsid w:val="49E8275C"/>
    <w:rsid w:val="49EC10BA"/>
    <w:rsid w:val="49EC224C"/>
    <w:rsid w:val="49ED16FB"/>
    <w:rsid w:val="49ED1B20"/>
    <w:rsid w:val="49ED38CE"/>
    <w:rsid w:val="49ED7D72"/>
    <w:rsid w:val="49F15E7A"/>
    <w:rsid w:val="49F17862"/>
    <w:rsid w:val="49F23325"/>
    <w:rsid w:val="49F24C8F"/>
    <w:rsid w:val="49F41101"/>
    <w:rsid w:val="49F46E3E"/>
    <w:rsid w:val="49F509D5"/>
    <w:rsid w:val="49F613E5"/>
    <w:rsid w:val="49F64E79"/>
    <w:rsid w:val="49F8402B"/>
    <w:rsid w:val="49F841C1"/>
    <w:rsid w:val="49F904C5"/>
    <w:rsid w:val="49FA472A"/>
    <w:rsid w:val="49FC7A4B"/>
    <w:rsid w:val="49FC7FB5"/>
    <w:rsid w:val="49FD246C"/>
    <w:rsid w:val="49FD7C1E"/>
    <w:rsid w:val="49FE1F7F"/>
    <w:rsid w:val="49FE5ADB"/>
    <w:rsid w:val="4A001853"/>
    <w:rsid w:val="4A003601"/>
    <w:rsid w:val="4A01266A"/>
    <w:rsid w:val="4A0155CC"/>
    <w:rsid w:val="4A01681E"/>
    <w:rsid w:val="4A01737A"/>
    <w:rsid w:val="4A021A2F"/>
    <w:rsid w:val="4A025D54"/>
    <w:rsid w:val="4A030768"/>
    <w:rsid w:val="4A0330F2"/>
    <w:rsid w:val="4A037596"/>
    <w:rsid w:val="4A042BCE"/>
    <w:rsid w:val="4A043D0F"/>
    <w:rsid w:val="4A050C18"/>
    <w:rsid w:val="4A05330E"/>
    <w:rsid w:val="4A062BE2"/>
    <w:rsid w:val="4A064990"/>
    <w:rsid w:val="4A077ABF"/>
    <w:rsid w:val="4A083B20"/>
    <w:rsid w:val="4A087424"/>
    <w:rsid w:val="4A0975F4"/>
    <w:rsid w:val="4A0A386F"/>
    <w:rsid w:val="4A0A4BEE"/>
    <w:rsid w:val="4A0B11F7"/>
    <w:rsid w:val="4A0B1FA6"/>
    <w:rsid w:val="4A0D3931"/>
    <w:rsid w:val="4A0D412B"/>
    <w:rsid w:val="4A0E6ECB"/>
    <w:rsid w:val="4A0F7532"/>
    <w:rsid w:val="4A1022B2"/>
    <w:rsid w:val="4A1043C2"/>
    <w:rsid w:val="4A125DBB"/>
    <w:rsid w:val="4A1264D9"/>
    <w:rsid w:val="4A140E14"/>
    <w:rsid w:val="4A1470AD"/>
    <w:rsid w:val="4A162E25"/>
    <w:rsid w:val="4A17094B"/>
    <w:rsid w:val="4A174DEF"/>
    <w:rsid w:val="4A176B9D"/>
    <w:rsid w:val="4A1946C3"/>
    <w:rsid w:val="4A1B043B"/>
    <w:rsid w:val="4A1B5968"/>
    <w:rsid w:val="4A1C2405"/>
    <w:rsid w:val="4A1C38C9"/>
    <w:rsid w:val="4A1C41B3"/>
    <w:rsid w:val="4A1E7416"/>
    <w:rsid w:val="4A200A4F"/>
    <w:rsid w:val="4A205A52"/>
    <w:rsid w:val="4A2117CA"/>
    <w:rsid w:val="4A225C6E"/>
    <w:rsid w:val="4A233794"/>
    <w:rsid w:val="4A237F66"/>
    <w:rsid w:val="4A241BB8"/>
    <w:rsid w:val="4A2420E4"/>
    <w:rsid w:val="4A2512BA"/>
    <w:rsid w:val="4A253068"/>
    <w:rsid w:val="4A25750C"/>
    <w:rsid w:val="4A266DE0"/>
    <w:rsid w:val="4A2714D2"/>
    <w:rsid w:val="4A275032"/>
    <w:rsid w:val="4A280DFB"/>
    <w:rsid w:val="4A282B58"/>
    <w:rsid w:val="4A28344D"/>
    <w:rsid w:val="4A2A2D74"/>
    <w:rsid w:val="4A2A68D0"/>
    <w:rsid w:val="4A2A6B95"/>
    <w:rsid w:val="4A2B43F6"/>
    <w:rsid w:val="4A2B73D2"/>
    <w:rsid w:val="4A2C089A"/>
    <w:rsid w:val="4A2C2648"/>
    <w:rsid w:val="4A2C78F3"/>
    <w:rsid w:val="4A2D3252"/>
    <w:rsid w:val="4A2D4613"/>
    <w:rsid w:val="4A2D79A6"/>
    <w:rsid w:val="4A2E2C6A"/>
    <w:rsid w:val="4A2F038B"/>
    <w:rsid w:val="4A2F31A0"/>
    <w:rsid w:val="4A31389A"/>
    <w:rsid w:val="4A3144F4"/>
    <w:rsid w:val="4A317C5F"/>
    <w:rsid w:val="4A322A7B"/>
    <w:rsid w:val="4A331C29"/>
    <w:rsid w:val="4A353DE2"/>
    <w:rsid w:val="4A361719"/>
    <w:rsid w:val="4A365275"/>
    <w:rsid w:val="4A367202"/>
    <w:rsid w:val="4A370FED"/>
    <w:rsid w:val="4A3740F3"/>
    <w:rsid w:val="4A3778EC"/>
    <w:rsid w:val="4A3814BE"/>
    <w:rsid w:val="4A38723F"/>
    <w:rsid w:val="4A391EB1"/>
    <w:rsid w:val="4A392FB7"/>
    <w:rsid w:val="4A3A30F2"/>
    <w:rsid w:val="4A3D12CF"/>
    <w:rsid w:val="4A3D2AA8"/>
    <w:rsid w:val="4A3D4856"/>
    <w:rsid w:val="4A3E05CE"/>
    <w:rsid w:val="4A3E3588"/>
    <w:rsid w:val="4A403CEB"/>
    <w:rsid w:val="4A404346"/>
    <w:rsid w:val="4A407EA2"/>
    <w:rsid w:val="4A421E6C"/>
    <w:rsid w:val="4A4309AC"/>
    <w:rsid w:val="4A437992"/>
    <w:rsid w:val="4A4418EA"/>
    <w:rsid w:val="4A441BCB"/>
    <w:rsid w:val="4A4421BA"/>
    <w:rsid w:val="4A443E36"/>
    <w:rsid w:val="4A4503EC"/>
    <w:rsid w:val="4A45195C"/>
    <w:rsid w:val="4A455513"/>
    <w:rsid w:val="4A471230"/>
    <w:rsid w:val="4A47196C"/>
    <w:rsid w:val="4A4756D4"/>
    <w:rsid w:val="4A477482"/>
    <w:rsid w:val="4A492443"/>
    <w:rsid w:val="4A4B7D95"/>
    <w:rsid w:val="4A4C4A99"/>
    <w:rsid w:val="4A4F4589"/>
    <w:rsid w:val="4A506D0E"/>
    <w:rsid w:val="4A5120AF"/>
    <w:rsid w:val="4A527FA5"/>
    <w:rsid w:val="4A530227"/>
    <w:rsid w:val="4A534079"/>
    <w:rsid w:val="4A546F5A"/>
    <w:rsid w:val="4A551410"/>
    <w:rsid w:val="4A560560"/>
    <w:rsid w:val="4A574B99"/>
    <w:rsid w:val="4A5751EC"/>
    <w:rsid w:val="4A58168F"/>
    <w:rsid w:val="4A582D94"/>
    <w:rsid w:val="4A58343D"/>
    <w:rsid w:val="4A594A35"/>
    <w:rsid w:val="4A5971B6"/>
    <w:rsid w:val="4A5A2D2F"/>
    <w:rsid w:val="4A5A79C6"/>
    <w:rsid w:val="4A5B0345"/>
    <w:rsid w:val="4A5B1180"/>
    <w:rsid w:val="4A5B11B5"/>
    <w:rsid w:val="4A5B2F2E"/>
    <w:rsid w:val="4A5B3BF0"/>
    <w:rsid w:val="4A5B4CDC"/>
    <w:rsid w:val="4A5C104B"/>
    <w:rsid w:val="4A5C2802"/>
    <w:rsid w:val="4A5C7CCF"/>
    <w:rsid w:val="4A5E657A"/>
    <w:rsid w:val="4A600544"/>
    <w:rsid w:val="4A601406"/>
    <w:rsid w:val="4A603B42"/>
    <w:rsid w:val="4A605AF9"/>
    <w:rsid w:val="4A616EBA"/>
    <w:rsid w:val="4A62250E"/>
    <w:rsid w:val="4A6244A5"/>
    <w:rsid w:val="4A62606A"/>
    <w:rsid w:val="4A626327"/>
    <w:rsid w:val="4A632FEA"/>
    <w:rsid w:val="4A633B90"/>
    <w:rsid w:val="4A635B7F"/>
    <w:rsid w:val="4A642911"/>
    <w:rsid w:val="4A653807"/>
    <w:rsid w:val="4A655C33"/>
    <w:rsid w:val="4A6833FD"/>
    <w:rsid w:val="4A69254A"/>
    <w:rsid w:val="4A693DA2"/>
    <w:rsid w:val="4A6A4F1F"/>
    <w:rsid w:val="4A6B3409"/>
    <w:rsid w:val="4A6C513B"/>
    <w:rsid w:val="4A6D232C"/>
    <w:rsid w:val="4A6E6B45"/>
    <w:rsid w:val="4A7051E2"/>
    <w:rsid w:val="4A716120"/>
    <w:rsid w:val="4A721070"/>
    <w:rsid w:val="4A726F86"/>
    <w:rsid w:val="4A731E37"/>
    <w:rsid w:val="4A736428"/>
    <w:rsid w:val="4A736D7D"/>
    <w:rsid w:val="4A745496"/>
    <w:rsid w:val="4A746778"/>
    <w:rsid w:val="4A75245C"/>
    <w:rsid w:val="4A761B16"/>
    <w:rsid w:val="4A767D68"/>
    <w:rsid w:val="4A776882"/>
    <w:rsid w:val="4A77763C"/>
    <w:rsid w:val="4A786B77"/>
    <w:rsid w:val="4A7A665F"/>
    <w:rsid w:val="4A7D171B"/>
    <w:rsid w:val="4A7E09CA"/>
    <w:rsid w:val="4A7E303F"/>
    <w:rsid w:val="4A800BE6"/>
    <w:rsid w:val="4A804742"/>
    <w:rsid w:val="4A805AFA"/>
    <w:rsid w:val="4A82006E"/>
    <w:rsid w:val="4A82495E"/>
    <w:rsid w:val="4A834233"/>
    <w:rsid w:val="4A8441F7"/>
    <w:rsid w:val="4A8561FD"/>
    <w:rsid w:val="4A861667"/>
    <w:rsid w:val="4A8642E2"/>
    <w:rsid w:val="4A873D23"/>
    <w:rsid w:val="4A8802B4"/>
    <w:rsid w:val="4A897A9B"/>
    <w:rsid w:val="4A8A3813"/>
    <w:rsid w:val="4A8B55DB"/>
    <w:rsid w:val="4A8C219C"/>
    <w:rsid w:val="4A8C30E7"/>
    <w:rsid w:val="4A8C3685"/>
    <w:rsid w:val="4A8C6FBF"/>
    <w:rsid w:val="4A8C758B"/>
    <w:rsid w:val="4A8E09AD"/>
    <w:rsid w:val="4A8E0ECE"/>
    <w:rsid w:val="4A8E50B1"/>
    <w:rsid w:val="4A8E7C7E"/>
    <w:rsid w:val="4A8F0E29"/>
    <w:rsid w:val="4A901B6B"/>
    <w:rsid w:val="4A9106FD"/>
    <w:rsid w:val="4A91694F"/>
    <w:rsid w:val="4A9203FB"/>
    <w:rsid w:val="4A925A60"/>
    <w:rsid w:val="4A934476"/>
    <w:rsid w:val="4A9401EE"/>
    <w:rsid w:val="4A946440"/>
    <w:rsid w:val="4A965D14"/>
    <w:rsid w:val="4A981A8C"/>
    <w:rsid w:val="4A982B9A"/>
    <w:rsid w:val="4A983369"/>
    <w:rsid w:val="4A9842CF"/>
    <w:rsid w:val="4A986D93"/>
    <w:rsid w:val="4A987CDE"/>
    <w:rsid w:val="4A993A56"/>
    <w:rsid w:val="4A9A1CA8"/>
    <w:rsid w:val="4A9A660D"/>
    <w:rsid w:val="4A9A7119"/>
    <w:rsid w:val="4A9B157C"/>
    <w:rsid w:val="4A9B5A20"/>
    <w:rsid w:val="4A9D4A92"/>
    <w:rsid w:val="4A9D70A2"/>
    <w:rsid w:val="4A9E2E1A"/>
    <w:rsid w:val="4A9E5A9A"/>
    <w:rsid w:val="4A9E6685"/>
    <w:rsid w:val="4A9F106C"/>
    <w:rsid w:val="4A9F3307"/>
    <w:rsid w:val="4A9F716B"/>
    <w:rsid w:val="4AA06B93"/>
    <w:rsid w:val="4AA15B75"/>
    <w:rsid w:val="4AA168E2"/>
    <w:rsid w:val="4AA2290B"/>
    <w:rsid w:val="4AA30431"/>
    <w:rsid w:val="4AA30AF1"/>
    <w:rsid w:val="4AA439C3"/>
    <w:rsid w:val="4AA5064D"/>
    <w:rsid w:val="4AA523FB"/>
    <w:rsid w:val="4AA541A9"/>
    <w:rsid w:val="4AA5596D"/>
    <w:rsid w:val="4AA645D4"/>
    <w:rsid w:val="4AA77F21"/>
    <w:rsid w:val="4AA85A47"/>
    <w:rsid w:val="4AA87194"/>
    <w:rsid w:val="4AA91EEB"/>
    <w:rsid w:val="4AAA33FC"/>
    <w:rsid w:val="4AAC3789"/>
    <w:rsid w:val="4AAC6769"/>
    <w:rsid w:val="4AAD305D"/>
    <w:rsid w:val="4AAE19D8"/>
    <w:rsid w:val="4AAE3B8C"/>
    <w:rsid w:val="4AAF15F0"/>
    <w:rsid w:val="4AB32D6A"/>
    <w:rsid w:val="4AB52E83"/>
    <w:rsid w:val="4AB56AE2"/>
    <w:rsid w:val="4AB83EDC"/>
    <w:rsid w:val="4AB87345"/>
    <w:rsid w:val="4AB9585E"/>
    <w:rsid w:val="4ABA40F8"/>
    <w:rsid w:val="4ABA6E77"/>
    <w:rsid w:val="4ABA7A6E"/>
    <w:rsid w:val="4ABB1C1E"/>
    <w:rsid w:val="4ABB39CC"/>
    <w:rsid w:val="4ABB577A"/>
    <w:rsid w:val="4ABC0F2E"/>
    <w:rsid w:val="4ABC2764"/>
    <w:rsid w:val="4ABD3BF4"/>
    <w:rsid w:val="4ABD5996"/>
    <w:rsid w:val="4ABD76A3"/>
    <w:rsid w:val="4ABE282C"/>
    <w:rsid w:val="4AC00FE3"/>
    <w:rsid w:val="4AC05487"/>
    <w:rsid w:val="4AC16F4C"/>
    <w:rsid w:val="4AC22FAD"/>
    <w:rsid w:val="4AC24D5B"/>
    <w:rsid w:val="4AC27530"/>
    <w:rsid w:val="4AC42386"/>
    <w:rsid w:val="4AC42881"/>
    <w:rsid w:val="4AC46C48"/>
    <w:rsid w:val="4AC62F10"/>
    <w:rsid w:val="4AC63E98"/>
    <w:rsid w:val="4AC85C0C"/>
    <w:rsid w:val="4AC87243"/>
    <w:rsid w:val="4AC94D68"/>
    <w:rsid w:val="4ACA316A"/>
    <w:rsid w:val="4ACB228C"/>
    <w:rsid w:val="4ACC4FA9"/>
    <w:rsid w:val="4ACC7988"/>
    <w:rsid w:val="4ACD7CCC"/>
    <w:rsid w:val="4ACE1952"/>
    <w:rsid w:val="4ACE3700"/>
    <w:rsid w:val="4ACE7AC7"/>
    <w:rsid w:val="4ACF3700"/>
    <w:rsid w:val="4AD03580"/>
    <w:rsid w:val="4AD056CA"/>
    <w:rsid w:val="4AD16FCD"/>
    <w:rsid w:val="4AD24F58"/>
    <w:rsid w:val="4AD309EB"/>
    <w:rsid w:val="4AD36F68"/>
    <w:rsid w:val="4AD40728"/>
    <w:rsid w:val="4AD5330B"/>
    <w:rsid w:val="4AD53FBB"/>
    <w:rsid w:val="4AD63A00"/>
    <w:rsid w:val="4AD66A58"/>
    <w:rsid w:val="4AD727A4"/>
    <w:rsid w:val="4AD74352"/>
    <w:rsid w:val="4AD80BCC"/>
    <w:rsid w:val="4AD81C6A"/>
    <w:rsid w:val="4AD82C3A"/>
    <w:rsid w:val="4AD836AA"/>
    <w:rsid w:val="4AD8457E"/>
    <w:rsid w:val="4AD90453"/>
    <w:rsid w:val="4ADA20A4"/>
    <w:rsid w:val="4ADB406F"/>
    <w:rsid w:val="4ADD1B95"/>
    <w:rsid w:val="4ADD3943"/>
    <w:rsid w:val="4ADE2588"/>
    <w:rsid w:val="4ADE466E"/>
    <w:rsid w:val="4ADE4D16"/>
    <w:rsid w:val="4ADE5955"/>
    <w:rsid w:val="4ADF3B5F"/>
    <w:rsid w:val="4AE051E1"/>
    <w:rsid w:val="4AE253FD"/>
    <w:rsid w:val="4AE271AB"/>
    <w:rsid w:val="4AE35878"/>
    <w:rsid w:val="4AE42F23"/>
    <w:rsid w:val="4AE44475"/>
    <w:rsid w:val="4AE53853"/>
    <w:rsid w:val="4AE56C80"/>
    <w:rsid w:val="4AE64290"/>
    <w:rsid w:val="4AE7656F"/>
    <w:rsid w:val="4AE802F1"/>
    <w:rsid w:val="4AE93473"/>
    <w:rsid w:val="4AEA1C70"/>
    <w:rsid w:val="4AEA3500"/>
    <w:rsid w:val="4AEA3C24"/>
    <w:rsid w:val="4AEA6060"/>
    <w:rsid w:val="4AEB11E3"/>
    <w:rsid w:val="4AEB6336"/>
    <w:rsid w:val="4AEC002A"/>
    <w:rsid w:val="4AED7781"/>
    <w:rsid w:val="4AEE2A22"/>
    <w:rsid w:val="4AEE441E"/>
    <w:rsid w:val="4AEE78FE"/>
    <w:rsid w:val="4AF05342"/>
    <w:rsid w:val="4AF07B1A"/>
    <w:rsid w:val="4AF15640"/>
    <w:rsid w:val="4AF35168"/>
    <w:rsid w:val="4AF44283"/>
    <w:rsid w:val="4AF4438A"/>
    <w:rsid w:val="4AF57CD3"/>
    <w:rsid w:val="4AF57D24"/>
    <w:rsid w:val="4AF61EA3"/>
    <w:rsid w:val="4AF62644"/>
    <w:rsid w:val="4AF62C56"/>
    <w:rsid w:val="4AF64A04"/>
    <w:rsid w:val="4AF76A25"/>
    <w:rsid w:val="4AF84C20"/>
    <w:rsid w:val="4AF869CF"/>
    <w:rsid w:val="4AF954CE"/>
    <w:rsid w:val="4AFA2747"/>
    <w:rsid w:val="4AFA44F5"/>
    <w:rsid w:val="4AFA62A3"/>
    <w:rsid w:val="4AFC64BF"/>
    <w:rsid w:val="4AFC655F"/>
    <w:rsid w:val="4AFC7FFE"/>
    <w:rsid w:val="4AFE67F5"/>
    <w:rsid w:val="4AFF5FAF"/>
    <w:rsid w:val="4AFF7D5D"/>
    <w:rsid w:val="4B014896"/>
    <w:rsid w:val="4B016292"/>
    <w:rsid w:val="4B0233A9"/>
    <w:rsid w:val="4B024463"/>
    <w:rsid w:val="4B0372DA"/>
    <w:rsid w:val="4B04239A"/>
    <w:rsid w:val="4B045373"/>
    <w:rsid w:val="4B047819"/>
    <w:rsid w:val="4B050A17"/>
    <w:rsid w:val="4B07084E"/>
    <w:rsid w:val="4B074E64"/>
    <w:rsid w:val="4B0A0661"/>
    <w:rsid w:val="4B0B04B0"/>
    <w:rsid w:val="4B0B1F4A"/>
    <w:rsid w:val="4B0B5BC5"/>
    <w:rsid w:val="4B0D4B37"/>
    <w:rsid w:val="4B0D69F0"/>
    <w:rsid w:val="4B0E1D4E"/>
    <w:rsid w:val="4B0E200C"/>
    <w:rsid w:val="4B0F7229"/>
    <w:rsid w:val="4B101F6A"/>
    <w:rsid w:val="4B11098D"/>
    <w:rsid w:val="4B116CFB"/>
    <w:rsid w:val="4B125CE2"/>
    <w:rsid w:val="4B132C5E"/>
    <w:rsid w:val="4B133808"/>
    <w:rsid w:val="4B135E7E"/>
    <w:rsid w:val="4B1559B7"/>
    <w:rsid w:val="4B157002"/>
    <w:rsid w:val="4B157580"/>
    <w:rsid w:val="4B162612"/>
    <w:rsid w:val="4B1747FF"/>
    <w:rsid w:val="4B176112"/>
    <w:rsid w:val="4B18293D"/>
    <w:rsid w:val="4B1864C4"/>
    <w:rsid w:val="4B187071"/>
    <w:rsid w:val="4B1A06F3"/>
    <w:rsid w:val="4B1A4B97"/>
    <w:rsid w:val="4B1A5AE6"/>
    <w:rsid w:val="4B1C1D77"/>
    <w:rsid w:val="4B1D01E3"/>
    <w:rsid w:val="4B1D6F30"/>
    <w:rsid w:val="4B1E03C0"/>
    <w:rsid w:val="4B1F5D09"/>
    <w:rsid w:val="4B202C5A"/>
    <w:rsid w:val="4B2047A0"/>
    <w:rsid w:val="4B217B6C"/>
    <w:rsid w:val="4B221C9D"/>
    <w:rsid w:val="4B2257F9"/>
    <w:rsid w:val="4B237456"/>
    <w:rsid w:val="4B241572"/>
    <w:rsid w:val="4B245A16"/>
    <w:rsid w:val="4B24657A"/>
    <w:rsid w:val="4B2477C4"/>
    <w:rsid w:val="4B257098"/>
    <w:rsid w:val="4B26353C"/>
    <w:rsid w:val="4B2647D6"/>
    <w:rsid w:val="4B2652EA"/>
    <w:rsid w:val="4B2772B4"/>
    <w:rsid w:val="4B283E0F"/>
    <w:rsid w:val="4B286BF9"/>
    <w:rsid w:val="4B29302C"/>
    <w:rsid w:val="4B294DDA"/>
    <w:rsid w:val="4B2A3B4A"/>
    <w:rsid w:val="4B2B0B52"/>
    <w:rsid w:val="4B2D09C1"/>
    <w:rsid w:val="4B2E23F0"/>
    <w:rsid w:val="4B2F13AD"/>
    <w:rsid w:val="4B306168"/>
    <w:rsid w:val="4B307F16"/>
    <w:rsid w:val="4B315A3D"/>
    <w:rsid w:val="4B331156"/>
    <w:rsid w:val="4B335C59"/>
    <w:rsid w:val="4B343B3E"/>
    <w:rsid w:val="4B343D27"/>
    <w:rsid w:val="4B3519D1"/>
    <w:rsid w:val="4B36139E"/>
    <w:rsid w:val="4B36505C"/>
    <w:rsid w:val="4B375749"/>
    <w:rsid w:val="4B381F8C"/>
    <w:rsid w:val="4B384825"/>
    <w:rsid w:val="4B386DCB"/>
    <w:rsid w:val="4B3A0D95"/>
    <w:rsid w:val="4B3A6D52"/>
    <w:rsid w:val="4B3A6FE7"/>
    <w:rsid w:val="4B3C2597"/>
    <w:rsid w:val="4B3C56F2"/>
    <w:rsid w:val="4B3C7FBC"/>
    <w:rsid w:val="4B3D0885"/>
    <w:rsid w:val="4B3F0159"/>
    <w:rsid w:val="4B3F63AB"/>
    <w:rsid w:val="4B410375"/>
    <w:rsid w:val="4B411787"/>
    <w:rsid w:val="4B416CDE"/>
    <w:rsid w:val="4B417725"/>
    <w:rsid w:val="4B420B01"/>
    <w:rsid w:val="4B432864"/>
    <w:rsid w:val="4B4439C2"/>
    <w:rsid w:val="4B444CAC"/>
    <w:rsid w:val="4B447B8E"/>
    <w:rsid w:val="4B45356B"/>
    <w:rsid w:val="4B4741E9"/>
    <w:rsid w:val="4B475260"/>
    <w:rsid w:val="4B48362D"/>
    <w:rsid w:val="4B49547C"/>
    <w:rsid w:val="4B4A42B2"/>
    <w:rsid w:val="4B4A5F4D"/>
    <w:rsid w:val="4B4B2FA2"/>
    <w:rsid w:val="4B4B4D50"/>
    <w:rsid w:val="4B4B5901"/>
    <w:rsid w:val="4B4C04CE"/>
    <w:rsid w:val="4B4C0AC8"/>
    <w:rsid w:val="4B4C5CA0"/>
    <w:rsid w:val="4B4C6376"/>
    <w:rsid w:val="4B4C7C18"/>
    <w:rsid w:val="4B4D6D1A"/>
    <w:rsid w:val="4B4E62B4"/>
    <w:rsid w:val="4B5005B9"/>
    <w:rsid w:val="4B50680B"/>
    <w:rsid w:val="4B5160DF"/>
    <w:rsid w:val="4B524293"/>
    <w:rsid w:val="4B524331"/>
    <w:rsid w:val="4B533C05"/>
    <w:rsid w:val="4B533F09"/>
    <w:rsid w:val="4B553E21"/>
    <w:rsid w:val="4B555940"/>
    <w:rsid w:val="4B555BCF"/>
    <w:rsid w:val="4B591F28"/>
    <w:rsid w:val="4B5966C4"/>
    <w:rsid w:val="4B5A31E5"/>
    <w:rsid w:val="4B5A738C"/>
    <w:rsid w:val="4B5B06A4"/>
    <w:rsid w:val="4B5B0856"/>
    <w:rsid w:val="4B5D1C1D"/>
    <w:rsid w:val="4B5D6832"/>
    <w:rsid w:val="4B5F0464"/>
    <w:rsid w:val="4B5F07FC"/>
    <w:rsid w:val="4B6074B4"/>
    <w:rsid w:val="4B610285"/>
    <w:rsid w:val="4B6141CB"/>
    <w:rsid w:val="4B616322"/>
    <w:rsid w:val="4B625560"/>
    <w:rsid w:val="4B63227E"/>
    <w:rsid w:val="4B6422B6"/>
    <w:rsid w:val="4B645E12"/>
    <w:rsid w:val="4B647BC0"/>
    <w:rsid w:val="4B663FE5"/>
    <w:rsid w:val="4B664C09"/>
    <w:rsid w:val="4B6650BF"/>
    <w:rsid w:val="4B671D01"/>
    <w:rsid w:val="4B6747B3"/>
    <w:rsid w:val="4B676051"/>
    <w:rsid w:val="4B680111"/>
    <w:rsid w:val="4B685902"/>
    <w:rsid w:val="4B6865FA"/>
    <w:rsid w:val="4B69167A"/>
    <w:rsid w:val="4B6940A7"/>
    <w:rsid w:val="4B6A130B"/>
    <w:rsid w:val="4B6A369F"/>
    <w:rsid w:val="4B6A3DF6"/>
    <w:rsid w:val="4B6B0862"/>
    <w:rsid w:val="4B6C5A20"/>
    <w:rsid w:val="4B6D4ABF"/>
    <w:rsid w:val="4B6E0A3F"/>
    <w:rsid w:val="4B6E6C91"/>
    <w:rsid w:val="4B6F67D8"/>
    <w:rsid w:val="4B6F72E2"/>
    <w:rsid w:val="4B702839"/>
    <w:rsid w:val="4B704512"/>
    <w:rsid w:val="4B713039"/>
    <w:rsid w:val="4B716C29"/>
    <w:rsid w:val="4B734150"/>
    <w:rsid w:val="4B7365E9"/>
    <w:rsid w:val="4B751DCD"/>
    <w:rsid w:val="4B756CFB"/>
    <w:rsid w:val="4B76167B"/>
    <w:rsid w:val="4B767C7A"/>
    <w:rsid w:val="4B771FE9"/>
    <w:rsid w:val="4B773E6D"/>
    <w:rsid w:val="4B7778F3"/>
    <w:rsid w:val="4B7818BD"/>
    <w:rsid w:val="4B78529B"/>
    <w:rsid w:val="4B7931BA"/>
    <w:rsid w:val="4B797B0F"/>
    <w:rsid w:val="4B7A73E4"/>
    <w:rsid w:val="4B7C315C"/>
    <w:rsid w:val="4B7C7600"/>
    <w:rsid w:val="4B7E4B6A"/>
    <w:rsid w:val="4B7F2C4C"/>
    <w:rsid w:val="4B7F38EA"/>
    <w:rsid w:val="4B7F49FA"/>
    <w:rsid w:val="4B7F4E5D"/>
    <w:rsid w:val="4B80314D"/>
    <w:rsid w:val="4B814C16"/>
    <w:rsid w:val="4B815370"/>
    <w:rsid w:val="4B83098E"/>
    <w:rsid w:val="4B8418FE"/>
    <w:rsid w:val="4B8557F3"/>
    <w:rsid w:val="4B870ABA"/>
    <w:rsid w:val="4B871B00"/>
    <w:rsid w:val="4B872914"/>
    <w:rsid w:val="4B87438D"/>
    <w:rsid w:val="4B897627"/>
    <w:rsid w:val="4B8A1D1C"/>
    <w:rsid w:val="4B8A33E0"/>
    <w:rsid w:val="4B8B65AE"/>
    <w:rsid w:val="4B8C58E0"/>
    <w:rsid w:val="4B8C5A3A"/>
    <w:rsid w:val="4B8D5369"/>
    <w:rsid w:val="4B8E4C37"/>
    <w:rsid w:val="4B8F5E31"/>
    <w:rsid w:val="4B904E59"/>
    <w:rsid w:val="4B9132B3"/>
    <w:rsid w:val="4B920BD1"/>
    <w:rsid w:val="4B933874"/>
    <w:rsid w:val="4B942AC7"/>
    <w:rsid w:val="4B9504F3"/>
    <w:rsid w:val="4B95246F"/>
    <w:rsid w:val="4B964232"/>
    <w:rsid w:val="4B9761E7"/>
    <w:rsid w:val="4B977BD2"/>
    <w:rsid w:val="4B985ABC"/>
    <w:rsid w:val="4B986E74"/>
    <w:rsid w:val="4B994DEF"/>
    <w:rsid w:val="4B9A7A86"/>
    <w:rsid w:val="4B9C1A50"/>
    <w:rsid w:val="4B9C37FE"/>
    <w:rsid w:val="4B9C55AC"/>
    <w:rsid w:val="4B9C6C85"/>
    <w:rsid w:val="4B9D30D2"/>
    <w:rsid w:val="4B9D56FF"/>
    <w:rsid w:val="4B9E1324"/>
    <w:rsid w:val="4B9E1440"/>
    <w:rsid w:val="4B9F32EE"/>
    <w:rsid w:val="4B9F6E4A"/>
    <w:rsid w:val="4BA12BC2"/>
    <w:rsid w:val="4BA22AF7"/>
    <w:rsid w:val="4BA33F87"/>
    <w:rsid w:val="4BA40904"/>
    <w:rsid w:val="4BA43D66"/>
    <w:rsid w:val="4BA44460"/>
    <w:rsid w:val="4BA454FA"/>
    <w:rsid w:val="4BA53A7A"/>
    <w:rsid w:val="4BA601D9"/>
    <w:rsid w:val="4BA64049"/>
    <w:rsid w:val="4BA6467C"/>
    <w:rsid w:val="4BA6642B"/>
    <w:rsid w:val="4BA73CFE"/>
    <w:rsid w:val="4BA803F5"/>
    <w:rsid w:val="4BAA40F5"/>
    <w:rsid w:val="4BAD07E8"/>
    <w:rsid w:val="4BAD1567"/>
    <w:rsid w:val="4BAD3BC3"/>
    <w:rsid w:val="4BAE27DB"/>
    <w:rsid w:val="4BAF082E"/>
    <w:rsid w:val="4BAF2EAA"/>
    <w:rsid w:val="4BB0030E"/>
    <w:rsid w:val="4BB02E05"/>
    <w:rsid w:val="4BB072A9"/>
    <w:rsid w:val="4BB07716"/>
    <w:rsid w:val="4BB173AB"/>
    <w:rsid w:val="4BB23021"/>
    <w:rsid w:val="4BB24DCF"/>
    <w:rsid w:val="4BB40B47"/>
    <w:rsid w:val="4BB44F0C"/>
    <w:rsid w:val="4BB70B2B"/>
    <w:rsid w:val="4BB723E6"/>
    <w:rsid w:val="4BB74194"/>
    <w:rsid w:val="4BB816B0"/>
    <w:rsid w:val="4BB858CF"/>
    <w:rsid w:val="4BB943B0"/>
    <w:rsid w:val="4BB94F3A"/>
    <w:rsid w:val="4BB9615E"/>
    <w:rsid w:val="4BBA654E"/>
    <w:rsid w:val="4BBC29B0"/>
    <w:rsid w:val="4BBC3555"/>
    <w:rsid w:val="4BBC6096"/>
    <w:rsid w:val="4BBC6B25"/>
    <w:rsid w:val="4BBC79FC"/>
    <w:rsid w:val="4BBD5522"/>
    <w:rsid w:val="4BBE44BC"/>
    <w:rsid w:val="4BBF1EF3"/>
    <w:rsid w:val="4BC0573E"/>
    <w:rsid w:val="4BC114B6"/>
    <w:rsid w:val="4BC14BB0"/>
    <w:rsid w:val="4BC30D8B"/>
    <w:rsid w:val="4BC35089"/>
    <w:rsid w:val="4BC36FDC"/>
    <w:rsid w:val="4BC44B03"/>
    <w:rsid w:val="4BC52D55"/>
    <w:rsid w:val="4BC845F3"/>
    <w:rsid w:val="4BC90A5F"/>
    <w:rsid w:val="4BCB1D03"/>
    <w:rsid w:val="4BCB2D04"/>
    <w:rsid w:val="4BCB5E91"/>
    <w:rsid w:val="4BCB7C3F"/>
    <w:rsid w:val="4BCC1544"/>
    <w:rsid w:val="4BCC3DA6"/>
    <w:rsid w:val="4BCD1C09"/>
    <w:rsid w:val="4BCE2987"/>
    <w:rsid w:val="4BCE5679"/>
    <w:rsid w:val="4BCE617D"/>
    <w:rsid w:val="4BD27220"/>
    <w:rsid w:val="4BD35482"/>
    <w:rsid w:val="4BD411EA"/>
    <w:rsid w:val="4BD44E8F"/>
    <w:rsid w:val="4BD4591F"/>
    <w:rsid w:val="4BD521F8"/>
    <w:rsid w:val="4BD5286C"/>
    <w:rsid w:val="4BD55986"/>
    <w:rsid w:val="4BD6352E"/>
    <w:rsid w:val="4BD65000"/>
    <w:rsid w:val="4BD73978"/>
    <w:rsid w:val="4BD74836"/>
    <w:rsid w:val="4BDA4326"/>
    <w:rsid w:val="4BDA60D4"/>
    <w:rsid w:val="4BDB009C"/>
    <w:rsid w:val="4BDB2578"/>
    <w:rsid w:val="4BDB7584"/>
    <w:rsid w:val="4BDC1E4C"/>
    <w:rsid w:val="4BDD0672"/>
    <w:rsid w:val="4BDD5354"/>
    <w:rsid w:val="4BDE69FD"/>
    <w:rsid w:val="4BDE73D9"/>
    <w:rsid w:val="4BDE7697"/>
    <w:rsid w:val="4BDF50E4"/>
    <w:rsid w:val="4BE020B6"/>
    <w:rsid w:val="4BE11211"/>
    <w:rsid w:val="4BE1300E"/>
    <w:rsid w:val="4BE13907"/>
    <w:rsid w:val="4BE16E0A"/>
    <w:rsid w:val="4BE2140C"/>
    <w:rsid w:val="4BE331DB"/>
    <w:rsid w:val="4BE34F89"/>
    <w:rsid w:val="4BE34F96"/>
    <w:rsid w:val="4BE41090"/>
    <w:rsid w:val="4BE51DC9"/>
    <w:rsid w:val="4BE5606E"/>
    <w:rsid w:val="4BE57F5A"/>
    <w:rsid w:val="4BE614DC"/>
    <w:rsid w:val="4BE62CCB"/>
    <w:rsid w:val="4BE6386B"/>
    <w:rsid w:val="4BE64AE6"/>
    <w:rsid w:val="4BE807F1"/>
    <w:rsid w:val="4BE8259F"/>
    <w:rsid w:val="4BE83B46"/>
    <w:rsid w:val="4BE83DFC"/>
    <w:rsid w:val="4BEA16C2"/>
    <w:rsid w:val="4BEA27BB"/>
    <w:rsid w:val="4BEB5052"/>
    <w:rsid w:val="4BEB6533"/>
    <w:rsid w:val="4BEC1912"/>
    <w:rsid w:val="4BED22AB"/>
    <w:rsid w:val="4BEF1B80"/>
    <w:rsid w:val="4BEF7DD1"/>
    <w:rsid w:val="4BF04E43"/>
    <w:rsid w:val="4BF058F8"/>
    <w:rsid w:val="4BF13E6F"/>
    <w:rsid w:val="4BF21670"/>
    <w:rsid w:val="4BF453E8"/>
    <w:rsid w:val="4BF603E7"/>
    <w:rsid w:val="4BF73C3D"/>
    <w:rsid w:val="4BF81F39"/>
    <w:rsid w:val="4BF83707"/>
    <w:rsid w:val="4BF83CB2"/>
    <w:rsid w:val="4BFA0524"/>
    <w:rsid w:val="4BFA22D2"/>
    <w:rsid w:val="4BFA7B83"/>
    <w:rsid w:val="4BFC24EE"/>
    <w:rsid w:val="4BFD74DA"/>
    <w:rsid w:val="4C003D8D"/>
    <w:rsid w:val="4C017B05"/>
    <w:rsid w:val="4C03387D"/>
    <w:rsid w:val="4C03562B"/>
    <w:rsid w:val="4C0373D9"/>
    <w:rsid w:val="4C046DDF"/>
    <w:rsid w:val="4C06511B"/>
    <w:rsid w:val="4C066EC9"/>
    <w:rsid w:val="4C084015"/>
    <w:rsid w:val="4C08552D"/>
    <w:rsid w:val="4C0970ED"/>
    <w:rsid w:val="4C0A4C0B"/>
    <w:rsid w:val="4C0A5D05"/>
    <w:rsid w:val="4C0A69B9"/>
    <w:rsid w:val="4C0B2731"/>
    <w:rsid w:val="4C0C0625"/>
    <w:rsid w:val="4C0C0983"/>
    <w:rsid w:val="4C0D2C73"/>
    <w:rsid w:val="4C0D46FC"/>
    <w:rsid w:val="4C0E3898"/>
    <w:rsid w:val="4C0F06E7"/>
    <w:rsid w:val="4C0F5D7E"/>
    <w:rsid w:val="4C0F6DD7"/>
    <w:rsid w:val="4C105DAC"/>
    <w:rsid w:val="4C11151C"/>
    <w:rsid w:val="4C115F9A"/>
    <w:rsid w:val="4C123AC0"/>
    <w:rsid w:val="4C12586E"/>
    <w:rsid w:val="4C125927"/>
    <w:rsid w:val="4C136DD8"/>
    <w:rsid w:val="4C155A2A"/>
    <w:rsid w:val="4C15710C"/>
    <w:rsid w:val="4C1647FF"/>
    <w:rsid w:val="4C166E79"/>
    <w:rsid w:val="4C167D66"/>
    <w:rsid w:val="4C172A39"/>
    <w:rsid w:val="4C176A3C"/>
    <w:rsid w:val="4C1922D7"/>
    <w:rsid w:val="4C1A4BA7"/>
    <w:rsid w:val="4C1B6C8A"/>
    <w:rsid w:val="4C1C2D88"/>
    <w:rsid w:val="4C1C493F"/>
    <w:rsid w:val="4C1D7684"/>
    <w:rsid w:val="4C1E41B2"/>
    <w:rsid w:val="4C1F06F4"/>
    <w:rsid w:val="4C20442F"/>
    <w:rsid w:val="4C207F8B"/>
    <w:rsid w:val="4C211F55"/>
    <w:rsid w:val="4C213D03"/>
    <w:rsid w:val="4C214BEB"/>
    <w:rsid w:val="4C231829"/>
    <w:rsid w:val="4C2335FF"/>
    <w:rsid w:val="4C241839"/>
    <w:rsid w:val="4C243F0A"/>
    <w:rsid w:val="4C251A45"/>
    <w:rsid w:val="4C251B8B"/>
    <w:rsid w:val="4C2555A1"/>
    <w:rsid w:val="4C261319"/>
    <w:rsid w:val="4C2832E3"/>
    <w:rsid w:val="4C29200D"/>
    <w:rsid w:val="4C2A21FE"/>
    <w:rsid w:val="4C2B6930"/>
    <w:rsid w:val="4C2C109F"/>
    <w:rsid w:val="4C2C441D"/>
    <w:rsid w:val="4C2C4B82"/>
    <w:rsid w:val="4C2D3C4C"/>
    <w:rsid w:val="4C2D7FAE"/>
    <w:rsid w:val="4C2E4F25"/>
    <w:rsid w:val="4C2E5100"/>
    <w:rsid w:val="4C303F46"/>
    <w:rsid w:val="4C30603F"/>
    <w:rsid w:val="4C323BEA"/>
    <w:rsid w:val="4C327580"/>
    <w:rsid w:val="4C327CBE"/>
    <w:rsid w:val="4C3337D0"/>
    <w:rsid w:val="4C334B0F"/>
    <w:rsid w:val="4C341C88"/>
    <w:rsid w:val="4C343A36"/>
    <w:rsid w:val="4C3503D3"/>
    <w:rsid w:val="4C3706E1"/>
    <w:rsid w:val="4C3850E7"/>
    <w:rsid w:val="4C38579B"/>
    <w:rsid w:val="4C396530"/>
    <w:rsid w:val="4C3A061F"/>
    <w:rsid w:val="4C3B3017"/>
    <w:rsid w:val="4C3C0B3D"/>
    <w:rsid w:val="4C3C28EB"/>
    <w:rsid w:val="4C3D536D"/>
    <w:rsid w:val="4C3D6D8F"/>
    <w:rsid w:val="4C3E34B4"/>
    <w:rsid w:val="4C3F0396"/>
    <w:rsid w:val="4C3F4944"/>
    <w:rsid w:val="4C40062D"/>
    <w:rsid w:val="4C404189"/>
    <w:rsid w:val="4C41209C"/>
    <w:rsid w:val="4C416153"/>
    <w:rsid w:val="4C4216EC"/>
    <w:rsid w:val="4C42398C"/>
    <w:rsid w:val="4C4243A5"/>
    <w:rsid w:val="4C436979"/>
    <w:rsid w:val="4C455C43"/>
    <w:rsid w:val="4C470842"/>
    <w:rsid w:val="4C4719BC"/>
    <w:rsid w:val="4C486399"/>
    <w:rsid w:val="4C4874E2"/>
    <w:rsid w:val="4C4977CF"/>
    <w:rsid w:val="4C4B073B"/>
    <w:rsid w:val="4C4B4628"/>
    <w:rsid w:val="4C4C1669"/>
    <w:rsid w:val="4C4D3E18"/>
    <w:rsid w:val="4C4D68A6"/>
    <w:rsid w:val="4C4F250A"/>
    <w:rsid w:val="4C510646"/>
    <w:rsid w:val="4C5145E8"/>
    <w:rsid w:val="4C51752A"/>
    <w:rsid w:val="4C520360"/>
    <w:rsid w:val="4C523EBC"/>
    <w:rsid w:val="4C5278E3"/>
    <w:rsid w:val="4C542C75"/>
    <w:rsid w:val="4C547660"/>
    <w:rsid w:val="4C5538D6"/>
    <w:rsid w:val="4C575977"/>
    <w:rsid w:val="4C586C2C"/>
    <w:rsid w:val="4C5916EF"/>
    <w:rsid w:val="4C593122"/>
    <w:rsid w:val="4C5952B2"/>
    <w:rsid w:val="4C5B0FC3"/>
    <w:rsid w:val="4C5B411D"/>
    <w:rsid w:val="4C5B583B"/>
    <w:rsid w:val="4C5C4D3B"/>
    <w:rsid w:val="4C5C628E"/>
    <w:rsid w:val="4C5D11DF"/>
    <w:rsid w:val="4C5D46D5"/>
    <w:rsid w:val="4C5E0AB3"/>
    <w:rsid w:val="4C5F7E0E"/>
    <w:rsid w:val="4C60482B"/>
    <w:rsid w:val="4C60645B"/>
    <w:rsid w:val="4C6205A3"/>
    <w:rsid w:val="4C62637A"/>
    <w:rsid w:val="4C63256E"/>
    <w:rsid w:val="4C63431C"/>
    <w:rsid w:val="4C6360CA"/>
    <w:rsid w:val="4C642589"/>
    <w:rsid w:val="4C644EC6"/>
    <w:rsid w:val="4C650094"/>
    <w:rsid w:val="4C65397A"/>
    <w:rsid w:val="4C655399"/>
    <w:rsid w:val="4C6562E6"/>
    <w:rsid w:val="4C675935"/>
    <w:rsid w:val="4C681391"/>
    <w:rsid w:val="4C681932"/>
    <w:rsid w:val="4C6836E0"/>
    <w:rsid w:val="4C686721"/>
    <w:rsid w:val="4C6955C7"/>
    <w:rsid w:val="4C697BB1"/>
    <w:rsid w:val="4C6A7458"/>
    <w:rsid w:val="4C6B5DC6"/>
    <w:rsid w:val="4C6E0441"/>
    <w:rsid w:val="4C6F0A82"/>
    <w:rsid w:val="4C704D44"/>
    <w:rsid w:val="4C713C84"/>
    <w:rsid w:val="4C71494F"/>
    <w:rsid w:val="4C714C8A"/>
    <w:rsid w:val="4C7239B7"/>
    <w:rsid w:val="4C727E83"/>
    <w:rsid w:val="4C745663"/>
    <w:rsid w:val="4C746529"/>
    <w:rsid w:val="4C753F92"/>
    <w:rsid w:val="4C760D25"/>
    <w:rsid w:val="4C7651BD"/>
    <w:rsid w:val="4C771B75"/>
    <w:rsid w:val="4C77251E"/>
    <w:rsid w:val="4C787DC7"/>
    <w:rsid w:val="4C79090C"/>
    <w:rsid w:val="4C793B3F"/>
    <w:rsid w:val="4C794358"/>
    <w:rsid w:val="4C7958ED"/>
    <w:rsid w:val="4C7B3413"/>
    <w:rsid w:val="4C7B7C6A"/>
    <w:rsid w:val="4C7C7D40"/>
    <w:rsid w:val="4C7D5350"/>
    <w:rsid w:val="4C7D71E6"/>
    <w:rsid w:val="4C7E2A39"/>
    <w:rsid w:val="4C7E4CB1"/>
    <w:rsid w:val="4C7E73A7"/>
    <w:rsid w:val="4C7F7CD3"/>
    <w:rsid w:val="4C815E38"/>
    <w:rsid w:val="4C832B96"/>
    <w:rsid w:val="4C83676C"/>
    <w:rsid w:val="4C8460B9"/>
    <w:rsid w:val="4C8469F2"/>
    <w:rsid w:val="4C8524E4"/>
    <w:rsid w:val="4C856040"/>
    <w:rsid w:val="4C8670D9"/>
    <w:rsid w:val="4C8675A5"/>
    <w:rsid w:val="4C871DB8"/>
    <w:rsid w:val="4C873546"/>
    <w:rsid w:val="4C87625C"/>
    <w:rsid w:val="4C882102"/>
    <w:rsid w:val="4C891FD4"/>
    <w:rsid w:val="4C8964FF"/>
    <w:rsid w:val="4C89719B"/>
    <w:rsid w:val="4C8A5D4C"/>
    <w:rsid w:val="4C8C2F4B"/>
    <w:rsid w:val="4C8F3363"/>
    <w:rsid w:val="4C8F5111"/>
    <w:rsid w:val="4C9170DB"/>
    <w:rsid w:val="4C921410"/>
    <w:rsid w:val="4C924E2D"/>
    <w:rsid w:val="4C942727"/>
    <w:rsid w:val="4C944F10"/>
    <w:rsid w:val="4C947039"/>
    <w:rsid w:val="4C96021E"/>
    <w:rsid w:val="4C96024D"/>
    <w:rsid w:val="4C9646F1"/>
    <w:rsid w:val="4C966BCE"/>
    <w:rsid w:val="4C967082"/>
    <w:rsid w:val="4C982217"/>
    <w:rsid w:val="4C9840BF"/>
    <w:rsid w:val="4C997D3D"/>
    <w:rsid w:val="4C9A41A0"/>
    <w:rsid w:val="4C9B3AB5"/>
    <w:rsid w:val="4C9B5863"/>
    <w:rsid w:val="4C9C06DB"/>
    <w:rsid w:val="4C9D5A7F"/>
    <w:rsid w:val="4C9D782D"/>
    <w:rsid w:val="4C9E688B"/>
    <w:rsid w:val="4CA245F6"/>
    <w:rsid w:val="4CA24E44"/>
    <w:rsid w:val="4CA26BF2"/>
    <w:rsid w:val="4CA276AB"/>
    <w:rsid w:val="4CA30BBC"/>
    <w:rsid w:val="4CA311D2"/>
    <w:rsid w:val="4CA45C4B"/>
    <w:rsid w:val="4CA54934"/>
    <w:rsid w:val="4CA65850"/>
    <w:rsid w:val="4CA7245A"/>
    <w:rsid w:val="4CA76E90"/>
    <w:rsid w:val="4CA77174"/>
    <w:rsid w:val="4CA85525"/>
    <w:rsid w:val="4CA86E9E"/>
    <w:rsid w:val="4CA87F80"/>
    <w:rsid w:val="4CA93EDC"/>
    <w:rsid w:val="4CAA1F4A"/>
    <w:rsid w:val="4CAB10A5"/>
    <w:rsid w:val="4CAC62C1"/>
    <w:rsid w:val="4CAD4E55"/>
    <w:rsid w:val="4CAE6C4A"/>
    <w:rsid w:val="4CAE6E28"/>
    <w:rsid w:val="4CAE7BF8"/>
    <w:rsid w:val="4CAF0EB6"/>
    <w:rsid w:val="4CAF130F"/>
    <w:rsid w:val="4CAF7561"/>
    <w:rsid w:val="4CB018FA"/>
    <w:rsid w:val="4CB12FD8"/>
    <w:rsid w:val="4CB22BAD"/>
    <w:rsid w:val="4CB2382E"/>
    <w:rsid w:val="4CB27368"/>
    <w:rsid w:val="4CB37051"/>
    <w:rsid w:val="4CB46925"/>
    <w:rsid w:val="4CB5789B"/>
    <w:rsid w:val="4CB6269D"/>
    <w:rsid w:val="4CB66B41"/>
    <w:rsid w:val="4CB703AD"/>
    <w:rsid w:val="4CB70A84"/>
    <w:rsid w:val="4CB75F07"/>
    <w:rsid w:val="4CB93F3C"/>
    <w:rsid w:val="4CBB5055"/>
    <w:rsid w:val="4CBB7CB4"/>
    <w:rsid w:val="4CBC08E9"/>
    <w:rsid w:val="4CBC3B88"/>
    <w:rsid w:val="4CBD2E62"/>
    <w:rsid w:val="4CBD5DD8"/>
    <w:rsid w:val="4CBD7ED0"/>
    <w:rsid w:val="4CBE77A4"/>
    <w:rsid w:val="4CBF2885"/>
    <w:rsid w:val="4CC0176E"/>
    <w:rsid w:val="4CC03303"/>
    <w:rsid w:val="4CC2331B"/>
    <w:rsid w:val="4CC254E6"/>
    <w:rsid w:val="4CC27294"/>
    <w:rsid w:val="4CC34DBA"/>
    <w:rsid w:val="4CC41E4C"/>
    <w:rsid w:val="4CC55DC1"/>
    <w:rsid w:val="4CC72AFC"/>
    <w:rsid w:val="4CC742F9"/>
    <w:rsid w:val="4CC76658"/>
    <w:rsid w:val="4CC86523"/>
    <w:rsid w:val="4CC90623"/>
    <w:rsid w:val="4CC9483F"/>
    <w:rsid w:val="4CC96874"/>
    <w:rsid w:val="4CCA55D7"/>
    <w:rsid w:val="4CCC3C6F"/>
    <w:rsid w:val="4CCF375F"/>
    <w:rsid w:val="4CCF74E6"/>
    <w:rsid w:val="4CD07C03"/>
    <w:rsid w:val="4CD132A5"/>
    <w:rsid w:val="4CD13DFC"/>
    <w:rsid w:val="4CD15729"/>
    <w:rsid w:val="4CD174D7"/>
    <w:rsid w:val="4CD314A1"/>
    <w:rsid w:val="4CD34FFD"/>
    <w:rsid w:val="4CD362CA"/>
    <w:rsid w:val="4CD55219"/>
    <w:rsid w:val="4CD6689C"/>
    <w:rsid w:val="4CDA44B5"/>
    <w:rsid w:val="4CDB2104"/>
    <w:rsid w:val="4CDB3015"/>
    <w:rsid w:val="4CDB5302"/>
    <w:rsid w:val="4CDB7B9A"/>
    <w:rsid w:val="4CDD7C2A"/>
    <w:rsid w:val="4CDE5035"/>
    <w:rsid w:val="4CDE5429"/>
    <w:rsid w:val="4CDF5BD4"/>
    <w:rsid w:val="4CDF6A22"/>
    <w:rsid w:val="4CE0596C"/>
    <w:rsid w:val="4CE17940"/>
    <w:rsid w:val="4CE25711"/>
    <w:rsid w:val="4CE33A94"/>
    <w:rsid w:val="4CE37624"/>
    <w:rsid w:val="4CE377D9"/>
    <w:rsid w:val="4CE3798F"/>
    <w:rsid w:val="4CE66364"/>
    <w:rsid w:val="4CE70AA9"/>
    <w:rsid w:val="4CE76DC7"/>
    <w:rsid w:val="4CEA0959"/>
    <w:rsid w:val="4CEA3967"/>
    <w:rsid w:val="4CEB4DF7"/>
    <w:rsid w:val="4CEC26B6"/>
    <w:rsid w:val="4CEE0089"/>
    <w:rsid w:val="4CEE1E37"/>
    <w:rsid w:val="4CEE2238"/>
    <w:rsid w:val="4CEF0F46"/>
    <w:rsid w:val="4CEF2108"/>
    <w:rsid w:val="4CF03E01"/>
    <w:rsid w:val="4CF10347"/>
    <w:rsid w:val="4CF338F1"/>
    <w:rsid w:val="4CF41E97"/>
    <w:rsid w:val="4CF540FB"/>
    <w:rsid w:val="4CF65190"/>
    <w:rsid w:val="4CF93156"/>
    <w:rsid w:val="4CFA088B"/>
    <w:rsid w:val="4CFB19E9"/>
    <w:rsid w:val="4CFB48EC"/>
    <w:rsid w:val="4CFD3BA2"/>
    <w:rsid w:val="4CFD3C38"/>
    <w:rsid w:val="4D004428"/>
    <w:rsid w:val="4D01600E"/>
    <w:rsid w:val="4D017AF0"/>
    <w:rsid w:val="4D021D86"/>
    <w:rsid w:val="4D03307E"/>
    <w:rsid w:val="4D037324"/>
    <w:rsid w:val="4D04404A"/>
    <w:rsid w:val="4D0478AD"/>
    <w:rsid w:val="4D05490F"/>
    <w:rsid w:val="4D072E8F"/>
    <w:rsid w:val="4D072EF9"/>
    <w:rsid w:val="4D073334"/>
    <w:rsid w:val="4D073BA4"/>
    <w:rsid w:val="4D082A5A"/>
    <w:rsid w:val="4D0933F1"/>
    <w:rsid w:val="4D093B09"/>
    <w:rsid w:val="4D094EC3"/>
    <w:rsid w:val="4D0B0C3B"/>
    <w:rsid w:val="4D0C6761"/>
    <w:rsid w:val="4D0E0101"/>
    <w:rsid w:val="4D0F0CA0"/>
    <w:rsid w:val="4D103357"/>
    <w:rsid w:val="4D106251"/>
    <w:rsid w:val="4D111FCA"/>
    <w:rsid w:val="4D122BF3"/>
    <w:rsid w:val="4D127FA2"/>
    <w:rsid w:val="4D137AF0"/>
    <w:rsid w:val="4D1473C4"/>
    <w:rsid w:val="4D151E81"/>
    <w:rsid w:val="4D156923"/>
    <w:rsid w:val="4D161AE3"/>
    <w:rsid w:val="4D1633ED"/>
    <w:rsid w:val="4D165477"/>
    <w:rsid w:val="4D1760B7"/>
    <w:rsid w:val="4D183358"/>
    <w:rsid w:val="4D184D40"/>
    <w:rsid w:val="4D185106"/>
    <w:rsid w:val="4D186EB4"/>
    <w:rsid w:val="4D1A0E7E"/>
    <w:rsid w:val="4D1A2C2C"/>
    <w:rsid w:val="4D1A6749"/>
    <w:rsid w:val="4D1B69A4"/>
    <w:rsid w:val="4D1E3BF0"/>
    <w:rsid w:val="4D1F6494"/>
    <w:rsid w:val="4D205A92"/>
    <w:rsid w:val="4D225E70"/>
    <w:rsid w:val="4D225F85"/>
    <w:rsid w:val="4D227D33"/>
    <w:rsid w:val="4D2340FA"/>
    <w:rsid w:val="4D241A8B"/>
    <w:rsid w:val="4D242E94"/>
    <w:rsid w:val="4D245859"/>
    <w:rsid w:val="4D251924"/>
    <w:rsid w:val="4D26318F"/>
    <w:rsid w:val="4D27359B"/>
    <w:rsid w:val="4D292E6F"/>
    <w:rsid w:val="4D2B308B"/>
    <w:rsid w:val="4D2C371A"/>
    <w:rsid w:val="4D2E0E03"/>
    <w:rsid w:val="4D2E2B7B"/>
    <w:rsid w:val="4D2F3021"/>
    <w:rsid w:val="4D2F41FE"/>
    <w:rsid w:val="4D3006A2"/>
    <w:rsid w:val="4D302450"/>
    <w:rsid w:val="4D306F1E"/>
    <w:rsid w:val="4D3126C1"/>
    <w:rsid w:val="4D3161C8"/>
    <w:rsid w:val="4D317F76"/>
    <w:rsid w:val="4D323148"/>
    <w:rsid w:val="4D357A66"/>
    <w:rsid w:val="4D365380"/>
    <w:rsid w:val="4D376649"/>
    <w:rsid w:val="4D3857A8"/>
    <w:rsid w:val="4D386F94"/>
    <w:rsid w:val="4D3A1520"/>
    <w:rsid w:val="4D3A32CE"/>
    <w:rsid w:val="4D3A4B9C"/>
    <w:rsid w:val="4D3A4F19"/>
    <w:rsid w:val="4D3A507C"/>
    <w:rsid w:val="4D3A6253"/>
    <w:rsid w:val="4D3B2BA3"/>
    <w:rsid w:val="4D3B4D8B"/>
    <w:rsid w:val="4D3B7C96"/>
    <w:rsid w:val="4D3C320F"/>
    <w:rsid w:val="4D3D278C"/>
    <w:rsid w:val="4D3D2DBF"/>
    <w:rsid w:val="4D3E5B8D"/>
    <w:rsid w:val="4D3E655C"/>
    <w:rsid w:val="4D3F08E5"/>
    <w:rsid w:val="4D3F6B37"/>
    <w:rsid w:val="4D403020"/>
    <w:rsid w:val="4D40640B"/>
    <w:rsid w:val="4D4109F6"/>
    <w:rsid w:val="4D421428"/>
    <w:rsid w:val="4D422183"/>
    <w:rsid w:val="4D426D9F"/>
    <w:rsid w:val="4D4330E2"/>
    <w:rsid w:val="4D446779"/>
    <w:rsid w:val="4D447CA9"/>
    <w:rsid w:val="4D452E31"/>
    <w:rsid w:val="4D4759EB"/>
    <w:rsid w:val="4D4922DA"/>
    <w:rsid w:val="4D497768"/>
    <w:rsid w:val="4D4B6A9F"/>
    <w:rsid w:val="4D4C3583"/>
    <w:rsid w:val="4D4E02A1"/>
    <w:rsid w:val="4D4F1685"/>
    <w:rsid w:val="4D4F574C"/>
    <w:rsid w:val="4D501B98"/>
    <w:rsid w:val="4D502AF2"/>
    <w:rsid w:val="4D50638C"/>
    <w:rsid w:val="4D5123C6"/>
    <w:rsid w:val="4D5132AD"/>
    <w:rsid w:val="4D5133E7"/>
    <w:rsid w:val="4D5325E2"/>
    <w:rsid w:val="4D533B95"/>
    <w:rsid w:val="4D535BB7"/>
    <w:rsid w:val="4D53613E"/>
    <w:rsid w:val="4D551EB6"/>
    <w:rsid w:val="4D5647BE"/>
    <w:rsid w:val="4D5679DC"/>
    <w:rsid w:val="4D58225C"/>
    <w:rsid w:val="4D5828E6"/>
    <w:rsid w:val="4D5831A4"/>
    <w:rsid w:val="4D584908"/>
    <w:rsid w:val="4D587BF8"/>
    <w:rsid w:val="4D59294E"/>
    <w:rsid w:val="4D5A3970"/>
    <w:rsid w:val="4D5B4FF3"/>
    <w:rsid w:val="4D5C1497"/>
    <w:rsid w:val="4D5C226E"/>
    <w:rsid w:val="4D5C3245"/>
    <w:rsid w:val="4D5D636A"/>
    <w:rsid w:val="4D5D6FBD"/>
    <w:rsid w:val="4D5F0F87"/>
    <w:rsid w:val="4D5F2D35"/>
    <w:rsid w:val="4D5F4AE3"/>
    <w:rsid w:val="4D5F5BF5"/>
    <w:rsid w:val="4D602609"/>
    <w:rsid w:val="4D604538"/>
    <w:rsid w:val="4D622825"/>
    <w:rsid w:val="4D624EA5"/>
    <w:rsid w:val="4D626D72"/>
    <w:rsid w:val="4D6363BA"/>
    <w:rsid w:val="4D64034B"/>
    <w:rsid w:val="4D6420F9"/>
    <w:rsid w:val="4D6614CB"/>
    <w:rsid w:val="4D664190"/>
    <w:rsid w:val="4D665E71"/>
    <w:rsid w:val="4D6671D1"/>
    <w:rsid w:val="4D67120C"/>
    <w:rsid w:val="4D677E3B"/>
    <w:rsid w:val="4D680D9C"/>
    <w:rsid w:val="4D682A44"/>
    <w:rsid w:val="4D693BB4"/>
    <w:rsid w:val="4D694DFD"/>
    <w:rsid w:val="4D6A36BC"/>
    <w:rsid w:val="4D6B58E6"/>
    <w:rsid w:val="4D6B7250"/>
    <w:rsid w:val="4D6B792C"/>
    <w:rsid w:val="4D6B7DA6"/>
    <w:rsid w:val="4D6C7200"/>
    <w:rsid w:val="4D6D2BF0"/>
    <w:rsid w:val="4D6E02A0"/>
    <w:rsid w:val="4D6E2F78"/>
    <w:rsid w:val="4D6F420E"/>
    <w:rsid w:val="4D6F624E"/>
    <w:rsid w:val="4D702B40"/>
    <w:rsid w:val="4D704F42"/>
    <w:rsid w:val="4D706CF0"/>
    <w:rsid w:val="4D707DE0"/>
    <w:rsid w:val="4D7220BC"/>
    <w:rsid w:val="4D722A68"/>
    <w:rsid w:val="4D723FCF"/>
    <w:rsid w:val="4D72564E"/>
    <w:rsid w:val="4D725BA8"/>
    <w:rsid w:val="4D7302FC"/>
    <w:rsid w:val="4D742AA0"/>
    <w:rsid w:val="4D7434E5"/>
    <w:rsid w:val="4D750556"/>
    <w:rsid w:val="4D7511F4"/>
    <w:rsid w:val="4D751A55"/>
    <w:rsid w:val="4D753C6D"/>
    <w:rsid w:val="4D754306"/>
    <w:rsid w:val="4D764113"/>
    <w:rsid w:val="4D77007F"/>
    <w:rsid w:val="4D7777AE"/>
    <w:rsid w:val="4D7913B4"/>
    <w:rsid w:val="4D7A36CB"/>
    <w:rsid w:val="4D7A382B"/>
    <w:rsid w:val="4D7B4640"/>
    <w:rsid w:val="4D7B5AD0"/>
    <w:rsid w:val="4D7B7443"/>
    <w:rsid w:val="4D7C3C15"/>
    <w:rsid w:val="4D7F33D7"/>
    <w:rsid w:val="4D7F6F33"/>
    <w:rsid w:val="4D8031C4"/>
    <w:rsid w:val="4D811942"/>
    <w:rsid w:val="4D812CAB"/>
    <w:rsid w:val="4D814A59"/>
    <w:rsid w:val="4D817BB7"/>
    <w:rsid w:val="4D8207D1"/>
    <w:rsid w:val="4D826A23"/>
    <w:rsid w:val="4D8409ED"/>
    <w:rsid w:val="4D845313"/>
    <w:rsid w:val="4D8602C2"/>
    <w:rsid w:val="4D862070"/>
    <w:rsid w:val="4D87403A"/>
    <w:rsid w:val="4D8821FE"/>
    <w:rsid w:val="4D8839D0"/>
    <w:rsid w:val="4D895D66"/>
    <w:rsid w:val="4D896614"/>
    <w:rsid w:val="4D8A35EC"/>
    <w:rsid w:val="4D8C317D"/>
    <w:rsid w:val="4D8E361A"/>
    <w:rsid w:val="4D8E6C2B"/>
    <w:rsid w:val="4D8F2776"/>
    <w:rsid w:val="4D8F4913"/>
    <w:rsid w:val="4D8F5481"/>
    <w:rsid w:val="4D904DAA"/>
    <w:rsid w:val="4D9104B7"/>
    <w:rsid w:val="4D924EB8"/>
    <w:rsid w:val="4D933AD2"/>
    <w:rsid w:val="4D933D57"/>
    <w:rsid w:val="4D93478D"/>
    <w:rsid w:val="4D9453B3"/>
    <w:rsid w:val="4D946566"/>
    <w:rsid w:val="4D946E79"/>
    <w:rsid w:val="4D950505"/>
    <w:rsid w:val="4D951C33"/>
    <w:rsid w:val="4D9549A9"/>
    <w:rsid w:val="4D976662"/>
    <w:rsid w:val="4D981DA3"/>
    <w:rsid w:val="4D98594B"/>
    <w:rsid w:val="4D985F51"/>
    <w:rsid w:val="4D986247"/>
    <w:rsid w:val="4D9923FE"/>
    <w:rsid w:val="4D994B3D"/>
    <w:rsid w:val="4D996326"/>
    <w:rsid w:val="4D9A3BE5"/>
    <w:rsid w:val="4D9C1893"/>
    <w:rsid w:val="4D9D385D"/>
    <w:rsid w:val="4D9D560B"/>
    <w:rsid w:val="4D9E2474"/>
    <w:rsid w:val="4D9F3131"/>
    <w:rsid w:val="4D9F3A3B"/>
    <w:rsid w:val="4D9F75D5"/>
    <w:rsid w:val="4DA05357"/>
    <w:rsid w:val="4DA1243B"/>
    <w:rsid w:val="4DA13BC3"/>
    <w:rsid w:val="4DA150FB"/>
    <w:rsid w:val="4DA1635B"/>
    <w:rsid w:val="4DA16EA9"/>
    <w:rsid w:val="4DA24A9F"/>
    <w:rsid w:val="4DA30E74"/>
    <w:rsid w:val="4DA34F8D"/>
    <w:rsid w:val="4DA62712"/>
    <w:rsid w:val="4DA6390E"/>
    <w:rsid w:val="4DA70238"/>
    <w:rsid w:val="4DA8648A"/>
    <w:rsid w:val="4DAA68A8"/>
    <w:rsid w:val="4DAB41CC"/>
    <w:rsid w:val="4DAC64B3"/>
    <w:rsid w:val="4DAD54A5"/>
    <w:rsid w:val="4DAD7844"/>
    <w:rsid w:val="4DAE15C6"/>
    <w:rsid w:val="4DB25E5E"/>
    <w:rsid w:val="4DB45E30"/>
    <w:rsid w:val="4DB50BA7"/>
    <w:rsid w:val="4DB50C18"/>
    <w:rsid w:val="4DB56DF9"/>
    <w:rsid w:val="4DB74893"/>
    <w:rsid w:val="4DB7491F"/>
    <w:rsid w:val="4DB7538E"/>
    <w:rsid w:val="4DB82445"/>
    <w:rsid w:val="4DB971B3"/>
    <w:rsid w:val="4DBB2F63"/>
    <w:rsid w:val="4DBC1F35"/>
    <w:rsid w:val="4DBC3CE3"/>
    <w:rsid w:val="4DBC43F3"/>
    <w:rsid w:val="4DBD2608"/>
    <w:rsid w:val="4DBE3EFF"/>
    <w:rsid w:val="4DBE471D"/>
    <w:rsid w:val="4DBE4A08"/>
    <w:rsid w:val="4DBF1A26"/>
    <w:rsid w:val="4DC02EA9"/>
    <w:rsid w:val="4DC05945"/>
    <w:rsid w:val="4DC1754C"/>
    <w:rsid w:val="4DC25072"/>
    <w:rsid w:val="4DC41CF2"/>
    <w:rsid w:val="4DC42B98"/>
    <w:rsid w:val="4DC4703C"/>
    <w:rsid w:val="4DC757F7"/>
    <w:rsid w:val="4DC86B2C"/>
    <w:rsid w:val="4DC94652"/>
    <w:rsid w:val="4DCA28A4"/>
    <w:rsid w:val="4DCA56DA"/>
    <w:rsid w:val="4DCB147D"/>
    <w:rsid w:val="4DCB3F26"/>
    <w:rsid w:val="4DCC2C28"/>
    <w:rsid w:val="4DCD40E5"/>
    <w:rsid w:val="4DCD6F24"/>
    <w:rsid w:val="4DCE1C69"/>
    <w:rsid w:val="4DCE3A17"/>
    <w:rsid w:val="4DCE7F49"/>
    <w:rsid w:val="4DCF3FAA"/>
    <w:rsid w:val="4DCF7EBB"/>
    <w:rsid w:val="4DD059E1"/>
    <w:rsid w:val="4DD0754D"/>
    <w:rsid w:val="4DD13C46"/>
    <w:rsid w:val="4DD21759"/>
    <w:rsid w:val="4DD30361"/>
    <w:rsid w:val="4DD30CB1"/>
    <w:rsid w:val="4DD3168B"/>
    <w:rsid w:val="4DD5448E"/>
    <w:rsid w:val="4DD54DA5"/>
    <w:rsid w:val="4DD6676E"/>
    <w:rsid w:val="4DD728CB"/>
    <w:rsid w:val="4DD74341"/>
    <w:rsid w:val="4DD76D6F"/>
    <w:rsid w:val="4DD86643"/>
    <w:rsid w:val="4DD95C0E"/>
    <w:rsid w:val="4DDA23BB"/>
    <w:rsid w:val="4DDC25D7"/>
    <w:rsid w:val="4DDC6134"/>
    <w:rsid w:val="4DDD3C5A"/>
    <w:rsid w:val="4DDE0F4B"/>
    <w:rsid w:val="4DDE1EAC"/>
    <w:rsid w:val="4DDF0ECE"/>
    <w:rsid w:val="4DDF1AE9"/>
    <w:rsid w:val="4DDF5C24"/>
    <w:rsid w:val="4DDF793C"/>
    <w:rsid w:val="4DE026EC"/>
    <w:rsid w:val="4DE11C0B"/>
    <w:rsid w:val="4DE14C7E"/>
    <w:rsid w:val="4DE2033F"/>
    <w:rsid w:val="4DE35714"/>
    <w:rsid w:val="4DE35EE4"/>
    <w:rsid w:val="4DE4148C"/>
    <w:rsid w:val="4DE463DE"/>
    <w:rsid w:val="4DE5267A"/>
    <w:rsid w:val="4DE561D0"/>
    <w:rsid w:val="4DE638B8"/>
    <w:rsid w:val="4DE70AF0"/>
    <w:rsid w:val="4DE80F7C"/>
    <w:rsid w:val="4DE834D2"/>
    <w:rsid w:val="4DE94818"/>
    <w:rsid w:val="4DEA153F"/>
    <w:rsid w:val="4DEB6377"/>
    <w:rsid w:val="4DEC34C0"/>
    <w:rsid w:val="4DED20EF"/>
    <w:rsid w:val="4DED6593"/>
    <w:rsid w:val="4DEE5E67"/>
    <w:rsid w:val="4DEF6EA0"/>
    <w:rsid w:val="4DF00A58"/>
    <w:rsid w:val="4DF07E31"/>
    <w:rsid w:val="4DF25C03"/>
    <w:rsid w:val="4DF35EB9"/>
    <w:rsid w:val="4DF403E3"/>
    <w:rsid w:val="4DF47921"/>
    <w:rsid w:val="4DF53699"/>
    <w:rsid w:val="4DF571F5"/>
    <w:rsid w:val="4DF62D80"/>
    <w:rsid w:val="4DF63BB5"/>
    <w:rsid w:val="4DF645F1"/>
    <w:rsid w:val="4DF653D5"/>
    <w:rsid w:val="4DF74D1B"/>
    <w:rsid w:val="4DF831B6"/>
    <w:rsid w:val="4DF910F8"/>
    <w:rsid w:val="4DFA2A5E"/>
    <w:rsid w:val="4DFA480C"/>
    <w:rsid w:val="4DFA5872"/>
    <w:rsid w:val="4DFB0BB0"/>
    <w:rsid w:val="4DFB6F66"/>
    <w:rsid w:val="4DFC7B4E"/>
    <w:rsid w:val="4DFD42E5"/>
    <w:rsid w:val="4DFE2FD7"/>
    <w:rsid w:val="4DFE42FC"/>
    <w:rsid w:val="4DFF1948"/>
    <w:rsid w:val="4DFF390B"/>
    <w:rsid w:val="4E015B9A"/>
    <w:rsid w:val="4E02745E"/>
    <w:rsid w:val="4E027FBD"/>
    <w:rsid w:val="4E0401D3"/>
    <w:rsid w:val="4E04238F"/>
    <w:rsid w:val="4E0439E7"/>
    <w:rsid w:val="4E045131"/>
    <w:rsid w:val="4E04568A"/>
    <w:rsid w:val="4E0538DC"/>
    <w:rsid w:val="4E061402"/>
    <w:rsid w:val="4E0700DA"/>
    <w:rsid w:val="4E071B00"/>
    <w:rsid w:val="4E08517B"/>
    <w:rsid w:val="4E086F29"/>
    <w:rsid w:val="4E09413B"/>
    <w:rsid w:val="4E0B07C7"/>
    <w:rsid w:val="4E0B6954"/>
    <w:rsid w:val="4E0C2777"/>
    <w:rsid w:val="4E0C5E77"/>
    <w:rsid w:val="4E0D2791"/>
    <w:rsid w:val="4E0D340C"/>
    <w:rsid w:val="4E0F0B9A"/>
    <w:rsid w:val="4E0F475B"/>
    <w:rsid w:val="4E1028CD"/>
    <w:rsid w:val="4E107213"/>
    <w:rsid w:val="4E11118C"/>
    <w:rsid w:val="4E120E41"/>
    <w:rsid w:val="4E121B55"/>
    <w:rsid w:val="4E127DA7"/>
    <w:rsid w:val="4E140DE4"/>
    <w:rsid w:val="4E14124E"/>
    <w:rsid w:val="4E141D71"/>
    <w:rsid w:val="4E143B1F"/>
    <w:rsid w:val="4E1458CD"/>
    <w:rsid w:val="4E170DD5"/>
    <w:rsid w:val="4E17716C"/>
    <w:rsid w:val="4E183C1B"/>
    <w:rsid w:val="4E191136"/>
    <w:rsid w:val="4E191B7E"/>
    <w:rsid w:val="4E1A1E33"/>
    <w:rsid w:val="4E1A397F"/>
    <w:rsid w:val="4E1A4EAE"/>
    <w:rsid w:val="4E1B59FF"/>
    <w:rsid w:val="4E1E04FA"/>
    <w:rsid w:val="4E1E7C1B"/>
    <w:rsid w:val="4E1F24C4"/>
    <w:rsid w:val="4E201A58"/>
    <w:rsid w:val="4E213852"/>
    <w:rsid w:val="4E225E8D"/>
    <w:rsid w:val="4E231A8E"/>
    <w:rsid w:val="4E231FB4"/>
    <w:rsid w:val="4E236D07"/>
    <w:rsid w:val="4E24779D"/>
    <w:rsid w:val="4E257ADB"/>
    <w:rsid w:val="4E261AA5"/>
    <w:rsid w:val="4E265601"/>
    <w:rsid w:val="4E276DBA"/>
    <w:rsid w:val="4E28581D"/>
    <w:rsid w:val="4E286E4D"/>
    <w:rsid w:val="4E296E9F"/>
    <w:rsid w:val="4E2A50F1"/>
    <w:rsid w:val="4E2B0833"/>
    <w:rsid w:val="4E2B47CD"/>
    <w:rsid w:val="4E2B70BB"/>
    <w:rsid w:val="4E2C2A55"/>
    <w:rsid w:val="4E2C7483"/>
    <w:rsid w:val="4E2D698F"/>
    <w:rsid w:val="4E2D7A1E"/>
    <w:rsid w:val="4E2E1C93"/>
    <w:rsid w:val="4E2E44B5"/>
    <w:rsid w:val="4E2E69A8"/>
    <w:rsid w:val="4E2F0959"/>
    <w:rsid w:val="4E2F2707"/>
    <w:rsid w:val="4E3046D1"/>
    <w:rsid w:val="4E30669A"/>
    <w:rsid w:val="4E31354B"/>
    <w:rsid w:val="4E3244EB"/>
    <w:rsid w:val="4E3247D7"/>
    <w:rsid w:val="4E3441C2"/>
    <w:rsid w:val="4E344864"/>
    <w:rsid w:val="4E345F70"/>
    <w:rsid w:val="4E351223"/>
    <w:rsid w:val="4E361CE8"/>
    <w:rsid w:val="4E362715"/>
    <w:rsid w:val="4E375A60"/>
    <w:rsid w:val="4E387EEC"/>
    <w:rsid w:val="4E391AD9"/>
    <w:rsid w:val="4E395334"/>
    <w:rsid w:val="4E3A10AC"/>
    <w:rsid w:val="4E3B5550"/>
    <w:rsid w:val="4E3B6FCA"/>
    <w:rsid w:val="4E3B762A"/>
    <w:rsid w:val="4E3E1263"/>
    <w:rsid w:val="4E3E1B03"/>
    <w:rsid w:val="4E3E2166"/>
    <w:rsid w:val="4E3F66C2"/>
    <w:rsid w:val="4E402B66"/>
    <w:rsid w:val="4E406DDB"/>
    <w:rsid w:val="4E41068C"/>
    <w:rsid w:val="4E4116FB"/>
    <w:rsid w:val="4E41243B"/>
    <w:rsid w:val="4E4168DE"/>
    <w:rsid w:val="4E4176A8"/>
    <w:rsid w:val="4E4334B4"/>
    <w:rsid w:val="4E4361B3"/>
    <w:rsid w:val="4E446FC3"/>
    <w:rsid w:val="4E451F2B"/>
    <w:rsid w:val="4E464ABB"/>
    <w:rsid w:val="4E470399"/>
    <w:rsid w:val="4E473EF5"/>
    <w:rsid w:val="4E474AE2"/>
    <w:rsid w:val="4E4837C9"/>
    <w:rsid w:val="4E491AF3"/>
    <w:rsid w:val="4E492B66"/>
    <w:rsid w:val="4E4A12EF"/>
    <w:rsid w:val="4E4B32B9"/>
    <w:rsid w:val="4E4C25AC"/>
    <w:rsid w:val="4E4D0DDF"/>
    <w:rsid w:val="4E4D31B4"/>
    <w:rsid w:val="4E4D5283"/>
    <w:rsid w:val="4E4F2DA9"/>
    <w:rsid w:val="4E4F6905"/>
    <w:rsid w:val="4E5008D0"/>
    <w:rsid w:val="4E516B22"/>
    <w:rsid w:val="4E524648"/>
    <w:rsid w:val="4E531BF6"/>
    <w:rsid w:val="4E5403C0"/>
    <w:rsid w:val="4E54216E"/>
    <w:rsid w:val="4E5607F7"/>
    <w:rsid w:val="4E564740"/>
    <w:rsid w:val="4E571C5E"/>
    <w:rsid w:val="4E57335C"/>
    <w:rsid w:val="4E573A0C"/>
    <w:rsid w:val="4E577EB0"/>
    <w:rsid w:val="4E5864F2"/>
    <w:rsid w:val="4E5925DB"/>
    <w:rsid w:val="4E597784"/>
    <w:rsid w:val="4E5A0E12"/>
    <w:rsid w:val="4E5A45A8"/>
    <w:rsid w:val="4E5B174E"/>
    <w:rsid w:val="4E5B5626"/>
    <w:rsid w:val="4E5B751A"/>
    <w:rsid w:val="4E5B79A0"/>
    <w:rsid w:val="4E5C086E"/>
    <w:rsid w:val="4E5C54C6"/>
    <w:rsid w:val="4E5D0E00"/>
    <w:rsid w:val="4E5E2148"/>
    <w:rsid w:val="4E5E2FEC"/>
    <w:rsid w:val="4E5F1885"/>
    <w:rsid w:val="4E5F522B"/>
    <w:rsid w:val="4E5F5555"/>
    <w:rsid w:val="4E600B13"/>
    <w:rsid w:val="4E604C84"/>
    <w:rsid w:val="4E612ADD"/>
    <w:rsid w:val="4E616639"/>
    <w:rsid w:val="4E630603"/>
    <w:rsid w:val="4E642E4D"/>
    <w:rsid w:val="4E65437B"/>
    <w:rsid w:val="4E656129"/>
    <w:rsid w:val="4E662BAB"/>
    <w:rsid w:val="4E673416"/>
    <w:rsid w:val="4E683E6B"/>
    <w:rsid w:val="4E686959"/>
    <w:rsid w:val="4E69016F"/>
    <w:rsid w:val="4E6A12B8"/>
    <w:rsid w:val="4E6A23B7"/>
    <w:rsid w:val="4E6A373F"/>
    <w:rsid w:val="4E6A7A98"/>
    <w:rsid w:val="4E6B1D97"/>
    <w:rsid w:val="4E6B4968"/>
    <w:rsid w:val="4E6D1482"/>
    <w:rsid w:val="4E6D2E13"/>
    <w:rsid w:val="4E6D3230"/>
    <w:rsid w:val="4E6F0D56"/>
    <w:rsid w:val="4E6F6FA8"/>
    <w:rsid w:val="4E712D20"/>
    <w:rsid w:val="4E720846"/>
    <w:rsid w:val="4E72276E"/>
    <w:rsid w:val="4E724CEA"/>
    <w:rsid w:val="4E734FE6"/>
    <w:rsid w:val="4E740A62"/>
    <w:rsid w:val="4E742810"/>
    <w:rsid w:val="4E7505EB"/>
    <w:rsid w:val="4E7520E4"/>
    <w:rsid w:val="4E760336"/>
    <w:rsid w:val="4E764940"/>
    <w:rsid w:val="4E772300"/>
    <w:rsid w:val="4E775E5C"/>
    <w:rsid w:val="4E782275"/>
    <w:rsid w:val="4E790FA8"/>
    <w:rsid w:val="4E791BD4"/>
    <w:rsid w:val="4E7956A7"/>
    <w:rsid w:val="4E795E50"/>
    <w:rsid w:val="4E796078"/>
    <w:rsid w:val="4E797E26"/>
    <w:rsid w:val="4E7A439B"/>
    <w:rsid w:val="4E7B31F1"/>
    <w:rsid w:val="4E7B3203"/>
    <w:rsid w:val="4E7B3B9E"/>
    <w:rsid w:val="4E7B3D0A"/>
    <w:rsid w:val="4E7B594C"/>
    <w:rsid w:val="4E7C16C5"/>
    <w:rsid w:val="4E7C3473"/>
    <w:rsid w:val="4E7D1DBC"/>
    <w:rsid w:val="4E7E020D"/>
    <w:rsid w:val="4E7E368F"/>
    <w:rsid w:val="4E7E3DD5"/>
    <w:rsid w:val="4E7F41F5"/>
    <w:rsid w:val="4E80682A"/>
    <w:rsid w:val="4E810A89"/>
    <w:rsid w:val="4E816B8E"/>
    <w:rsid w:val="4E824F2D"/>
    <w:rsid w:val="4E8322E4"/>
    <w:rsid w:val="4E832A53"/>
    <w:rsid w:val="4E833C2C"/>
    <w:rsid w:val="4E834801"/>
    <w:rsid w:val="4E8361C4"/>
    <w:rsid w:val="4E850579"/>
    <w:rsid w:val="4E854A1D"/>
    <w:rsid w:val="4E8567CB"/>
    <w:rsid w:val="4E870795"/>
    <w:rsid w:val="4E870F87"/>
    <w:rsid w:val="4E873CA6"/>
    <w:rsid w:val="4E8812BF"/>
    <w:rsid w:val="4E8822B6"/>
    <w:rsid w:val="4E882EF9"/>
    <w:rsid w:val="4E8862BB"/>
    <w:rsid w:val="4E887DA1"/>
    <w:rsid w:val="4E8A3DE2"/>
    <w:rsid w:val="4E8A5B90"/>
    <w:rsid w:val="4E8B1908"/>
    <w:rsid w:val="4E8C5DAC"/>
    <w:rsid w:val="4E8D5680"/>
    <w:rsid w:val="4E8D742E"/>
    <w:rsid w:val="4E8E5624"/>
    <w:rsid w:val="4E8E65C1"/>
    <w:rsid w:val="4E9133C2"/>
    <w:rsid w:val="4E91658D"/>
    <w:rsid w:val="4E920EE8"/>
    <w:rsid w:val="4E922C96"/>
    <w:rsid w:val="4E93713A"/>
    <w:rsid w:val="4E944C60"/>
    <w:rsid w:val="4E946A0E"/>
    <w:rsid w:val="4E962184"/>
    <w:rsid w:val="4E964534"/>
    <w:rsid w:val="4E9702AC"/>
    <w:rsid w:val="4E974E4A"/>
    <w:rsid w:val="4E975520"/>
    <w:rsid w:val="4E9904C8"/>
    <w:rsid w:val="4E994025"/>
    <w:rsid w:val="4E9A6118"/>
    <w:rsid w:val="4E9B5FEF"/>
    <w:rsid w:val="4E9B75A7"/>
    <w:rsid w:val="4E9C0109"/>
    <w:rsid w:val="4E9C0BC5"/>
    <w:rsid w:val="4E9C32B0"/>
    <w:rsid w:val="4E9C58C3"/>
    <w:rsid w:val="4E9E788D"/>
    <w:rsid w:val="4E9F0568"/>
    <w:rsid w:val="4EA01857"/>
    <w:rsid w:val="4EA03605"/>
    <w:rsid w:val="4EA06CF0"/>
    <w:rsid w:val="4EA2737D"/>
    <w:rsid w:val="4EA36C51"/>
    <w:rsid w:val="4EA401B3"/>
    <w:rsid w:val="4EA41336"/>
    <w:rsid w:val="4EA47A73"/>
    <w:rsid w:val="4EA50303"/>
    <w:rsid w:val="4EA50C1B"/>
    <w:rsid w:val="4EA56E6D"/>
    <w:rsid w:val="4EA57168"/>
    <w:rsid w:val="4EA604F0"/>
    <w:rsid w:val="4EA759A5"/>
    <w:rsid w:val="4EA8070C"/>
    <w:rsid w:val="4EAA5FE5"/>
    <w:rsid w:val="4EAA731D"/>
    <w:rsid w:val="4EAC6020"/>
    <w:rsid w:val="4EAD14DE"/>
    <w:rsid w:val="4EAD187E"/>
    <w:rsid w:val="4EAE465A"/>
    <w:rsid w:val="4EAF1A9A"/>
    <w:rsid w:val="4EAF3696"/>
    <w:rsid w:val="4EB00840"/>
    <w:rsid w:val="4EB03520"/>
    <w:rsid w:val="4EB04191"/>
    <w:rsid w:val="4EB2061D"/>
    <w:rsid w:val="4EB212ED"/>
    <w:rsid w:val="4EB3158A"/>
    <w:rsid w:val="4EB33338"/>
    <w:rsid w:val="4EB40E5E"/>
    <w:rsid w:val="4EB41733"/>
    <w:rsid w:val="4EB42325"/>
    <w:rsid w:val="4EB42C0C"/>
    <w:rsid w:val="4EB43BB4"/>
    <w:rsid w:val="4EB55A7E"/>
    <w:rsid w:val="4EB57594"/>
    <w:rsid w:val="4EB62E28"/>
    <w:rsid w:val="4EB64E0E"/>
    <w:rsid w:val="4EB8094F"/>
    <w:rsid w:val="4EB946C7"/>
    <w:rsid w:val="4EB96475"/>
    <w:rsid w:val="4EBA2D91"/>
    <w:rsid w:val="4EBA3B83"/>
    <w:rsid w:val="4EBB24A8"/>
    <w:rsid w:val="4EBB3930"/>
    <w:rsid w:val="4EBD0276"/>
    <w:rsid w:val="4EBD5AC5"/>
    <w:rsid w:val="4EBD5F65"/>
    <w:rsid w:val="4EBD72A6"/>
    <w:rsid w:val="4EBE1CDD"/>
    <w:rsid w:val="4EBE2ACF"/>
    <w:rsid w:val="4EBE3A8B"/>
    <w:rsid w:val="4EBE56A0"/>
    <w:rsid w:val="4EC217CD"/>
    <w:rsid w:val="4EC23215"/>
    <w:rsid w:val="4EC246AC"/>
    <w:rsid w:val="4EC310A1"/>
    <w:rsid w:val="4EC372F3"/>
    <w:rsid w:val="4EC51148"/>
    <w:rsid w:val="4EC5306C"/>
    <w:rsid w:val="4EC5481C"/>
    <w:rsid w:val="4EC57B1B"/>
    <w:rsid w:val="4EC63E32"/>
    <w:rsid w:val="4EC70CB4"/>
    <w:rsid w:val="4EC72940"/>
    <w:rsid w:val="4EC800A6"/>
    <w:rsid w:val="4EC80E89"/>
    <w:rsid w:val="4EC82EEA"/>
    <w:rsid w:val="4EC866B8"/>
    <w:rsid w:val="4EC9115D"/>
    <w:rsid w:val="4ECA2430"/>
    <w:rsid w:val="4ECA3C30"/>
    <w:rsid w:val="4ECB6A08"/>
    <w:rsid w:val="4ECC0D3D"/>
    <w:rsid w:val="4ECC32FB"/>
    <w:rsid w:val="4ECC43FA"/>
    <w:rsid w:val="4ECC563F"/>
    <w:rsid w:val="4ECC7F56"/>
    <w:rsid w:val="4ECD1F20"/>
    <w:rsid w:val="4ECE0172"/>
    <w:rsid w:val="4ECE2C55"/>
    <w:rsid w:val="4ECF008C"/>
    <w:rsid w:val="4ED06186"/>
    <w:rsid w:val="4ED11A10"/>
    <w:rsid w:val="4ED17560"/>
    <w:rsid w:val="4ED212E5"/>
    <w:rsid w:val="4ED3189B"/>
    <w:rsid w:val="4ED348C0"/>
    <w:rsid w:val="4ED35788"/>
    <w:rsid w:val="4ED432AF"/>
    <w:rsid w:val="4ED65279"/>
    <w:rsid w:val="4ED72046"/>
    <w:rsid w:val="4ED72082"/>
    <w:rsid w:val="4ED72DBB"/>
    <w:rsid w:val="4ED80DF5"/>
    <w:rsid w:val="4ED82D9F"/>
    <w:rsid w:val="4ED908C5"/>
    <w:rsid w:val="4EDA2D48"/>
    <w:rsid w:val="4EDB6309"/>
    <w:rsid w:val="4EDE2348"/>
    <w:rsid w:val="4EDE5EDB"/>
    <w:rsid w:val="4EDF1C72"/>
    <w:rsid w:val="4EDF237F"/>
    <w:rsid w:val="4EDF3E95"/>
    <w:rsid w:val="4EE01C53"/>
    <w:rsid w:val="4EE03B53"/>
    <w:rsid w:val="4EE055EC"/>
    <w:rsid w:val="4EE07EA5"/>
    <w:rsid w:val="4EE23C1E"/>
    <w:rsid w:val="4EE24A9B"/>
    <w:rsid w:val="4EE31744"/>
    <w:rsid w:val="4EE334F2"/>
    <w:rsid w:val="4EE34A92"/>
    <w:rsid w:val="4EE36838"/>
    <w:rsid w:val="4EE40654"/>
    <w:rsid w:val="4EE667AD"/>
    <w:rsid w:val="4EE74D90"/>
    <w:rsid w:val="4EE80B08"/>
    <w:rsid w:val="4EE8500F"/>
    <w:rsid w:val="4EE91D9C"/>
    <w:rsid w:val="4EEA322C"/>
    <w:rsid w:val="4EEA4880"/>
    <w:rsid w:val="4EEB46BC"/>
    <w:rsid w:val="4EEC23A6"/>
    <w:rsid w:val="4EEC4B6F"/>
    <w:rsid w:val="4EED1BAD"/>
    <w:rsid w:val="4EED23FA"/>
    <w:rsid w:val="4EED4AD2"/>
    <w:rsid w:val="4EEE25C2"/>
    <w:rsid w:val="4EEE303D"/>
    <w:rsid w:val="4EEE4370"/>
    <w:rsid w:val="4EEF1A5A"/>
    <w:rsid w:val="4EEF1E97"/>
    <w:rsid w:val="4EEF44CD"/>
    <w:rsid w:val="4EF02A66"/>
    <w:rsid w:val="4EF0709E"/>
    <w:rsid w:val="4EF120B3"/>
    <w:rsid w:val="4EF16444"/>
    <w:rsid w:val="4EF26865"/>
    <w:rsid w:val="4EF277B4"/>
    <w:rsid w:val="4EF4418D"/>
    <w:rsid w:val="4EF4576E"/>
    <w:rsid w:val="4EF5033F"/>
    <w:rsid w:val="4EF56C95"/>
    <w:rsid w:val="4EF56E5A"/>
    <w:rsid w:val="4EF6035F"/>
    <w:rsid w:val="4EF61477"/>
    <w:rsid w:val="4EF63225"/>
    <w:rsid w:val="4EF75C34"/>
    <w:rsid w:val="4EF833C6"/>
    <w:rsid w:val="4EF93941"/>
    <w:rsid w:val="4EF94AC3"/>
    <w:rsid w:val="4EFA1B39"/>
    <w:rsid w:val="4EFA2729"/>
    <w:rsid w:val="4EFB083B"/>
    <w:rsid w:val="4EFD0A57"/>
    <w:rsid w:val="4EFD2805"/>
    <w:rsid w:val="4EFF2D5F"/>
    <w:rsid w:val="4EFF3268"/>
    <w:rsid w:val="4F000FA0"/>
    <w:rsid w:val="4F005E52"/>
    <w:rsid w:val="4F022E0E"/>
    <w:rsid w:val="4F027E1C"/>
    <w:rsid w:val="4F036A2F"/>
    <w:rsid w:val="4F0516BA"/>
    <w:rsid w:val="4F051F80"/>
    <w:rsid w:val="4F0566F3"/>
    <w:rsid w:val="4F077C56"/>
    <w:rsid w:val="4F080938"/>
    <w:rsid w:val="4F082BDB"/>
    <w:rsid w:val="4F0A0A7E"/>
    <w:rsid w:val="4F0A34CC"/>
    <w:rsid w:val="4F0A68F6"/>
    <w:rsid w:val="4F0B2565"/>
    <w:rsid w:val="4F0B3174"/>
    <w:rsid w:val="4F0C0C9A"/>
    <w:rsid w:val="4F0C39F5"/>
    <w:rsid w:val="4F0C47F7"/>
    <w:rsid w:val="4F0E4A13"/>
    <w:rsid w:val="4F0F42E7"/>
    <w:rsid w:val="4F10098A"/>
    <w:rsid w:val="4F111E0D"/>
    <w:rsid w:val="4F126C5C"/>
    <w:rsid w:val="4F132029"/>
    <w:rsid w:val="4F133DD7"/>
    <w:rsid w:val="4F1418FD"/>
    <w:rsid w:val="4F141AC1"/>
    <w:rsid w:val="4F1634D1"/>
    <w:rsid w:val="4F1813ED"/>
    <w:rsid w:val="4F181AFA"/>
    <w:rsid w:val="4F18319B"/>
    <w:rsid w:val="4F18763F"/>
    <w:rsid w:val="4F194B69"/>
    <w:rsid w:val="4F195FF9"/>
    <w:rsid w:val="4F1A0CF6"/>
    <w:rsid w:val="4F1A33B7"/>
    <w:rsid w:val="4F1A5BDF"/>
    <w:rsid w:val="4F1B20D9"/>
    <w:rsid w:val="4F1B712F"/>
    <w:rsid w:val="4F1D2EA8"/>
    <w:rsid w:val="4F1D4C56"/>
    <w:rsid w:val="4F1D6A04"/>
    <w:rsid w:val="4F1E06DE"/>
    <w:rsid w:val="4F1F09CE"/>
    <w:rsid w:val="4F1F5F1A"/>
    <w:rsid w:val="4F204A3C"/>
    <w:rsid w:val="4F2064F4"/>
    <w:rsid w:val="4F22401A"/>
    <w:rsid w:val="4F225734"/>
    <w:rsid w:val="4F22770B"/>
    <w:rsid w:val="4F231B40"/>
    <w:rsid w:val="4F236021"/>
    <w:rsid w:val="4F237BB0"/>
    <w:rsid w:val="4F245B9D"/>
    <w:rsid w:val="4F245FE4"/>
    <w:rsid w:val="4F253B0A"/>
    <w:rsid w:val="4F2641B8"/>
    <w:rsid w:val="4F26716D"/>
    <w:rsid w:val="4F271630"/>
    <w:rsid w:val="4F271D3E"/>
    <w:rsid w:val="4F28081F"/>
    <w:rsid w:val="4F2867E2"/>
    <w:rsid w:val="4F29184C"/>
    <w:rsid w:val="4F2A2ECF"/>
    <w:rsid w:val="4F2A45C8"/>
    <w:rsid w:val="4F2C30EB"/>
    <w:rsid w:val="4F2C4E99"/>
    <w:rsid w:val="4F2D6487"/>
    <w:rsid w:val="4F2E0C11"/>
    <w:rsid w:val="4F2F74D8"/>
    <w:rsid w:val="4F3039F0"/>
    <w:rsid w:val="4F3124AF"/>
    <w:rsid w:val="4F312535"/>
    <w:rsid w:val="4F31425D"/>
    <w:rsid w:val="4F323574"/>
    <w:rsid w:val="4F33177C"/>
    <w:rsid w:val="4F334479"/>
    <w:rsid w:val="4F33733F"/>
    <w:rsid w:val="4F337FD5"/>
    <w:rsid w:val="4F343D4D"/>
    <w:rsid w:val="4F345540"/>
    <w:rsid w:val="4F346742"/>
    <w:rsid w:val="4F354C7F"/>
    <w:rsid w:val="4F367AC5"/>
    <w:rsid w:val="4F37130A"/>
    <w:rsid w:val="4F382730"/>
    <w:rsid w:val="4F3A5808"/>
    <w:rsid w:val="4F3B1580"/>
    <w:rsid w:val="4F3B602B"/>
    <w:rsid w:val="4F3B7F03"/>
    <w:rsid w:val="4F3C4E43"/>
    <w:rsid w:val="4F3C56B5"/>
    <w:rsid w:val="4F3D0E54"/>
    <w:rsid w:val="4F3D2C02"/>
    <w:rsid w:val="4F3E443F"/>
    <w:rsid w:val="4F3E7FC5"/>
    <w:rsid w:val="4F3F2E1E"/>
    <w:rsid w:val="4F400944"/>
    <w:rsid w:val="4F4164C3"/>
    <w:rsid w:val="4F42290E"/>
    <w:rsid w:val="4F422A08"/>
    <w:rsid w:val="4F4246BC"/>
    <w:rsid w:val="4F425205"/>
    <w:rsid w:val="4F437C01"/>
    <w:rsid w:val="4F4437CC"/>
    <w:rsid w:val="4F443F90"/>
    <w:rsid w:val="4F452C98"/>
    <w:rsid w:val="4F4537A1"/>
    <w:rsid w:val="4F455F5A"/>
    <w:rsid w:val="4F466F26"/>
    <w:rsid w:val="4F474C91"/>
    <w:rsid w:val="4F4966C6"/>
    <w:rsid w:val="4F4977F9"/>
    <w:rsid w:val="4F4A1986"/>
    <w:rsid w:val="4F4A531F"/>
    <w:rsid w:val="4F4B6474"/>
    <w:rsid w:val="4F4C6922"/>
    <w:rsid w:val="4F4C72E9"/>
    <w:rsid w:val="4F4D50CB"/>
    <w:rsid w:val="4F4D7908"/>
    <w:rsid w:val="4F4E3C04"/>
    <w:rsid w:val="4F4E6803"/>
    <w:rsid w:val="4F4F2935"/>
    <w:rsid w:val="4F4F48BB"/>
    <w:rsid w:val="4F511CD2"/>
    <w:rsid w:val="4F511F86"/>
    <w:rsid w:val="4F5148FF"/>
    <w:rsid w:val="4F550892"/>
    <w:rsid w:val="4F552B7E"/>
    <w:rsid w:val="4F561F16"/>
    <w:rsid w:val="4F562DD9"/>
    <w:rsid w:val="4F57157C"/>
    <w:rsid w:val="4F585C8E"/>
    <w:rsid w:val="4F5A1A06"/>
    <w:rsid w:val="4F5A605D"/>
    <w:rsid w:val="4F5A6A8E"/>
    <w:rsid w:val="4F5A79C2"/>
    <w:rsid w:val="4F5A7C58"/>
    <w:rsid w:val="4F5B23A1"/>
    <w:rsid w:val="4F5B752C"/>
    <w:rsid w:val="4F5C58B7"/>
    <w:rsid w:val="4F5D354E"/>
    <w:rsid w:val="4F5F701C"/>
    <w:rsid w:val="4F602BB9"/>
    <w:rsid w:val="4F624D5E"/>
    <w:rsid w:val="4F631F54"/>
    <w:rsid w:val="4F64710F"/>
    <w:rsid w:val="4F6476F0"/>
    <w:rsid w:val="4F672375"/>
    <w:rsid w:val="4F673A09"/>
    <w:rsid w:val="4F675ED1"/>
    <w:rsid w:val="4F68101F"/>
    <w:rsid w:val="4F6C0472"/>
    <w:rsid w:val="4F6C798B"/>
    <w:rsid w:val="4F6D0163"/>
    <w:rsid w:val="4F6D065C"/>
    <w:rsid w:val="4F6D1902"/>
    <w:rsid w:val="4F6D2420"/>
    <w:rsid w:val="4F6D4721"/>
    <w:rsid w:val="4F6E725F"/>
    <w:rsid w:val="4F700283"/>
    <w:rsid w:val="4F701229"/>
    <w:rsid w:val="4F70450A"/>
    <w:rsid w:val="4F71072F"/>
    <w:rsid w:val="4F710AFD"/>
    <w:rsid w:val="4F7226C3"/>
    <w:rsid w:val="4F730D1A"/>
    <w:rsid w:val="4F737106"/>
    <w:rsid w:val="4F74239C"/>
    <w:rsid w:val="4F744081"/>
    <w:rsid w:val="4F7505EE"/>
    <w:rsid w:val="4F754A92"/>
    <w:rsid w:val="4F7640F5"/>
    <w:rsid w:val="4F7725B8"/>
    <w:rsid w:val="4F79125F"/>
    <w:rsid w:val="4F7A5C04"/>
    <w:rsid w:val="4F7B0C77"/>
    <w:rsid w:val="4F7B197C"/>
    <w:rsid w:val="4F7B30F4"/>
    <w:rsid w:val="4F7C5E20"/>
    <w:rsid w:val="4F7C5E7C"/>
    <w:rsid w:val="4F7C7BCE"/>
    <w:rsid w:val="4F7D0A6A"/>
    <w:rsid w:val="4F7D3946"/>
    <w:rsid w:val="4F7D56F4"/>
    <w:rsid w:val="4F7F3D17"/>
    <w:rsid w:val="4F7F76BE"/>
    <w:rsid w:val="4F807D78"/>
    <w:rsid w:val="4F813436"/>
    <w:rsid w:val="4F8220D8"/>
    <w:rsid w:val="4F8434C7"/>
    <w:rsid w:val="4F846A83"/>
    <w:rsid w:val="4F847B89"/>
    <w:rsid w:val="4F85275A"/>
    <w:rsid w:val="4F8545A9"/>
    <w:rsid w:val="4F8610E9"/>
    <w:rsid w:val="4F8627FB"/>
    <w:rsid w:val="4F8847C5"/>
    <w:rsid w:val="4F8971C8"/>
    <w:rsid w:val="4F8A18B5"/>
    <w:rsid w:val="4F8B3DED"/>
    <w:rsid w:val="4F8B7E11"/>
    <w:rsid w:val="4F8D007B"/>
    <w:rsid w:val="4F8D7A48"/>
    <w:rsid w:val="4F8E5B53"/>
    <w:rsid w:val="4F8F4094"/>
    <w:rsid w:val="4F8F4C9C"/>
    <w:rsid w:val="4F905428"/>
    <w:rsid w:val="4F91170B"/>
    <w:rsid w:val="4F926B85"/>
    <w:rsid w:val="4F93238F"/>
    <w:rsid w:val="4F932C84"/>
    <w:rsid w:val="4F942E49"/>
    <w:rsid w:val="4F9472EF"/>
    <w:rsid w:val="4F950C90"/>
    <w:rsid w:val="4F952A3E"/>
    <w:rsid w:val="4F9563F8"/>
    <w:rsid w:val="4F9667B6"/>
    <w:rsid w:val="4F98252E"/>
    <w:rsid w:val="4F98760D"/>
    <w:rsid w:val="4F9A0054"/>
    <w:rsid w:val="4F9D5D96"/>
    <w:rsid w:val="4F9D6DAE"/>
    <w:rsid w:val="4F9E0E2B"/>
    <w:rsid w:val="4F9F38BD"/>
    <w:rsid w:val="4FA0465B"/>
    <w:rsid w:val="4FA071C7"/>
    <w:rsid w:val="4FA07362"/>
    <w:rsid w:val="4FA2515B"/>
    <w:rsid w:val="4FA26F09"/>
    <w:rsid w:val="4FA40ED3"/>
    <w:rsid w:val="4FA55A32"/>
    <w:rsid w:val="4FA640A1"/>
    <w:rsid w:val="4FA66CA0"/>
    <w:rsid w:val="4FA6700A"/>
    <w:rsid w:val="4FA709C3"/>
    <w:rsid w:val="4FA72771"/>
    <w:rsid w:val="4FA82A40"/>
    <w:rsid w:val="4FA82D1D"/>
    <w:rsid w:val="4FA871BC"/>
    <w:rsid w:val="4FA964E9"/>
    <w:rsid w:val="4FA96517"/>
    <w:rsid w:val="4FAD5A99"/>
    <w:rsid w:val="4FAE3B00"/>
    <w:rsid w:val="4FAE4D3F"/>
    <w:rsid w:val="4FAE60B5"/>
    <w:rsid w:val="4FB00FB4"/>
    <w:rsid w:val="4FB01626"/>
    <w:rsid w:val="4FB05ACA"/>
    <w:rsid w:val="4FB07A08"/>
    <w:rsid w:val="4FB21842"/>
    <w:rsid w:val="4FB235F0"/>
    <w:rsid w:val="4FB37368"/>
    <w:rsid w:val="4FB500F8"/>
    <w:rsid w:val="4FB627F7"/>
    <w:rsid w:val="4FB64D53"/>
    <w:rsid w:val="4FB70C06"/>
    <w:rsid w:val="4FB74DF7"/>
    <w:rsid w:val="4FB82BD0"/>
    <w:rsid w:val="4FB8300A"/>
    <w:rsid w:val="4FB85FD9"/>
    <w:rsid w:val="4FB940F7"/>
    <w:rsid w:val="4FBA4253"/>
    <w:rsid w:val="4FBB7FCB"/>
    <w:rsid w:val="4FBC446F"/>
    <w:rsid w:val="4FBC5309"/>
    <w:rsid w:val="4FBC53FA"/>
    <w:rsid w:val="4FBC621D"/>
    <w:rsid w:val="4FBE01E7"/>
    <w:rsid w:val="4FBE0876"/>
    <w:rsid w:val="4FBE10E6"/>
    <w:rsid w:val="4FBF2ED5"/>
    <w:rsid w:val="4FBF3F5F"/>
    <w:rsid w:val="4FBF5D0D"/>
    <w:rsid w:val="4FBF7ABB"/>
    <w:rsid w:val="4FC05559"/>
    <w:rsid w:val="4FC11A85"/>
    <w:rsid w:val="4FC155E1"/>
    <w:rsid w:val="4FC15B5A"/>
    <w:rsid w:val="4FC24FED"/>
    <w:rsid w:val="4FC30FBB"/>
    <w:rsid w:val="4FC357FD"/>
    <w:rsid w:val="4FC57A53"/>
    <w:rsid w:val="4FC57BED"/>
    <w:rsid w:val="4FC6107D"/>
    <w:rsid w:val="4FC6709B"/>
    <w:rsid w:val="4FC70DA3"/>
    <w:rsid w:val="4FC74BC1"/>
    <w:rsid w:val="4FC96B8B"/>
    <w:rsid w:val="4FCA0E8E"/>
    <w:rsid w:val="4FCA62ED"/>
    <w:rsid w:val="4FCB45CB"/>
    <w:rsid w:val="4FCC14A0"/>
    <w:rsid w:val="4FD01CC8"/>
    <w:rsid w:val="4FD03A76"/>
    <w:rsid w:val="4FD12A19"/>
    <w:rsid w:val="4FD14BE2"/>
    <w:rsid w:val="4FD16190"/>
    <w:rsid w:val="4FD35314"/>
    <w:rsid w:val="4FD36A91"/>
    <w:rsid w:val="4FD41318"/>
    <w:rsid w:val="4FD5108C"/>
    <w:rsid w:val="4FD55530"/>
    <w:rsid w:val="4FD57433"/>
    <w:rsid w:val="4FD66FB7"/>
    <w:rsid w:val="4FD712A8"/>
    <w:rsid w:val="4FD73056"/>
    <w:rsid w:val="4FD74E04"/>
    <w:rsid w:val="4FD76934"/>
    <w:rsid w:val="4FD87D0C"/>
    <w:rsid w:val="4FD92948"/>
    <w:rsid w:val="4FD974F3"/>
    <w:rsid w:val="4FDA0983"/>
    <w:rsid w:val="4FDA66A3"/>
    <w:rsid w:val="4FDC68BF"/>
    <w:rsid w:val="4FDC7167"/>
    <w:rsid w:val="4FDE15F3"/>
    <w:rsid w:val="4FDE2637"/>
    <w:rsid w:val="4FDF05B0"/>
    <w:rsid w:val="4FDF43FC"/>
    <w:rsid w:val="4FDF5E41"/>
    <w:rsid w:val="4FDF63AF"/>
    <w:rsid w:val="4FDF7053"/>
    <w:rsid w:val="4FE018A1"/>
    <w:rsid w:val="4FE01B32"/>
    <w:rsid w:val="4FE0580F"/>
    <w:rsid w:val="4FE147A0"/>
    <w:rsid w:val="4FE15C83"/>
    <w:rsid w:val="4FE15C85"/>
    <w:rsid w:val="4FE305A5"/>
    <w:rsid w:val="4FE45773"/>
    <w:rsid w:val="4FE61EC7"/>
    <w:rsid w:val="4FE65048"/>
    <w:rsid w:val="4FE71030"/>
    <w:rsid w:val="4FE85264"/>
    <w:rsid w:val="4FE90FDC"/>
    <w:rsid w:val="4FE964C0"/>
    <w:rsid w:val="4FEB01C7"/>
    <w:rsid w:val="4FEB08B0"/>
    <w:rsid w:val="4FEB301D"/>
    <w:rsid w:val="4FEC1492"/>
    <w:rsid w:val="4FED1E04"/>
    <w:rsid w:val="4FED287A"/>
    <w:rsid w:val="4FED5402"/>
    <w:rsid w:val="4FED7B62"/>
    <w:rsid w:val="4FEE03A0"/>
    <w:rsid w:val="4FEE65F2"/>
    <w:rsid w:val="4FF0236A"/>
    <w:rsid w:val="4FF04118"/>
    <w:rsid w:val="4FF05EC6"/>
    <w:rsid w:val="4FF260E2"/>
    <w:rsid w:val="4FF26C6C"/>
    <w:rsid w:val="4FF43C08"/>
    <w:rsid w:val="4FF52B70"/>
    <w:rsid w:val="4FF534DD"/>
    <w:rsid w:val="4FF538C7"/>
    <w:rsid w:val="4FF57980"/>
    <w:rsid w:val="4FF6248F"/>
    <w:rsid w:val="4FF736F9"/>
    <w:rsid w:val="4FF754A7"/>
    <w:rsid w:val="4FF77255"/>
    <w:rsid w:val="4FF83F0C"/>
    <w:rsid w:val="4FF9121F"/>
    <w:rsid w:val="4FF97471"/>
    <w:rsid w:val="4FFB1199"/>
    <w:rsid w:val="4FFC0D0F"/>
    <w:rsid w:val="4FFC0D8F"/>
    <w:rsid w:val="4FFC2ABD"/>
    <w:rsid w:val="4FFD05E3"/>
    <w:rsid w:val="4FFE6835"/>
    <w:rsid w:val="50013BA7"/>
    <w:rsid w:val="5001570E"/>
    <w:rsid w:val="50015CA1"/>
    <w:rsid w:val="50040E67"/>
    <w:rsid w:val="50041972"/>
    <w:rsid w:val="50045CBF"/>
    <w:rsid w:val="50051AD4"/>
    <w:rsid w:val="50055E16"/>
    <w:rsid w:val="5006393C"/>
    <w:rsid w:val="50065FB1"/>
    <w:rsid w:val="50067498"/>
    <w:rsid w:val="50077993"/>
    <w:rsid w:val="500779A0"/>
    <w:rsid w:val="50081462"/>
    <w:rsid w:val="500A342C"/>
    <w:rsid w:val="500B0F52"/>
    <w:rsid w:val="500B71A4"/>
    <w:rsid w:val="500D6A78"/>
    <w:rsid w:val="500E459E"/>
    <w:rsid w:val="500F0A42"/>
    <w:rsid w:val="500F2F89"/>
    <w:rsid w:val="50106D7F"/>
    <w:rsid w:val="50110D90"/>
    <w:rsid w:val="50120532"/>
    <w:rsid w:val="50130235"/>
    <w:rsid w:val="50131BB5"/>
    <w:rsid w:val="50141FA4"/>
    <w:rsid w:val="5015592D"/>
    <w:rsid w:val="501646F7"/>
    <w:rsid w:val="50175D54"/>
    <w:rsid w:val="501A2F43"/>
    <w:rsid w:val="501A3245"/>
    <w:rsid w:val="501A73E7"/>
    <w:rsid w:val="501B2F2F"/>
    <w:rsid w:val="501B3FE3"/>
    <w:rsid w:val="501B6F55"/>
    <w:rsid w:val="501C07C3"/>
    <w:rsid w:val="501D030D"/>
    <w:rsid w:val="501D469F"/>
    <w:rsid w:val="501E0C85"/>
    <w:rsid w:val="501E2A33"/>
    <w:rsid w:val="501E6ED7"/>
    <w:rsid w:val="501F67AB"/>
    <w:rsid w:val="501F70B7"/>
    <w:rsid w:val="50210776"/>
    <w:rsid w:val="50212524"/>
    <w:rsid w:val="502211B9"/>
    <w:rsid w:val="50242014"/>
    <w:rsid w:val="50245B70"/>
    <w:rsid w:val="50255B61"/>
    <w:rsid w:val="502618E8"/>
    <w:rsid w:val="502778FA"/>
    <w:rsid w:val="50282DB0"/>
    <w:rsid w:val="50294CFC"/>
    <w:rsid w:val="502A41CA"/>
    <w:rsid w:val="502B33A2"/>
    <w:rsid w:val="502B5150"/>
    <w:rsid w:val="502B6EFE"/>
    <w:rsid w:val="502C1D2E"/>
    <w:rsid w:val="502C1F87"/>
    <w:rsid w:val="502C5CD0"/>
    <w:rsid w:val="502D2C76"/>
    <w:rsid w:val="502E7C52"/>
    <w:rsid w:val="502F20CC"/>
    <w:rsid w:val="503009B9"/>
    <w:rsid w:val="5032201C"/>
    <w:rsid w:val="5032295C"/>
    <w:rsid w:val="503264DF"/>
    <w:rsid w:val="50333DEC"/>
    <w:rsid w:val="50334005"/>
    <w:rsid w:val="50343B34"/>
    <w:rsid w:val="50357D7D"/>
    <w:rsid w:val="5037533E"/>
    <w:rsid w:val="50377F99"/>
    <w:rsid w:val="50393FB1"/>
    <w:rsid w:val="50395ABF"/>
    <w:rsid w:val="503A35E5"/>
    <w:rsid w:val="503A5393"/>
    <w:rsid w:val="503A57CF"/>
    <w:rsid w:val="503C735D"/>
    <w:rsid w:val="503E30D6"/>
    <w:rsid w:val="503E4E84"/>
    <w:rsid w:val="503F0BFC"/>
    <w:rsid w:val="503F3D7A"/>
    <w:rsid w:val="50406E4E"/>
    <w:rsid w:val="50407788"/>
    <w:rsid w:val="50412F77"/>
    <w:rsid w:val="50421862"/>
    <w:rsid w:val="50422451"/>
    <w:rsid w:val="504254F7"/>
    <w:rsid w:val="504306EC"/>
    <w:rsid w:val="5043249A"/>
    <w:rsid w:val="50435A33"/>
    <w:rsid w:val="504464B2"/>
    <w:rsid w:val="50454464"/>
    <w:rsid w:val="50487B81"/>
    <w:rsid w:val="50493828"/>
    <w:rsid w:val="504A3E51"/>
    <w:rsid w:val="504A7CCC"/>
    <w:rsid w:val="504B35D3"/>
    <w:rsid w:val="504C65B8"/>
    <w:rsid w:val="504D3319"/>
    <w:rsid w:val="504D50C7"/>
    <w:rsid w:val="504F0E3F"/>
    <w:rsid w:val="504F7091"/>
    <w:rsid w:val="50506965"/>
    <w:rsid w:val="50507622"/>
    <w:rsid w:val="505078E6"/>
    <w:rsid w:val="5052092F"/>
    <w:rsid w:val="505270CA"/>
    <w:rsid w:val="50533347"/>
    <w:rsid w:val="50544866"/>
    <w:rsid w:val="50547FD0"/>
    <w:rsid w:val="505521CD"/>
    <w:rsid w:val="50554176"/>
    <w:rsid w:val="50554D66"/>
    <w:rsid w:val="505619C9"/>
    <w:rsid w:val="50574197"/>
    <w:rsid w:val="50577CF3"/>
    <w:rsid w:val="5059017B"/>
    <w:rsid w:val="50591CBD"/>
    <w:rsid w:val="50592E34"/>
    <w:rsid w:val="50597248"/>
    <w:rsid w:val="50597F0F"/>
    <w:rsid w:val="505A06D8"/>
    <w:rsid w:val="505A0783"/>
    <w:rsid w:val="505A5A36"/>
    <w:rsid w:val="505A77E4"/>
    <w:rsid w:val="505B3C87"/>
    <w:rsid w:val="505C6D00"/>
    <w:rsid w:val="505C7A00"/>
    <w:rsid w:val="505E1082"/>
    <w:rsid w:val="505E1C29"/>
    <w:rsid w:val="505E5526"/>
    <w:rsid w:val="505F3D6B"/>
    <w:rsid w:val="5060129E"/>
    <w:rsid w:val="5060304C"/>
    <w:rsid w:val="50612609"/>
    <w:rsid w:val="50615016"/>
    <w:rsid w:val="50616869"/>
    <w:rsid w:val="50632B3C"/>
    <w:rsid w:val="50640680"/>
    <w:rsid w:val="50643588"/>
    <w:rsid w:val="50654B91"/>
    <w:rsid w:val="50666188"/>
    <w:rsid w:val="50676CA5"/>
    <w:rsid w:val="50680B66"/>
    <w:rsid w:val="50681F00"/>
    <w:rsid w:val="50682BD4"/>
    <w:rsid w:val="50684182"/>
    <w:rsid w:val="50697A27"/>
    <w:rsid w:val="506A3F67"/>
    <w:rsid w:val="506A5C79"/>
    <w:rsid w:val="506B19F1"/>
    <w:rsid w:val="506B2AEC"/>
    <w:rsid w:val="506B5BA3"/>
    <w:rsid w:val="506B7C43"/>
    <w:rsid w:val="506F14E1"/>
    <w:rsid w:val="506F328F"/>
    <w:rsid w:val="506F7733"/>
    <w:rsid w:val="50702E60"/>
    <w:rsid w:val="50711030"/>
    <w:rsid w:val="50720FD1"/>
    <w:rsid w:val="507408A5"/>
    <w:rsid w:val="50746AF7"/>
    <w:rsid w:val="50766AC1"/>
    <w:rsid w:val="50770396"/>
    <w:rsid w:val="5077108F"/>
    <w:rsid w:val="50772144"/>
    <w:rsid w:val="507761D2"/>
    <w:rsid w:val="50783627"/>
    <w:rsid w:val="5079438A"/>
    <w:rsid w:val="507A1151"/>
    <w:rsid w:val="507A1C34"/>
    <w:rsid w:val="507A6580"/>
    <w:rsid w:val="507C1E50"/>
    <w:rsid w:val="507C3BFE"/>
    <w:rsid w:val="507C59AC"/>
    <w:rsid w:val="507E60BB"/>
    <w:rsid w:val="507E7976"/>
    <w:rsid w:val="5080053F"/>
    <w:rsid w:val="508036EE"/>
    <w:rsid w:val="50810FA6"/>
    <w:rsid w:val="50817C87"/>
    <w:rsid w:val="508230AB"/>
    <w:rsid w:val="5082658F"/>
    <w:rsid w:val="50833A85"/>
    <w:rsid w:val="50834F8C"/>
    <w:rsid w:val="508377A5"/>
    <w:rsid w:val="50842203"/>
    <w:rsid w:val="508467A2"/>
    <w:rsid w:val="50850D04"/>
    <w:rsid w:val="50852AB2"/>
    <w:rsid w:val="50854CBB"/>
    <w:rsid w:val="508605D9"/>
    <w:rsid w:val="5087076C"/>
    <w:rsid w:val="508722C5"/>
    <w:rsid w:val="50874A7C"/>
    <w:rsid w:val="508807F5"/>
    <w:rsid w:val="508825A3"/>
    <w:rsid w:val="508831E5"/>
    <w:rsid w:val="50891C0A"/>
    <w:rsid w:val="50893447"/>
    <w:rsid w:val="50897E78"/>
    <w:rsid w:val="508A31CF"/>
    <w:rsid w:val="508B5BEF"/>
    <w:rsid w:val="508E110D"/>
    <w:rsid w:val="508E36AD"/>
    <w:rsid w:val="508E5E86"/>
    <w:rsid w:val="508F1B83"/>
    <w:rsid w:val="50905279"/>
    <w:rsid w:val="50923421"/>
    <w:rsid w:val="509251CF"/>
    <w:rsid w:val="509269D5"/>
    <w:rsid w:val="509468A1"/>
    <w:rsid w:val="509727E6"/>
    <w:rsid w:val="509947B0"/>
    <w:rsid w:val="50995153"/>
    <w:rsid w:val="509A0064"/>
    <w:rsid w:val="509B0528"/>
    <w:rsid w:val="509B1703"/>
    <w:rsid w:val="509B4084"/>
    <w:rsid w:val="509C7DFC"/>
    <w:rsid w:val="509E3B74"/>
    <w:rsid w:val="509E6E33"/>
    <w:rsid w:val="50A078EC"/>
    <w:rsid w:val="50A20D13"/>
    <w:rsid w:val="50A22364"/>
    <w:rsid w:val="50A3011C"/>
    <w:rsid w:val="50A32F39"/>
    <w:rsid w:val="50A44ACE"/>
    <w:rsid w:val="50A45E1C"/>
    <w:rsid w:val="50A50BFC"/>
    <w:rsid w:val="50A53155"/>
    <w:rsid w:val="50A56CB1"/>
    <w:rsid w:val="50A70C7B"/>
    <w:rsid w:val="50A72271"/>
    <w:rsid w:val="50A867A1"/>
    <w:rsid w:val="50AA23E4"/>
    <w:rsid w:val="50AA565F"/>
    <w:rsid w:val="50AC2A4D"/>
    <w:rsid w:val="50AC2B50"/>
    <w:rsid w:val="50AD025B"/>
    <w:rsid w:val="50AD2009"/>
    <w:rsid w:val="50AD35B3"/>
    <w:rsid w:val="50AE1300"/>
    <w:rsid w:val="50AE1D73"/>
    <w:rsid w:val="50AE307B"/>
    <w:rsid w:val="50AF02DD"/>
    <w:rsid w:val="50AF7F64"/>
    <w:rsid w:val="50B023DD"/>
    <w:rsid w:val="50B138A7"/>
    <w:rsid w:val="50B213CE"/>
    <w:rsid w:val="50B228F9"/>
    <w:rsid w:val="50B2653C"/>
    <w:rsid w:val="50B45146"/>
    <w:rsid w:val="50B57C8E"/>
    <w:rsid w:val="50B607DB"/>
    <w:rsid w:val="50B60EBE"/>
    <w:rsid w:val="50B64FC6"/>
    <w:rsid w:val="50B67110"/>
    <w:rsid w:val="50B746F8"/>
    <w:rsid w:val="50B769E4"/>
    <w:rsid w:val="50BA1C02"/>
    <w:rsid w:val="50BB0282"/>
    <w:rsid w:val="50BB4726"/>
    <w:rsid w:val="50BB64D4"/>
    <w:rsid w:val="50BC4F4A"/>
    <w:rsid w:val="50BE4216"/>
    <w:rsid w:val="50BE4F65"/>
    <w:rsid w:val="50BE7671"/>
    <w:rsid w:val="50BE7D72"/>
    <w:rsid w:val="50BF0871"/>
    <w:rsid w:val="50BF3E83"/>
    <w:rsid w:val="50C01D3C"/>
    <w:rsid w:val="50C03AEB"/>
    <w:rsid w:val="50C11611"/>
    <w:rsid w:val="50C138E6"/>
    <w:rsid w:val="50C14393"/>
    <w:rsid w:val="50C221A5"/>
    <w:rsid w:val="50C23D07"/>
    <w:rsid w:val="50C25AB5"/>
    <w:rsid w:val="50C3182D"/>
    <w:rsid w:val="50C335DB"/>
    <w:rsid w:val="50C35389"/>
    <w:rsid w:val="50C40DD7"/>
    <w:rsid w:val="50C51101"/>
    <w:rsid w:val="50C55866"/>
    <w:rsid w:val="50C57353"/>
    <w:rsid w:val="50C64E79"/>
    <w:rsid w:val="50C7131D"/>
    <w:rsid w:val="50C730CB"/>
    <w:rsid w:val="50C874A7"/>
    <w:rsid w:val="50C87A2F"/>
    <w:rsid w:val="50CA660C"/>
    <w:rsid w:val="50CD4459"/>
    <w:rsid w:val="50CE160C"/>
    <w:rsid w:val="50CE26AB"/>
    <w:rsid w:val="50CE3319"/>
    <w:rsid w:val="50CF02A4"/>
    <w:rsid w:val="50CF1F80"/>
    <w:rsid w:val="50CF47A9"/>
    <w:rsid w:val="50CF5EEA"/>
    <w:rsid w:val="50D02320"/>
    <w:rsid w:val="50D13F4A"/>
    <w:rsid w:val="50D14BB5"/>
    <w:rsid w:val="50D17AA6"/>
    <w:rsid w:val="50D319FF"/>
    <w:rsid w:val="50D321B4"/>
    <w:rsid w:val="50D3612E"/>
    <w:rsid w:val="50D378D2"/>
    <w:rsid w:val="50D508C3"/>
    <w:rsid w:val="50D531EC"/>
    <w:rsid w:val="50D61560"/>
    <w:rsid w:val="50D73DC2"/>
    <w:rsid w:val="50D77086"/>
    <w:rsid w:val="50D81B4D"/>
    <w:rsid w:val="50D918D2"/>
    <w:rsid w:val="50D92DFE"/>
    <w:rsid w:val="50D94DC5"/>
    <w:rsid w:val="50DB32FA"/>
    <w:rsid w:val="50DB3D9F"/>
    <w:rsid w:val="50DB42B0"/>
    <w:rsid w:val="50DB6B76"/>
    <w:rsid w:val="50DC2766"/>
    <w:rsid w:val="50DE0415"/>
    <w:rsid w:val="50DF1E02"/>
    <w:rsid w:val="50DF59DF"/>
    <w:rsid w:val="50E0418D"/>
    <w:rsid w:val="50E04A17"/>
    <w:rsid w:val="50E0572E"/>
    <w:rsid w:val="50E05F3B"/>
    <w:rsid w:val="50E21CB3"/>
    <w:rsid w:val="50E227A9"/>
    <w:rsid w:val="50E33C7D"/>
    <w:rsid w:val="50E377D9"/>
    <w:rsid w:val="50E44E3A"/>
    <w:rsid w:val="50E51575"/>
    <w:rsid w:val="50E5650E"/>
    <w:rsid w:val="50E61077"/>
    <w:rsid w:val="50E95C79"/>
    <w:rsid w:val="50EA73C4"/>
    <w:rsid w:val="50EC0D83"/>
    <w:rsid w:val="50EC2B32"/>
    <w:rsid w:val="50EC30E0"/>
    <w:rsid w:val="50EE3E48"/>
    <w:rsid w:val="50EE4AFC"/>
    <w:rsid w:val="50EE68AA"/>
    <w:rsid w:val="50EF617E"/>
    <w:rsid w:val="50EF7903"/>
    <w:rsid w:val="50F11EF6"/>
    <w:rsid w:val="50F15F01"/>
    <w:rsid w:val="50F3395B"/>
    <w:rsid w:val="50F47C38"/>
    <w:rsid w:val="50F577B0"/>
    <w:rsid w:val="50F639B0"/>
    <w:rsid w:val="50F6750C"/>
    <w:rsid w:val="50F67CD7"/>
    <w:rsid w:val="50F739B5"/>
    <w:rsid w:val="50F814D6"/>
    <w:rsid w:val="50F87728"/>
    <w:rsid w:val="50F934A0"/>
    <w:rsid w:val="50F9619B"/>
    <w:rsid w:val="50F96D62"/>
    <w:rsid w:val="50F97DF7"/>
    <w:rsid w:val="50FB4B23"/>
    <w:rsid w:val="50FC089B"/>
    <w:rsid w:val="50FC6397"/>
    <w:rsid w:val="50FD12C7"/>
    <w:rsid w:val="50FD59A5"/>
    <w:rsid w:val="50FD6AED"/>
    <w:rsid w:val="50FE3AE6"/>
    <w:rsid w:val="50FE3BAC"/>
    <w:rsid w:val="50FE4613"/>
    <w:rsid w:val="50FE725E"/>
    <w:rsid w:val="50FE7A64"/>
    <w:rsid w:val="50FF3E52"/>
    <w:rsid w:val="51022355"/>
    <w:rsid w:val="51031C29"/>
    <w:rsid w:val="51036065"/>
    <w:rsid w:val="51040BD5"/>
    <w:rsid w:val="51051E45"/>
    <w:rsid w:val="51053BF3"/>
    <w:rsid w:val="51053DB4"/>
    <w:rsid w:val="510550BF"/>
    <w:rsid w:val="51055FB9"/>
    <w:rsid w:val="51060B8A"/>
    <w:rsid w:val="5107241E"/>
    <w:rsid w:val="510734C7"/>
    <w:rsid w:val="51073F28"/>
    <w:rsid w:val="5107796B"/>
    <w:rsid w:val="51092BC8"/>
    <w:rsid w:val="510936E3"/>
    <w:rsid w:val="510A2FB8"/>
    <w:rsid w:val="510B71B7"/>
    <w:rsid w:val="510C32BB"/>
    <w:rsid w:val="510D264F"/>
    <w:rsid w:val="510E79A5"/>
    <w:rsid w:val="510E7B5D"/>
    <w:rsid w:val="511150E0"/>
    <w:rsid w:val="51115C9D"/>
    <w:rsid w:val="5112678F"/>
    <w:rsid w:val="5113318E"/>
    <w:rsid w:val="511405B1"/>
    <w:rsid w:val="51143E36"/>
    <w:rsid w:val="51154A6B"/>
    <w:rsid w:val="51164A46"/>
    <w:rsid w:val="51164C59"/>
    <w:rsid w:val="51166F3E"/>
    <w:rsid w:val="51167BAE"/>
    <w:rsid w:val="51173778"/>
    <w:rsid w:val="511856D5"/>
    <w:rsid w:val="51190A8B"/>
    <w:rsid w:val="511931FB"/>
    <w:rsid w:val="51197000"/>
    <w:rsid w:val="511A0490"/>
    <w:rsid w:val="511A58F1"/>
    <w:rsid w:val="511B3417"/>
    <w:rsid w:val="511B51C5"/>
    <w:rsid w:val="511C5981"/>
    <w:rsid w:val="511D4EB0"/>
    <w:rsid w:val="511D718F"/>
    <w:rsid w:val="511E4022"/>
    <w:rsid w:val="511F1327"/>
    <w:rsid w:val="511F54FA"/>
    <w:rsid w:val="511F64FB"/>
    <w:rsid w:val="51200A2D"/>
    <w:rsid w:val="51214495"/>
    <w:rsid w:val="51220372"/>
    <w:rsid w:val="51220612"/>
    <w:rsid w:val="512247A5"/>
    <w:rsid w:val="51226553"/>
    <w:rsid w:val="51253243"/>
    <w:rsid w:val="51263CA3"/>
    <w:rsid w:val="51274B95"/>
    <w:rsid w:val="51275918"/>
    <w:rsid w:val="5127759F"/>
    <w:rsid w:val="512A18AC"/>
    <w:rsid w:val="512A5408"/>
    <w:rsid w:val="512C2696"/>
    <w:rsid w:val="512C5624"/>
    <w:rsid w:val="512C7F76"/>
    <w:rsid w:val="512D1F16"/>
    <w:rsid w:val="512D2B3D"/>
    <w:rsid w:val="512E5354"/>
    <w:rsid w:val="512F0C70"/>
    <w:rsid w:val="512F1FEA"/>
    <w:rsid w:val="512F6EC2"/>
    <w:rsid w:val="51315548"/>
    <w:rsid w:val="51324F7F"/>
    <w:rsid w:val="5133250E"/>
    <w:rsid w:val="51340035"/>
    <w:rsid w:val="51343C08"/>
    <w:rsid w:val="513454AF"/>
    <w:rsid w:val="51360251"/>
    <w:rsid w:val="51380D0A"/>
    <w:rsid w:val="51383FC9"/>
    <w:rsid w:val="51385C51"/>
    <w:rsid w:val="51385D77"/>
    <w:rsid w:val="513B13C3"/>
    <w:rsid w:val="513C382A"/>
    <w:rsid w:val="513E0EB3"/>
    <w:rsid w:val="513E2C61"/>
    <w:rsid w:val="513E6359"/>
    <w:rsid w:val="513F75DA"/>
    <w:rsid w:val="51412EEC"/>
    <w:rsid w:val="514209A3"/>
    <w:rsid w:val="51422751"/>
    <w:rsid w:val="51422F10"/>
    <w:rsid w:val="51441B43"/>
    <w:rsid w:val="5144296E"/>
    <w:rsid w:val="51447C0E"/>
    <w:rsid w:val="514512E7"/>
    <w:rsid w:val="51452242"/>
    <w:rsid w:val="5146295A"/>
    <w:rsid w:val="5146601D"/>
    <w:rsid w:val="51481364"/>
    <w:rsid w:val="51486C69"/>
    <w:rsid w:val="514B337F"/>
    <w:rsid w:val="514C35D0"/>
    <w:rsid w:val="514C537E"/>
    <w:rsid w:val="514C78E2"/>
    <w:rsid w:val="514E59DC"/>
    <w:rsid w:val="514E7348"/>
    <w:rsid w:val="514F43DE"/>
    <w:rsid w:val="514F533C"/>
    <w:rsid w:val="51500CB0"/>
    <w:rsid w:val="51532795"/>
    <w:rsid w:val="51532FAC"/>
    <w:rsid w:val="515406D7"/>
    <w:rsid w:val="51552F41"/>
    <w:rsid w:val="51553752"/>
    <w:rsid w:val="51556929"/>
    <w:rsid w:val="515626A1"/>
    <w:rsid w:val="5156444F"/>
    <w:rsid w:val="515661FD"/>
    <w:rsid w:val="51575861"/>
    <w:rsid w:val="51581F75"/>
    <w:rsid w:val="51591336"/>
    <w:rsid w:val="51597A9B"/>
    <w:rsid w:val="515B1A65"/>
    <w:rsid w:val="515B4F4A"/>
    <w:rsid w:val="515B6DB3"/>
    <w:rsid w:val="515D57DD"/>
    <w:rsid w:val="515D758B"/>
    <w:rsid w:val="515E2B63"/>
    <w:rsid w:val="515F7B5F"/>
    <w:rsid w:val="51605E19"/>
    <w:rsid w:val="5161322C"/>
    <w:rsid w:val="51621046"/>
    <w:rsid w:val="51624BA2"/>
    <w:rsid w:val="51626657"/>
    <w:rsid w:val="5164091A"/>
    <w:rsid w:val="51651566"/>
    <w:rsid w:val="5167040A"/>
    <w:rsid w:val="516714F7"/>
    <w:rsid w:val="51694182"/>
    <w:rsid w:val="51695F30"/>
    <w:rsid w:val="516B0F6F"/>
    <w:rsid w:val="516B5D29"/>
    <w:rsid w:val="516B614C"/>
    <w:rsid w:val="516C2F33"/>
    <w:rsid w:val="516C329E"/>
    <w:rsid w:val="516C5A20"/>
    <w:rsid w:val="516C77CE"/>
    <w:rsid w:val="516D233C"/>
    <w:rsid w:val="516D2658"/>
    <w:rsid w:val="516E5229"/>
    <w:rsid w:val="516F13BA"/>
    <w:rsid w:val="517174DB"/>
    <w:rsid w:val="51722469"/>
    <w:rsid w:val="51730B5D"/>
    <w:rsid w:val="517364CA"/>
    <w:rsid w:val="51736DAF"/>
    <w:rsid w:val="51750D79"/>
    <w:rsid w:val="51750DEA"/>
    <w:rsid w:val="51753241"/>
    <w:rsid w:val="5176064D"/>
    <w:rsid w:val="51762676"/>
    <w:rsid w:val="51764AF1"/>
    <w:rsid w:val="517772E2"/>
    <w:rsid w:val="51780DCF"/>
    <w:rsid w:val="51782617"/>
    <w:rsid w:val="517843C5"/>
    <w:rsid w:val="517B3EB5"/>
    <w:rsid w:val="517B51EF"/>
    <w:rsid w:val="517B5C63"/>
    <w:rsid w:val="517B6880"/>
    <w:rsid w:val="517D757C"/>
    <w:rsid w:val="517F260F"/>
    <w:rsid w:val="517F39A6"/>
    <w:rsid w:val="517F4A6D"/>
    <w:rsid w:val="518014CC"/>
    <w:rsid w:val="5180763E"/>
    <w:rsid w:val="51811651"/>
    <w:rsid w:val="51826FF2"/>
    <w:rsid w:val="51837D48"/>
    <w:rsid w:val="51840FBC"/>
    <w:rsid w:val="51844B18"/>
    <w:rsid w:val="5184720E"/>
    <w:rsid w:val="518508DF"/>
    <w:rsid w:val="51864667"/>
    <w:rsid w:val="5187285A"/>
    <w:rsid w:val="51881C50"/>
    <w:rsid w:val="51890380"/>
    <w:rsid w:val="518931C9"/>
    <w:rsid w:val="51894824"/>
    <w:rsid w:val="518B009D"/>
    <w:rsid w:val="518B61F8"/>
    <w:rsid w:val="518C4062"/>
    <w:rsid w:val="518C468A"/>
    <w:rsid w:val="518C579C"/>
    <w:rsid w:val="518C60C3"/>
    <w:rsid w:val="518E5997"/>
    <w:rsid w:val="518F170F"/>
    <w:rsid w:val="51904FD5"/>
    <w:rsid w:val="5190705D"/>
    <w:rsid w:val="519136D9"/>
    <w:rsid w:val="519138FA"/>
    <w:rsid w:val="51913CDA"/>
    <w:rsid w:val="51915487"/>
    <w:rsid w:val="51917235"/>
    <w:rsid w:val="519311FF"/>
    <w:rsid w:val="51934373"/>
    <w:rsid w:val="51937451"/>
    <w:rsid w:val="519412E6"/>
    <w:rsid w:val="51954F77"/>
    <w:rsid w:val="519659F9"/>
    <w:rsid w:val="519758C5"/>
    <w:rsid w:val="5198096B"/>
    <w:rsid w:val="51981AD3"/>
    <w:rsid w:val="51984A77"/>
    <w:rsid w:val="51986815"/>
    <w:rsid w:val="519A258E"/>
    <w:rsid w:val="519A2DB6"/>
    <w:rsid w:val="519B00B4"/>
    <w:rsid w:val="519B277A"/>
    <w:rsid w:val="519B6306"/>
    <w:rsid w:val="519C4558"/>
    <w:rsid w:val="51A0391C"/>
    <w:rsid w:val="51A10D4D"/>
    <w:rsid w:val="51A21442"/>
    <w:rsid w:val="51A21548"/>
    <w:rsid w:val="51A258E6"/>
    <w:rsid w:val="51A25EE6"/>
    <w:rsid w:val="51A451BA"/>
    <w:rsid w:val="51A53AD8"/>
    <w:rsid w:val="51A660C3"/>
    <w:rsid w:val="51A67184"/>
    <w:rsid w:val="51A7386E"/>
    <w:rsid w:val="51A76A58"/>
    <w:rsid w:val="51A927D1"/>
    <w:rsid w:val="51AA1402"/>
    <w:rsid w:val="51AB479B"/>
    <w:rsid w:val="51AB52BE"/>
    <w:rsid w:val="51AB6549"/>
    <w:rsid w:val="51AC0E27"/>
    <w:rsid w:val="51AC406F"/>
    <w:rsid w:val="51AE7211"/>
    <w:rsid w:val="51AE7DE7"/>
    <w:rsid w:val="51AF0C60"/>
    <w:rsid w:val="51B13123"/>
    <w:rsid w:val="51B15B29"/>
    <w:rsid w:val="51B34AE7"/>
    <w:rsid w:val="51B34D01"/>
    <w:rsid w:val="51B36CFC"/>
    <w:rsid w:val="51B41678"/>
    <w:rsid w:val="51B55619"/>
    <w:rsid w:val="51B573C7"/>
    <w:rsid w:val="51B66656"/>
    <w:rsid w:val="51B72F48"/>
    <w:rsid w:val="51B73F20"/>
    <w:rsid w:val="51B86EB8"/>
    <w:rsid w:val="51B9608E"/>
    <w:rsid w:val="51B97834"/>
    <w:rsid w:val="51BA1017"/>
    <w:rsid w:val="51BA49DE"/>
    <w:rsid w:val="51BA678C"/>
    <w:rsid w:val="51BB0BE8"/>
    <w:rsid w:val="51BB5909"/>
    <w:rsid w:val="51BC407E"/>
    <w:rsid w:val="51BC69A8"/>
    <w:rsid w:val="51BD0B73"/>
    <w:rsid w:val="51BD44CE"/>
    <w:rsid w:val="51BE1A1E"/>
    <w:rsid w:val="51BF1F00"/>
    <w:rsid w:val="51C07B1A"/>
    <w:rsid w:val="51C13FBE"/>
    <w:rsid w:val="51C15D6C"/>
    <w:rsid w:val="51C21FC2"/>
    <w:rsid w:val="51C23892"/>
    <w:rsid w:val="51C2552D"/>
    <w:rsid w:val="51C4585C"/>
    <w:rsid w:val="51C516D2"/>
    <w:rsid w:val="51C615D4"/>
    <w:rsid w:val="51C972C4"/>
    <w:rsid w:val="51CA4ABA"/>
    <w:rsid w:val="51CA79F4"/>
    <w:rsid w:val="51CB0999"/>
    <w:rsid w:val="51CC4711"/>
    <w:rsid w:val="51CD5850"/>
    <w:rsid w:val="51CE2237"/>
    <w:rsid w:val="51CF5C16"/>
    <w:rsid w:val="51D05FAF"/>
    <w:rsid w:val="51D22948"/>
    <w:rsid w:val="51D325C4"/>
    <w:rsid w:val="51D32F47"/>
    <w:rsid w:val="51D35A9F"/>
    <w:rsid w:val="51D36CDD"/>
    <w:rsid w:val="51D45613"/>
    <w:rsid w:val="51D517F0"/>
    <w:rsid w:val="51D536C2"/>
    <w:rsid w:val="51D6428F"/>
    <w:rsid w:val="51D84E64"/>
    <w:rsid w:val="51D860AE"/>
    <w:rsid w:val="51DA2D5B"/>
    <w:rsid w:val="51DA6E2E"/>
    <w:rsid w:val="51DB6D95"/>
    <w:rsid w:val="51DC0DF8"/>
    <w:rsid w:val="51DC2BA6"/>
    <w:rsid w:val="51DC4954"/>
    <w:rsid w:val="51DD3FF8"/>
    <w:rsid w:val="51DE0059"/>
    <w:rsid w:val="51DF098F"/>
    <w:rsid w:val="51DF2396"/>
    <w:rsid w:val="51DF2D95"/>
    <w:rsid w:val="51DF4444"/>
    <w:rsid w:val="51DF61F2"/>
    <w:rsid w:val="51E02979"/>
    <w:rsid w:val="51E101BC"/>
    <w:rsid w:val="51E11F6A"/>
    <w:rsid w:val="51E30322"/>
    <w:rsid w:val="51E40814"/>
    <w:rsid w:val="51E45789"/>
    <w:rsid w:val="51E51FEA"/>
    <w:rsid w:val="51E538E7"/>
    <w:rsid w:val="51E5671B"/>
    <w:rsid w:val="51E6783E"/>
    <w:rsid w:val="51E732F9"/>
    <w:rsid w:val="51E8110B"/>
    <w:rsid w:val="51E83CDC"/>
    <w:rsid w:val="51E8779D"/>
    <w:rsid w:val="51E903CC"/>
    <w:rsid w:val="51EC72F5"/>
    <w:rsid w:val="51ED6811"/>
    <w:rsid w:val="51ED6B61"/>
    <w:rsid w:val="51EF5B75"/>
    <w:rsid w:val="51F021AD"/>
    <w:rsid w:val="51F20F33"/>
    <w:rsid w:val="51F223CA"/>
    <w:rsid w:val="51F37EF0"/>
    <w:rsid w:val="51F42B99"/>
    <w:rsid w:val="51F7178E"/>
    <w:rsid w:val="51F7602F"/>
    <w:rsid w:val="51F83758"/>
    <w:rsid w:val="51F86065"/>
    <w:rsid w:val="51FC4FF6"/>
    <w:rsid w:val="51FD2B1C"/>
    <w:rsid w:val="51FD35E2"/>
    <w:rsid w:val="51FD48CA"/>
    <w:rsid w:val="51FE3978"/>
    <w:rsid w:val="51FF6894"/>
    <w:rsid w:val="520039D2"/>
    <w:rsid w:val="52007E97"/>
    <w:rsid w:val="52012151"/>
    <w:rsid w:val="5201260D"/>
    <w:rsid w:val="520143BB"/>
    <w:rsid w:val="52022B16"/>
    <w:rsid w:val="52026A2A"/>
    <w:rsid w:val="52027CFA"/>
    <w:rsid w:val="520308E4"/>
    <w:rsid w:val="520420FD"/>
    <w:rsid w:val="52043EAB"/>
    <w:rsid w:val="52065E75"/>
    <w:rsid w:val="520662C7"/>
    <w:rsid w:val="520774F7"/>
    <w:rsid w:val="52081BED"/>
    <w:rsid w:val="520926F2"/>
    <w:rsid w:val="520B5290"/>
    <w:rsid w:val="520C3A0A"/>
    <w:rsid w:val="520D1C0A"/>
    <w:rsid w:val="520D41CD"/>
    <w:rsid w:val="520F0EE6"/>
    <w:rsid w:val="520F6E87"/>
    <w:rsid w:val="52100317"/>
    <w:rsid w:val="52100AA2"/>
    <w:rsid w:val="521045FE"/>
    <w:rsid w:val="52112EE8"/>
    <w:rsid w:val="52120376"/>
    <w:rsid w:val="521311AE"/>
    <w:rsid w:val="52132340"/>
    <w:rsid w:val="521340EE"/>
    <w:rsid w:val="52151C14"/>
    <w:rsid w:val="521560B8"/>
    <w:rsid w:val="52157E66"/>
    <w:rsid w:val="52173BDE"/>
    <w:rsid w:val="5217598C"/>
    <w:rsid w:val="521827D9"/>
    <w:rsid w:val="52187956"/>
    <w:rsid w:val="5219254C"/>
    <w:rsid w:val="521A1920"/>
    <w:rsid w:val="521A36CE"/>
    <w:rsid w:val="521A722A"/>
    <w:rsid w:val="521B663F"/>
    <w:rsid w:val="521C62D4"/>
    <w:rsid w:val="521C7446"/>
    <w:rsid w:val="521C7F56"/>
    <w:rsid w:val="521D1914"/>
    <w:rsid w:val="521D4F6D"/>
    <w:rsid w:val="521D7E30"/>
    <w:rsid w:val="521E31BF"/>
    <w:rsid w:val="521E3A08"/>
    <w:rsid w:val="521F2A93"/>
    <w:rsid w:val="521F697C"/>
    <w:rsid w:val="522105B9"/>
    <w:rsid w:val="52214528"/>
    <w:rsid w:val="52214A5D"/>
    <w:rsid w:val="5222644C"/>
    <w:rsid w:val="52232583"/>
    <w:rsid w:val="522400A9"/>
    <w:rsid w:val="5224454D"/>
    <w:rsid w:val="52253BD6"/>
    <w:rsid w:val="522602C5"/>
    <w:rsid w:val="5228116F"/>
    <w:rsid w:val="52291B63"/>
    <w:rsid w:val="52293911"/>
    <w:rsid w:val="522956BF"/>
    <w:rsid w:val="522A3A8F"/>
    <w:rsid w:val="522D1654"/>
    <w:rsid w:val="522D3402"/>
    <w:rsid w:val="522D51B0"/>
    <w:rsid w:val="522E0F28"/>
    <w:rsid w:val="522E2CD6"/>
    <w:rsid w:val="522F4D30"/>
    <w:rsid w:val="522F69EA"/>
    <w:rsid w:val="523227C6"/>
    <w:rsid w:val="52322F40"/>
    <w:rsid w:val="523302EC"/>
    <w:rsid w:val="52331881"/>
    <w:rsid w:val="5233653E"/>
    <w:rsid w:val="52336E68"/>
    <w:rsid w:val="52344790"/>
    <w:rsid w:val="52350508"/>
    <w:rsid w:val="52351C92"/>
    <w:rsid w:val="52373B10"/>
    <w:rsid w:val="52374280"/>
    <w:rsid w:val="52374C03"/>
    <w:rsid w:val="52391DA6"/>
    <w:rsid w:val="52397B4D"/>
    <w:rsid w:val="523A6B73"/>
    <w:rsid w:val="523A78CD"/>
    <w:rsid w:val="523C3645"/>
    <w:rsid w:val="523C7FE4"/>
    <w:rsid w:val="523D116B"/>
    <w:rsid w:val="523D5C1B"/>
    <w:rsid w:val="523E212F"/>
    <w:rsid w:val="523E3395"/>
    <w:rsid w:val="523E560F"/>
    <w:rsid w:val="523E73BD"/>
    <w:rsid w:val="523F1387"/>
    <w:rsid w:val="523F6E00"/>
    <w:rsid w:val="524036F3"/>
    <w:rsid w:val="524073F6"/>
    <w:rsid w:val="52412A09"/>
    <w:rsid w:val="5242100E"/>
    <w:rsid w:val="524248AB"/>
    <w:rsid w:val="52426781"/>
    <w:rsid w:val="524341E6"/>
    <w:rsid w:val="5244691C"/>
    <w:rsid w:val="5245699D"/>
    <w:rsid w:val="5245701A"/>
    <w:rsid w:val="52462715"/>
    <w:rsid w:val="5246372E"/>
    <w:rsid w:val="52466271"/>
    <w:rsid w:val="5248717B"/>
    <w:rsid w:val="524876DE"/>
    <w:rsid w:val="524B7CFB"/>
    <w:rsid w:val="524D13AE"/>
    <w:rsid w:val="524D5852"/>
    <w:rsid w:val="52501DAB"/>
    <w:rsid w:val="52504664"/>
    <w:rsid w:val="5251776E"/>
    <w:rsid w:val="52522E68"/>
    <w:rsid w:val="5253273C"/>
    <w:rsid w:val="52546BE0"/>
    <w:rsid w:val="52552958"/>
    <w:rsid w:val="525564B4"/>
    <w:rsid w:val="52566240"/>
    <w:rsid w:val="5257047F"/>
    <w:rsid w:val="5257222D"/>
    <w:rsid w:val="52583F3C"/>
    <w:rsid w:val="52595E4D"/>
    <w:rsid w:val="525A20DB"/>
    <w:rsid w:val="525A3532"/>
    <w:rsid w:val="525C3CE7"/>
    <w:rsid w:val="525C3D4D"/>
    <w:rsid w:val="525E66FC"/>
    <w:rsid w:val="525E7A5F"/>
    <w:rsid w:val="525F10E1"/>
    <w:rsid w:val="525F6FA6"/>
    <w:rsid w:val="52605E94"/>
    <w:rsid w:val="52614E59"/>
    <w:rsid w:val="526241EA"/>
    <w:rsid w:val="526306BA"/>
    <w:rsid w:val="52635075"/>
    <w:rsid w:val="526358ED"/>
    <w:rsid w:val="52642B9B"/>
    <w:rsid w:val="5264494A"/>
    <w:rsid w:val="52644E71"/>
    <w:rsid w:val="52647380"/>
    <w:rsid w:val="52650DED"/>
    <w:rsid w:val="5265420A"/>
    <w:rsid w:val="526613C5"/>
    <w:rsid w:val="526635D6"/>
    <w:rsid w:val="5266461C"/>
    <w:rsid w:val="52666914"/>
    <w:rsid w:val="526759BB"/>
    <w:rsid w:val="526850F9"/>
    <w:rsid w:val="52685B19"/>
    <w:rsid w:val="52691F60"/>
    <w:rsid w:val="526A01B2"/>
    <w:rsid w:val="526A6351"/>
    <w:rsid w:val="526A6404"/>
    <w:rsid w:val="526B217C"/>
    <w:rsid w:val="526B5CD8"/>
    <w:rsid w:val="526E3A97"/>
    <w:rsid w:val="526F21C3"/>
    <w:rsid w:val="526F3A1A"/>
    <w:rsid w:val="526F4B1C"/>
    <w:rsid w:val="527032EE"/>
    <w:rsid w:val="52707792"/>
    <w:rsid w:val="52713693"/>
    <w:rsid w:val="52715D4C"/>
    <w:rsid w:val="52720E14"/>
    <w:rsid w:val="5272350A"/>
    <w:rsid w:val="527252B8"/>
    <w:rsid w:val="52727066"/>
    <w:rsid w:val="52733F35"/>
    <w:rsid w:val="52741030"/>
    <w:rsid w:val="527473C8"/>
    <w:rsid w:val="52754DA9"/>
    <w:rsid w:val="527551F9"/>
    <w:rsid w:val="52772096"/>
    <w:rsid w:val="527D4BE7"/>
    <w:rsid w:val="527E0828"/>
    <w:rsid w:val="527E3C5D"/>
    <w:rsid w:val="527E7398"/>
    <w:rsid w:val="52831274"/>
    <w:rsid w:val="52833022"/>
    <w:rsid w:val="528374C6"/>
    <w:rsid w:val="528432A1"/>
    <w:rsid w:val="5285323E"/>
    <w:rsid w:val="5285479C"/>
    <w:rsid w:val="52854FEC"/>
    <w:rsid w:val="52880638"/>
    <w:rsid w:val="5288688A"/>
    <w:rsid w:val="5289743C"/>
    <w:rsid w:val="528B0999"/>
    <w:rsid w:val="528B637A"/>
    <w:rsid w:val="528C27BF"/>
    <w:rsid w:val="528D20F2"/>
    <w:rsid w:val="528D3EA0"/>
    <w:rsid w:val="528D5C4E"/>
    <w:rsid w:val="528E2519"/>
    <w:rsid w:val="528E37CB"/>
    <w:rsid w:val="528F4EB5"/>
    <w:rsid w:val="528F7C18"/>
    <w:rsid w:val="52900819"/>
    <w:rsid w:val="52905117"/>
    <w:rsid w:val="5290573F"/>
    <w:rsid w:val="52911C18"/>
    <w:rsid w:val="529214B7"/>
    <w:rsid w:val="52923265"/>
    <w:rsid w:val="52952D55"/>
    <w:rsid w:val="5296141E"/>
    <w:rsid w:val="52964656"/>
    <w:rsid w:val="529674E9"/>
    <w:rsid w:val="5297584D"/>
    <w:rsid w:val="52975A47"/>
    <w:rsid w:val="52975C57"/>
    <w:rsid w:val="529802A7"/>
    <w:rsid w:val="529945F3"/>
    <w:rsid w:val="529A036B"/>
    <w:rsid w:val="529B480F"/>
    <w:rsid w:val="529B502E"/>
    <w:rsid w:val="529C0B89"/>
    <w:rsid w:val="529C40E3"/>
    <w:rsid w:val="529D5B69"/>
    <w:rsid w:val="529E5241"/>
    <w:rsid w:val="529F0D75"/>
    <w:rsid w:val="529F12A2"/>
    <w:rsid w:val="52A0174F"/>
    <w:rsid w:val="52A03BD4"/>
    <w:rsid w:val="52A07B61"/>
    <w:rsid w:val="52A13BC2"/>
    <w:rsid w:val="52A17146"/>
    <w:rsid w:val="52A1794C"/>
    <w:rsid w:val="52A35472"/>
    <w:rsid w:val="52A4275F"/>
    <w:rsid w:val="52A5743C"/>
    <w:rsid w:val="52A82A88"/>
    <w:rsid w:val="52A83998"/>
    <w:rsid w:val="52A86F2C"/>
    <w:rsid w:val="52AA6800"/>
    <w:rsid w:val="52AB07CA"/>
    <w:rsid w:val="52AD62F0"/>
    <w:rsid w:val="52AE4D91"/>
    <w:rsid w:val="52AF00D3"/>
    <w:rsid w:val="52B14033"/>
    <w:rsid w:val="52B23907"/>
    <w:rsid w:val="52B37E93"/>
    <w:rsid w:val="52B458D1"/>
    <w:rsid w:val="52B61FF9"/>
    <w:rsid w:val="52B62DDB"/>
    <w:rsid w:val="52B70F1D"/>
    <w:rsid w:val="52B72802"/>
    <w:rsid w:val="52B7608C"/>
    <w:rsid w:val="52B7716F"/>
    <w:rsid w:val="52B809B9"/>
    <w:rsid w:val="52B85BC6"/>
    <w:rsid w:val="52B91E49"/>
    <w:rsid w:val="52B96A43"/>
    <w:rsid w:val="52BA1396"/>
    <w:rsid w:val="52BB733A"/>
    <w:rsid w:val="52BD083D"/>
    <w:rsid w:val="52BF41CD"/>
    <w:rsid w:val="52BF5CBB"/>
    <w:rsid w:val="52C00C59"/>
    <w:rsid w:val="52C118CB"/>
    <w:rsid w:val="52C13B4A"/>
    <w:rsid w:val="52C27F92"/>
    <w:rsid w:val="52C368ED"/>
    <w:rsid w:val="52C5188C"/>
    <w:rsid w:val="52C61160"/>
    <w:rsid w:val="52C6444D"/>
    <w:rsid w:val="52C65AFA"/>
    <w:rsid w:val="52C70C71"/>
    <w:rsid w:val="52C8312A"/>
    <w:rsid w:val="52C84ED8"/>
    <w:rsid w:val="52C854E2"/>
    <w:rsid w:val="52C93585"/>
    <w:rsid w:val="52CA1F01"/>
    <w:rsid w:val="52CA5AE0"/>
    <w:rsid w:val="52CA6EA2"/>
    <w:rsid w:val="52CB6777"/>
    <w:rsid w:val="52CC2C1B"/>
    <w:rsid w:val="52CD24EF"/>
    <w:rsid w:val="52CF44B9"/>
    <w:rsid w:val="52D00139"/>
    <w:rsid w:val="52D03D8D"/>
    <w:rsid w:val="52D104DD"/>
    <w:rsid w:val="52D21E63"/>
    <w:rsid w:val="52D24131"/>
    <w:rsid w:val="52D2609A"/>
    <w:rsid w:val="52D27B05"/>
    <w:rsid w:val="52D35D18"/>
    <w:rsid w:val="52D41ACF"/>
    <w:rsid w:val="52D45A0D"/>
    <w:rsid w:val="52D56577"/>
    <w:rsid w:val="52D62A96"/>
    <w:rsid w:val="52D715BF"/>
    <w:rsid w:val="52D7336D"/>
    <w:rsid w:val="52D73B2D"/>
    <w:rsid w:val="52D8612B"/>
    <w:rsid w:val="52DA3931"/>
    <w:rsid w:val="52DA3D53"/>
    <w:rsid w:val="52DB1E9D"/>
    <w:rsid w:val="52DB761B"/>
    <w:rsid w:val="52DC2732"/>
    <w:rsid w:val="52DE772C"/>
    <w:rsid w:val="52E00474"/>
    <w:rsid w:val="52E066C6"/>
    <w:rsid w:val="52E361B6"/>
    <w:rsid w:val="52E511BE"/>
    <w:rsid w:val="52E53CDC"/>
    <w:rsid w:val="52E55A8A"/>
    <w:rsid w:val="52E55E47"/>
    <w:rsid w:val="52E57838"/>
    <w:rsid w:val="52E635B0"/>
    <w:rsid w:val="52E70FFD"/>
    <w:rsid w:val="52E77F2A"/>
    <w:rsid w:val="52E837CD"/>
    <w:rsid w:val="52E94FF6"/>
    <w:rsid w:val="52E96E58"/>
    <w:rsid w:val="52EC506B"/>
    <w:rsid w:val="52EE1C4E"/>
    <w:rsid w:val="52EF4B5B"/>
    <w:rsid w:val="52F04AE9"/>
    <w:rsid w:val="52F05F79"/>
    <w:rsid w:val="52F11AC8"/>
    <w:rsid w:val="52F12681"/>
    <w:rsid w:val="52F21F55"/>
    <w:rsid w:val="52F263F9"/>
    <w:rsid w:val="52F43F1F"/>
    <w:rsid w:val="52F61A46"/>
    <w:rsid w:val="52F74096"/>
    <w:rsid w:val="52F91536"/>
    <w:rsid w:val="52FA0958"/>
    <w:rsid w:val="52FA10E1"/>
    <w:rsid w:val="52FB47CD"/>
    <w:rsid w:val="52FB52AE"/>
    <w:rsid w:val="52FC5C6E"/>
    <w:rsid w:val="52FD2E08"/>
    <w:rsid w:val="52FD40FF"/>
    <w:rsid w:val="52FE08FA"/>
    <w:rsid w:val="52FE4D9E"/>
    <w:rsid w:val="52FF4DD7"/>
    <w:rsid w:val="530103EA"/>
    <w:rsid w:val="5302488E"/>
    <w:rsid w:val="5302663C"/>
    <w:rsid w:val="530323B4"/>
    <w:rsid w:val="530341E0"/>
    <w:rsid w:val="53035F10"/>
    <w:rsid w:val="53046FC0"/>
    <w:rsid w:val="53053608"/>
    <w:rsid w:val="53071EA5"/>
    <w:rsid w:val="530733C6"/>
    <w:rsid w:val="530758BB"/>
    <w:rsid w:val="53086A4E"/>
    <w:rsid w:val="530879CB"/>
    <w:rsid w:val="53087EE3"/>
    <w:rsid w:val="53095C1D"/>
    <w:rsid w:val="530A54F1"/>
    <w:rsid w:val="530B1DCC"/>
    <w:rsid w:val="530C124A"/>
    <w:rsid w:val="530C1269"/>
    <w:rsid w:val="530D168E"/>
    <w:rsid w:val="530D4FE1"/>
    <w:rsid w:val="530E1339"/>
    <w:rsid w:val="530E3233"/>
    <w:rsid w:val="530E5599"/>
    <w:rsid w:val="530F48B5"/>
    <w:rsid w:val="53102992"/>
    <w:rsid w:val="53114AD1"/>
    <w:rsid w:val="53120130"/>
    <w:rsid w:val="531208BB"/>
    <w:rsid w:val="531342F1"/>
    <w:rsid w:val="53145399"/>
    <w:rsid w:val="53147C04"/>
    <w:rsid w:val="53150F43"/>
    <w:rsid w:val="531511DA"/>
    <w:rsid w:val="531554D6"/>
    <w:rsid w:val="531617D1"/>
    <w:rsid w:val="53161966"/>
    <w:rsid w:val="53164CE5"/>
    <w:rsid w:val="531719BC"/>
    <w:rsid w:val="53177C0E"/>
    <w:rsid w:val="53180D34"/>
    <w:rsid w:val="53183CF5"/>
    <w:rsid w:val="53192AD0"/>
    <w:rsid w:val="531968C6"/>
    <w:rsid w:val="531A7D56"/>
    <w:rsid w:val="531B5950"/>
    <w:rsid w:val="531B76FE"/>
    <w:rsid w:val="531C426E"/>
    <w:rsid w:val="531C7E12"/>
    <w:rsid w:val="531E6FED"/>
    <w:rsid w:val="53226CDE"/>
    <w:rsid w:val="53230361"/>
    <w:rsid w:val="53257703"/>
    <w:rsid w:val="532760A3"/>
    <w:rsid w:val="53277E51"/>
    <w:rsid w:val="532821DD"/>
    <w:rsid w:val="53283BC9"/>
    <w:rsid w:val="53285977"/>
    <w:rsid w:val="532A16EF"/>
    <w:rsid w:val="532A5B93"/>
    <w:rsid w:val="532A7941"/>
    <w:rsid w:val="532B0ADB"/>
    <w:rsid w:val="532B759A"/>
    <w:rsid w:val="532C36B9"/>
    <w:rsid w:val="532C5467"/>
    <w:rsid w:val="532F31A9"/>
    <w:rsid w:val="532F4F57"/>
    <w:rsid w:val="532F6D06"/>
    <w:rsid w:val="53315FDD"/>
    <w:rsid w:val="53346A12"/>
    <w:rsid w:val="53355036"/>
    <w:rsid w:val="533646AD"/>
    <w:rsid w:val="53364941"/>
    <w:rsid w:val="533662E6"/>
    <w:rsid w:val="53376114"/>
    <w:rsid w:val="533802B0"/>
    <w:rsid w:val="53384F50"/>
    <w:rsid w:val="533936BB"/>
    <w:rsid w:val="5339476F"/>
    <w:rsid w:val="533957DE"/>
    <w:rsid w:val="533960B0"/>
    <w:rsid w:val="533A71F2"/>
    <w:rsid w:val="533B3037"/>
    <w:rsid w:val="533B37EB"/>
    <w:rsid w:val="533B4466"/>
    <w:rsid w:val="533B56AA"/>
    <w:rsid w:val="533C1422"/>
    <w:rsid w:val="533D114F"/>
    <w:rsid w:val="533D1258"/>
    <w:rsid w:val="533E3905"/>
    <w:rsid w:val="533F163E"/>
    <w:rsid w:val="53403A04"/>
    <w:rsid w:val="534053B7"/>
    <w:rsid w:val="53407856"/>
    <w:rsid w:val="53426A39"/>
    <w:rsid w:val="53430A03"/>
    <w:rsid w:val="53441882"/>
    <w:rsid w:val="53446C55"/>
    <w:rsid w:val="5345477B"/>
    <w:rsid w:val="534704F3"/>
    <w:rsid w:val="534722A1"/>
    <w:rsid w:val="5347392B"/>
    <w:rsid w:val="53476745"/>
    <w:rsid w:val="53487DC7"/>
    <w:rsid w:val="53493305"/>
    <w:rsid w:val="534A1D91"/>
    <w:rsid w:val="534A78ED"/>
    <w:rsid w:val="534C5B09"/>
    <w:rsid w:val="534D53DE"/>
    <w:rsid w:val="534D6A6D"/>
    <w:rsid w:val="534E1882"/>
    <w:rsid w:val="534F0E0A"/>
    <w:rsid w:val="534F55FA"/>
    <w:rsid w:val="534F73A8"/>
    <w:rsid w:val="53530C46"/>
    <w:rsid w:val="535312DB"/>
    <w:rsid w:val="53536E98"/>
    <w:rsid w:val="53542C10"/>
    <w:rsid w:val="535765B6"/>
    <w:rsid w:val="535769C9"/>
    <w:rsid w:val="53585AC7"/>
    <w:rsid w:val="53590226"/>
    <w:rsid w:val="53591CBA"/>
    <w:rsid w:val="53591EC3"/>
    <w:rsid w:val="53591FD4"/>
    <w:rsid w:val="53597D23"/>
    <w:rsid w:val="535A6478"/>
    <w:rsid w:val="535B3F9E"/>
    <w:rsid w:val="535E0D2D"/>
    <w:rsid w:val="535E583D"/>
    <w:rsid w:val="535F6294"/>
    <w:rsid w:val="53603363"/>
    <w:rsid w:val="536270DB"/>
    <w:rsid w:val="53634C01"/>
    <w:rsid w:val="536469DC"/>
    <w:rsid w:val="53654E1D"/>
    <w:rsid w:val="536718F3"/>
    <w:rsid w:val="53673A6A"/>
    <w:rsid w:val="536746F1"/>
    <w:rsid w:val="53682217"/>
    <w:rsid w:val="53686032"/>
    <w:rsid w:val="5368753B"/>
    <w:rsid w:val="536912CC"/>
    <w:rsid w:val="536934A6"/>
    <w:rsid w:val="536966BB"/>
    <w:rsid w:val="536A2433"/>
    <w:rsid w:val="536A3872"/>
    <w:rsid w:val="536A5F90"/>
    <w:rsid w:val="536B6D64"/>
    <w:rsid w:val="536C018C"/>
    <w:rsid w:val="536C3114"/>
    <w:rsid w:val="536C61AC"/>
    <w:rsid w:val="536D1F1D"/>
    <w:rsid w:val="536D5076"/>
    <w:rsid w:val="536D6EF8"/>
    <w:rsid w:val="536D782E"/>
    <w:rsid w:val="536E3CD2"/>
    <w:rsid w:val="536E594E"/>
    <w:rsid w:val="536F1BBE"/>
    <w:rsid w:val="536F35A6"/>
    <w:rsid w:val="536F5F7E"/>
    <w:rsid w:val="536F7921"/>
    <w:rsid w:val="536F7A4A"/>
    <w:rsid w:val="5370522C"/>
    <w:rsid w:val="537132FC"/>
    <w:rsid w:val="53716E49"/>
    <w:rsid w:val="537312E8"/>
    <w:rsid w:val="53734D1B"/>
    <w:rsid w:val="5373753A"/>
    <w:rsid w:val="53740BBC"/>
    <w:rsid w:val="53760DD8"/>
    <w:rsid w:val="53764710"/>
    <w:rsid w:val="537700C9"/>
    <w:rsid w:val="5377683A"/>
    <w:rsid w:val="53794425"/>
    <w:rsid w:val="537961D3"/>
    <w:rsid w:val="537B1F4B"/>
    <w:rsid w:val="537B70F2"/>
    <w:rsid w:val="537C7131"/>
    <w:rsid w:val="537D2167"/>
    <w:rsid w:val="537F3AF6"/>
    <w:rsid w:val="537F7C8D"/>
    <w:rsid w:val="53801240"/>
    <w:rsid w:val="53811823"/>
    <w:rsid w:val="538118C3"/>
    <w:rsid w:val="53822CB3"/>
    <w:rsid w:val="538232D9"/>
    <w:rsid w:val="5382777D"/>
    <w:rsid w:val="538311EC"/>
    <w:rsid w:val="5385101B"/>
    <w:rsid w:val="53852DC9"/>
    <w:rsid w:val="538567AE"/>
    <w:rsid w:val="5386051A"/>
    <w:rsid w:val="53864A52"/>
    <w:rsid w:val="538916F6"/>
    <w:rsid w:val="538928BA"/>
    <w:rsid w:val="538943DA"/>
    <w:rsid w:val="53896B1D"/>
    <w:rsid w:val="538A03E0"/>
    <w:rsid w:val="538A1CBF"/>
    <w:rsid w:val="538A6632"/>
    <w:rsid w:val="538B4884"/>
    <w:rsid w:val="538C05FC"/>
    <w:rsid w:val="538C4158"/>
    <w:rsid w:val="538E1C7E"/>
    <w:rsid w:val="539052B7"/>
    <w:rsid w:val="5390669D"/>
    <w:rsid w:val="53933738"/>
    <w:rsid w:val="539354E6"/>
    <w:rsid w:val="53937282"/>
    <w:rsid w:val="53937294"/>
    <w:rsid w:val="5394125E"/>
    <w:rsid w:val="53941AE1"/>
    <w:rsid w:val="539574B0"/>
    <w:rsid w:val="53963229"/>
    <w:rsid w:val="53963CFA"/>
    <w:rsid w:val="53980D4F"/>
    <w:rsid w:val="539826BA"/>
    <w:rsid w:val="53982AFD"/>
    <w:rsid w:val="53990623"/>
    <w:rsid w:val="539914A5"/>
    <w:rsid w:val="5399404E"/>
    <w:rsid w:val="539A38B6"/>
    <w:rsid w:val="539A4AC7"/>
    <w:rsid w:val="539A6875"/>
    <w:rsid w:val="539B3B0B"/>
    <w:rsid w:val="539B439B"/>
    <w:rsid w:val="539D40C0"/>
    <w:rsid w:val="539E42B0"/>
    <w:rsid w:val="53A021E6"/>
    <w:rsid w:val="53A05837"/>
    <w:rsid w:val="53A11FDA"/>
    <w:rsid w:val="53A2397B"/>
    <w:rsid w:val="53A40CC6"/>
    <w:rsid w:val="53A56FC8"/>
    <w:rsid w:val="53A616BE"/>
    <w:rsid w:val="53A72D40"/>
    <w:rsid w:val="53A820BD"/>
    <w:rsid w:val="53A92F5C"/>
    <w:rsid w:val="53A94D0A"/>
    <w:rsid w:val="53A96AB8"/>
    <w:rsid w:val="53AB1EBF"/>
    <w:rsid w:val="53AB4309"/>
    <w:rsid w:val="53AB6755"/>
    <w:rsid w:val="53AB6CD4"/>
    <w:rsid w:val="53AD73D7"/>
    <w:rsid w:val="53AE0572"/>
    <w:rsid w:val="53AE2320"/>
    <w:rsid w:val="53AE4343"/>
    <w:rsid w:val="53AF6B6F"/>
    <w:rsid w:val="53AF7E46"/>
    <w:rsid w:val="53B35B89"/>
    <w:rsid w:val="53B37937"/>
    <w:rsid w:val="53B65679"/>
    <w:rsid w:val="53B73250"/>
    <w:rsid w:val="53B813F1"/>
    <w:rsid w:val="53B8319F"/>
    <w:rsid w:val="53B87B70"/>
    <w:rsid w:val="53B92A73"/>
    <w:rsid w:val="53B97094"/>
    <w:rsid w:val="53BA0CC5"/>
    <w:rsid w:val="53BC5A15"/>
    <w:rsid w:val="53BD07B5"/>
    <w:rsid w:val="53BD2563"/>
    <w:rsid w:val="53BD6A07"/>
    <w:rsid w:val="53BE7004"/>
    <w:rsid w:val="53BF0089"/>
    <w:rsid w:val="53BF452D"/>
    <w:rsid w:val="53C02053"/>
    <w:rsid w:val="53C07F63"/>
    <w:rsid w:val="53C14A3F"/>
    <w:rsid w:val="53C252BC"/>
    <w:rsid w:val="53C41B44"/>
    <w:rsid w:val="53C51418"/>
    <w:rsid w:val="53C51DA1"/>
    <w:rsid w:val="53C61508"/>
    <w:rsid w:val="53C658BC"/>
    <w:rsid w:val="53C733E2"/>
    <w:rsid w:val="53C80752"/>
    <w:rsid w:val="53C90F08"/>
    <w:rsid w:val="53C9715A"/>
    <w:rsid w:val="53CA027D"/>
    <w:rsid w:val="53CA5515"/>
    <w:rsid w:val="53CA7BCD"/>
    <w:rsid w:val="53CE2862"/>
    <w:rsid w:val="53CE4770"/>
    <w:rsid w:val="53CF3605"/>
    <w:rsid w:val="53CF3E7E"/>
    <w:rsid w:val="53D23419"/>
    <w:rsid w:val="53D31D87"/>
    <w:rsid w:val="53D43C9C"/>
    <w:rsid w:val="53D55AFF"/>
    <w:rsid w:val="53D56945"/>
    <w:rsid w:val="53D77AC9"/>
    <w:rsid w:val="53D815BC"/>
    <w:rsid w:val="53D855EF"/>
    <w:rsid w:val="53D8739D"/>
    <w:rsid w:val="53DA4EC3"/>
    <w:rsid w:val="53DB137A"/>
    <w:rsid w:val="53DC242E"/>
    <w:rsid w:val="53DD49B3"/>
    <w:rsid w:val="53DE7084"/>
    <w:rsid w:val="53DF24DA"/>
    <w:rsid w:val="53E0223F"/>
    <w:rsid w:val="53E04E54"/>
    <w:rsid w:val="53E144A4"/>
    <w:rsid w:val="53E571F4"/>
    <w:rsid w:val="53EA0CA4"/>
    <w:rsid w:val="53EB09EE"/>
    <w:rsid w:val="53EB70D0"/>
    <w:rsid w:val="53EC1E86"/>
    <w:rsid w:val="53ED4616"/>
    <w:rsid w:val="53EE096F"/>
    <w:rsid w:val="53EE6C13"/>
    <w:rsid w:val="53F01D34"/>
    <w:rsid w:val="53F137ED"/>
    <w:rsid w:val="53F146EA"/>
    <w:rsid w:val="53F25E92"/>
    <w:rsid w:val="53F43D78"/>
    <w:rsid w:val="53F561A1"/>
    <w:rsid w:val="53F57F4F"/>
    <w:rsid w:val="53F75055"/>
    <w:rsid w:val="53F975CD"/>
    <w:rsid w:val="53FA34C3"/>
    <w:rsid w:val="53FA7FA7"/>
    <w:rsid w:val="53FC02D7"/>
    <w:rsid w:val="53FC2850"/>
    <w:rsid w:val="53FC2EA8"/>
    <w:rsid w:val="53FC752F"/>
    <w:rsid w:val="53FD0BB2"/>
    <w:rsid w:val="53FD1912"/>
    <w:rsid w:val="53FD5056"/>
    <w:rsid w:val="53FD6E04"/>
    <w:rsid w:val="53FE69F2"/>
    <w:rsid w:val="540000E8"/>
    <w:rsid w:val="54014B46"/>
    <w:rsid w:val="5404163A"/>
    <w:rsid w:val="54060E11"/>
    <w:rsid w:val="5406215C"/>
    <w:rsid w:val="540753EA"/>
    <w:rsid w:val="54076F6D"/>
    <w:rsid w:val="54077C82"/>
    <w:rsid w:val="54085ED4"/>
    <w:rsid w:val="54090D0B"/>
    <w:rsid w:val="54091C4C"/>
    <w:rsid w:val="540A0DF2"/>
    <w:rsid w:val="540A1357"/>
    <w:rsid w:val="540A3B33"/>
    <w:rsid w:val="540B7773"/>
    <w:rsid w:val="540C783C"/>
    <w:rsid w:val="540D7DDE"/>
    <w:rsid w:val="540E72EB"/>
    <w:rsid w:val="54106536"/>
    <w:rsid w:val="5411465D"/>
    <w:rsid w:val="54115DF9"/>
    <w:rsid w:val="54140FB0"/>
    <w:rsid w:val="54147409"/>
    <w:rsid w:val="5415227F"/>
    <w:rsid w:val="54174EDF"/>
    <w:rsid w:val="54177EC5"/>
    <w:rsid w:val="54181E8F"/>
    <w:rsid w:val="54183C3E"/>
    <w:rsid w:val="54185E47"/>
    <w:rsid w:val="54192DBF"/>
    <w:rsid w:val="54194508"/>
    <w:rsid w:val="541977FF"/>
    <w:rsid w:val="541A1764"/>
    <w:rsid w:val="541A6CDE"/>
    <w:rsid w:val="541A79B6"/>
    <w:rsid w:val="541C1D46"/>
    <w:rsid w:val="541D0890"/>
    <w:rsid w:val="541D2934"/>
    <w:rsid w:val="541D74A6"/>
    <w:rsid w:val="541F1A5C"/>
    <w:rsid w:val="541F6D7A"/>
    <w:rsid w:val="54216F96"/>
    <w:rsid w:val="54224844"/>
    <w:rsid w:val="54224ABC"/>
    <w:rsid w:val="5422686A"/>
    <w:rsid w:val="54232D0E"/>
    <w:rsid w:val="54233482"/>
    <w:rsid w:val="54240834"/>
    <w:rsid w:val="54260581"/>
    <w:rsid w:val="54273E81"/>
    <w:rsid w:val="54280325"/>
    <w:rsid w:val="5429409D"/>
    <w:rsid w:val="54297BF9"/>
    <w:rsid w:val="542B1BC3"/>
    <w:rsid w:val="542D44EE"/>
    <w:rsid w:val="542D76E9"/>
    <w:rsid w:val="542E0595"/>
    <w:rsid w:val="542E16B3"/>
    <w:rsid w:val="542E3461"/>
    <w:rsid w:val="542F1ED0"/>
    <w:rsid w:val="543071C7"/>
    <w:rsid w:val="543071D9"/>
    <w:rsid w:val="543114C4"/>
    <w:rsid w:val="54316AAD"/>
    <w:rsid w:val="54322F51"/>
    <w:rsid w:val="54330A77"/>
    <w:rsid w:val="54336CC9"/>
    <w:rsid w:val="54342932"/>
    <w:rsid w:val="54345897"/>
    <w:rsid w:val="543464A5"/>
    <w:rsid w:val="54346FD8"/>
    <w:rsid w:val="5437318B"/>
    <w:rsid w:val="543744C9"/>
    <w:rsid w:val="54386DE9"/>
    <w:rsid w:val="543879B1"/>
    <w:rsid w:val="54390A89"/>
    <w:rsid w:val="543A1E06"/>
    <w:rsid w:val="543A4A92"/>
    <w:rsid w:val="543C0C79"/>
    <w:rsid w:val="543C16DA"/>
    <w:rsid w:val="543C55D0"/>
    <w:rsid w:val="543C5B7E"/>
    <w:rsid w:val="543D5452"/>
    <w:rsid w:val="543F566E"/>
    <w:rsid w:val="543F741C"/>
    <w:rsid w:val="5441014C"/>
    <w:rsid w:val="5441256D"/>
    <w:rsid w:val="54417AF7"/>
    <w:rsid w:val="54424CE4"/>
    <w:rsid w:val="54433EFC"/>
    <w:rsid w:val="54436F0C"/>
    <w:rsid w:val="544467E1"/>
    <w:rsid w:val="54446FC0"/>
    <w:rsid w:val="54455B1E"/>
    <w:rsid w:val="544613ED"/>
    <w:rsid w:val="54470F13"/>
    <w:rsid w:val="5447186B"/>
    <w:rsid w:val="54480DAF"/>
    <w:rsid w:val="54482775"/>
    <w:rsid w:val="54484523"/>
    <w:rsid w:val="54487F8F"/>
    <w:rsid w:val="54493DF7"/>
    <w:rsid w:val="54497D6E"/>
    <w:rsid w:val="544B5DC1"/>
    <w:rsid w:val="544B5E3B"/>
    <w:rsid w:val="544B7B6F"/>
    <w:rsid w:val="544C4768"/>
    <w:rsid w:val="544E01F0"/>
    <w:rsid w:val="544E09F3"/>
    <w:rsid w:val="544E765F"/>
    <w:rsid w:val="54504294"/>
    <w:rsid w:val="54505185"/>
    <w:rsid w:val="545127E9"/>
    <w:rsid w:val="54517101"/>
    <w:rsid w:val="545253A1"/>
    <w:rsid w:val="54530E20"/>
    <w:rsid w:val="54532B36"/>
    <w:rsid w:val="54532EC8"/>
    <w:rsid w:val="54536040"/>
    <w:rsid w:val="54554E92"/>
    <w:rsid w:val="54556311"/>
    <w:rsid w:val="54556C40"/>
    <w:rsid w:val="5458228C"/>
    <w:rsid w:val="545830FC"/>
    <w:rsid w:val="545834F6"/>
    <w:rsid w:val="545863D3"/>
    <w:rsid w:val="545C1B2D"/>
    <w:rsid w:val="545C4215"/>
    <w:rsid w:val="545D4AA3"/>
    <w:rsid w:val="545F7ABE"/>
    <w:rsid w:val="54612569"/>
    <w:rsid w:val="54613836"/>
    <w:rsid w:val="54622E43"/>
    <w:rsid w:val="54624EB9"/>
    <w:rsid w:val="54631B76"/>
    <w:rsid w:val="54640C31"/>
    <w:rsid w:val="54641D9D"/>
    <w:rsid w:val="54646E83"/>
    <w:rsid w:val="54662BFB"/>
    <w:rsid w:val="546649A9"/>
    <w:rsid w:val="54680721"/>
    <w:rsid w:val="54684BC5"/>
    <w:rsid w:val="546926EB"/>
    <w:rsid w:val="546B0211"/>
    <w:rsid w:val="546B6463"/>
    <w:rsid w:val="546C0098"/>
    <w:rsid w:val="546C1F6C"/>
    <w:rsid w:val="546D21DB"/>
    <w:rsid w:val="546D2288"/>
    <w:rsid w:val="546E05F9"/>
    <w:rsid w:val="54703A7A"/>
    <w:rsid w:val="54704D95"/>
    <w:rsid w:val="54705828"/>
    <w:rsid w:val="54712AD6"/>
    <w:rsid w:val="547143A9"/>
    <w:rsid w:val="54723C7D"/>
    <w:rsid w:val="54726F7A"/>
    <w:rsid w:val="5473551E"/>
    <w:rsid w:val="54745318"/>
    <w:rsid w:val="54754BEC"/>
    <w:rsid w:val="54766D8B"/>
    <w:rsid w:val="5476724D"/>
    <w:rsid w:val="54770D42"/>
    <w:rsid w:val="54773951"/>
    <w:rsid w:val="54774E08"/>
    <w:rsid w:val="54776BB6"/>
    <w:rsid w:val="547773BD"/>
    <w:rsid w:val="547846DC"/>
    <w:rsid w:val="54790B80"/>
    <w:rsid w:val="5479292E"/>
    <w:rsid w:val="54796407"/>
    <w:rsid w:val="547C241E"/>
    <w:rsid w:val="547C4C67"/>
    <w:rsid w:val="547E031E"/>
    <w:rsid w:val="547F05D6"/>
    <w:rsid w:val="547F146C"/>
    <w:rsid w:val="547F1F0F"/>
    <w:rsid w:val="547F3CBD"/>
    <w:rsid w:val="54806D30"/>
    <w:rsid w:val="54813591"/>
    <w:rsid w:val="54815C87"/>
    <w:rsid w:val="548214BE"/>
    <w:rsid w:val="54824278"/>
    <w:rsid w:val="548337AD"/>
    <w:rsid w:val="5483555B"/>
    <w:rsid w:val="54840C23"/>
    <w:rsid w:val="548728E1"/>
    <w:rsid w:val="5487665E"/>
    <w:rsid w:val="5488054C"/>
    <w:rsid w:val="5488491F"/>
    <w:rsid w:val="54893F13"/>
    <w:rsid w:val="548968E9"/>
    <w:rsid w:val="548B2661"/>
    <w:rsid w:val="548B440F"/>
    <w:rsid w:val="548D1E53"/>
    <w:rsid w:val="548E77BA"/>
    <w:rsid w:val="548F23D8"/>
    <w:rsid w:val="548F4E21"/>
    <w:rsid w:val="54905ECA"/>
    <w:rsid w:val="5490618D"/>
    <w:rsid w:val="54907E7D"/>
    <w:rsid w:val="54912EE9"/>
    <w:rsid w:val="549140F9"/>
    <w:rsid w:val="54921C42"/>
    <w:rsid w:val="549254F9"/>
    <w:rsid w:val="54931516"/>
    <w:rsid w:val="54943A2D"/>
    <w:rsid w:val="549459BA"/>
    <w:rsid w:val="5495528E"/>
    <w:rsid w:val="549557E1"/>
    <w:rsid w:val="549577A9"/>
    <w:rsid w:val="54970685"/>
    <w:rsid w:val="54977258"/>
    <w:rsid w:val="54977FF3"/>
    <w:rsid w:val="549902D9"/>
    <w:rsid w:val="54994D7E"/>
    <w:rsid w:val="549A28A4"/>
    <w:rsid w:val="549A540C"/>
    <w:rsid w:val="549A6C21"/>
    <w:rsid w:val="549B303A"/>
    <w:rsid w:val="549B6DCF"/>
    <w:rsid w:val="549C486F"/>
    <w:rsid w:val="549C661D"/>
    <w:rsid w:val="549E05E7"/>
    <w:rsid w:val="549E2395"/>
    <w:rsid w:val="549F610D"/>
    <w:rsid w:val="54A01FF8"/>
    <w:rsid w:val="54A0435F"/>
    <w:rsid w:val="54A13C33"/>
    <w:rsid w:val="54A14421"/>
    <w:rsid w:val="54A22247"/>
    <w:rsid w:val="54A31759"/>
    <w:rsid w:val="54A41F49"/>
    <w:rsid w:val="54A65E6A"/>
    <w:rsid w:val="54A83213"/>
    <w:rsid w:val="54A84FC1"/>
    <w:rsid w:val="54A954D3"/>
    <w:rsid w:val="54AA0D3A"/>
    <w:rsid w:val="54AB2D04"/>
    <w:rsid w:val="54AB4AB2"/>
    <w:rsid w:val="54AB6860"/>
    <w:rsid w:val="54AC059B"/>
    <w:rsid w:val="54AD082A"/>
    <w:rsid w:val="54AD6A7C"/>
    <w:rsid w:val="54AF45A2"/>
    <w:rsid w:val="54AF6350"/>
    <w:rsid w:val="54B0031A"/>
    <w:rsid w:val="54B24092"/>
    <w:rsid w:val="54B30FDA"/>
    <w:rsid w:val="54B440ED"/>
    <w:rsid w:val="54B61B71"/>
    <w:rsid w:val="54B661A1"/>
    <w:rsid w:val="54B75204"/>
    <w:rsid w:val="54B90584"/>
    <w:rsid w:val="54B971CF"/>
    <w:rsid w:val="54BA0CEE"/>
    <w:rsid w:val="54BA16DE"/>
    <w:rsid w:val="54BA77D7"/>
    <w:rsid w:val="54BC3DFF"/>
    <w:rsid w:val="54BD1520"/>
    <w:rsid w:val="54BD2C24"/>
    <w:rsid w:val="54BE47E5"/>
    <w:rsid w:val="54BF230B"/>
    <w:rsid w:val="54C17E31"/>
    <w:rsid w:val="54C21427"/>
    <w:rsid w:val="54C23F02"/>
    <w:rsid w:val="54C32819"/>
    <w:rsid w:val="54C44CF2"/>
    <w:rsid w:val="54C51142"/>
    <w:rsid w:val="54C55B73"/>
    <w:rsid w:val="54C60539"/>
    <w:rsid w:val="54C641E4"/>
    <w:rsid w:val="54C65448"/>
    <w:rsid w:val="54C94F38"/>
    <w:rsid w:val="54C97AC2"/>
    <w:rsid w:val="54CA11A8"/>
    <w:rsid w:val="54CD30CC"/>
    <w:rsid w:val="54D020BF"/>
    <w:rsid w:val="54D04518"/>
    <w:rsid w:val="54D15F1A"/>
    <w:rsid w:val="54D160FA"/>
    <w:rsid w:val="54D23DEC"/>
    <w:rsid w:val="54D41AB2"/>
    <w:rsid w:val="54D47B64"/>
    <w:rsid w:val="54D66933"/>
    <w:rsid w:val="54D67D81"/>
    <w:rsid w:val="54D77655"/>
    <w:rsid w:val="54D85C9F"/>
    <w:rsid w:val="54D933CD"/>
    <w:rsid w:val="54DA7145"/>
    <w:rsid w:val="54DB5397"/>
    <w:rsid w:val="54DC4C6B"/>
    <w:rsid w:val="54DD161B"/>
    <w:rsid w:val="54DE09E3"/>
    <w:rsid w:val="54DE6C35"/>
    <w:rsid w:val="54DF49F5"/>
    <w:rsid w:val="54DF6509"/>
    <w:rsid w:val="54E029C8"/>
    <w:rsid w:val="54E12281"/>
    <w:rsid w:val="54E16725"/>
    <w:rsid w:val="54E16A77"/>
    <w:rsid w:val="54E30A9C"/>
    <w:rsid w:val="54E3249D"/>
    <w:rsid w:val="54E43AFF"/>
    <w:rsid w:val="54E570CA"/>
    <w:rsid w:val="54E57FC4"/>
    <w:rsid w:val="54E67898"/>
    <w:rsid w:val="54E725D7"/>
    <w:rsid w:val="54E7304B"/>
    <w:rsid w:val="54E76A5C"/>
    <w:rsid w:val="54E81862"/>
    <w:rsid w:val="54E87AB4"/>
    <w:rsid w:val="54E970AC"/>
    <w:rsid w:val="54EA310D"/>
    <w:rsid w:val="54EB459D"/>
    <w:rsid w:val="54EB4F57"/>
    <w:rsid w:val="54EC13E4"/>
    <w:rsid w:val="54ED6E78"/>
    <w:rsid w:val="54EE7CCF"/>
    <w:rsid w:val="54EF04CB"/>
    <w:rsid w:val="54F06811"/>
    <w:rsid w:val="54F12915"/>
    <w:rsid w:val="54F17F05"/>
    <w:rsid w:val="54F2189F"/>
    <w:rsid w:val="54F226E1"/>
    <w:rsid w:val="54F230EF"/>
    <w:rsid w:val="54F2448F"/>
    <w:rsid w:val="54F32D2F"/>
    <w:rsid w:val="54F40207"/>
    <w:rsid w:val="54F46459"/>
    <w:rsid w:val="54F67A7F"/>
    <w:rsid w:val="54F75EB1"/>
    <w:rsid w:val="54F77CF7"/>
    <w:rsid w:val="54F975CB"/>
    <w:rsid w:val="54FA14C1"/>
    <w:rsid w:val="54FA3343"/>
    <w:rsid w:val="54FA4BAF"/>
    <w:rsid w:val="54FB26AF"/>
    <w:rsid w:val="54FC70BB"/>
    <w:rsid w:val="54FE1085"/>
    <w:rsid w:val="54FE2E33"/>
    <w:rsid w:val="54FE6FB5"/>
    <w:rsid w:val="54FE72D7"/>
    <w:rsid w:val="54FE7300"/>
    <w:rsid w:val="54FF12D2"/>
    <w:rsid w:val="550055FC"/>
    <w:rsid w:val="55011C65"/>
    <w:rsid w:val="550130E7"/>
    <w:rsid w:val="550146D2"/>
    <w:rsid w:val="55020B76"/>
    <w:rsid w:val="55024293"/>
    <w:rsid w:val="550348EE"/>
    <w:rsid w:val="5503669C"/>
    <w:rsid w:val="55044A0E"/>
    <w:rsid w:val="55050666"/>
    <w:rsid w:val="550541C2"/>
    <w:rsid w:val="55055F70"/>
    <w:rsid w:val="55083C4D"/>
    <w:rsid w:val="55083CB2"/>
    <w:rsid w:val="55085A60"/>
    <w:rsid w:val="55097B6F"/>
    <w:rsid w:val="550A5C7C"/>
    <w:rsid w:val="550A7A2A"/>
    <w:rsid w:val="550B6415"/>
    <w:rsid w:val="550B6998"/>
    <w:rsid w:val="550D6461"/>
    <w:rsid w:val="550D751A"/>
    <w:rsid w:val="550E7937"/>
    <w:rsid w:val="550F2287"/>
    <w:rsid w:val="550F3292"/>
    <w:rsid w:val="550F7948"/>
    <w:rsid w:val="551048CD"/>
    <w:rsid w:val="55117CC4"/>
    <w:rsid w:val="551328CC"/>
    <w:rsid w:val="55132EB9"/>
    <w:rsid w:val="551408A9"/>
    <w:rsid w:val="55142657"/>
    <w:rsid w:val="55161382"/>
    <w:rsid w:val="55162B4D"/>
    <w:rsid w:val="551663CF"/>
    <w:rsid w:val="5517002E"/>
    <w:rsid w:val="5517148C"/>
    <w:rsid w:val="55172147"/>
    <w:rsid w:val="55173141"/>
    <w:rsid w:val="55173EF5"/>
    <w:rsid w:val="55175CA3"/>
    <w:rsid w:val="55191A1B"/>
    <w:rsid w:val="551A3CA4"/>
    <w:rsid w:val="551B1C37"/>
    <w:rsid w:val="551B39E5"/>
    <w:rsid w:val="551B6B59"/>
    <w:rsid w:val="551B73E7"/>
    <w:rsid w:val="551C150B"/>
    <w:rsid w:val="551C7980"/>
    <w:rsid w:val="551D5F9C"/>
    <w:rsid w:val="551E1924"/>
    <w:rsid w:val="551F7839"/>
    <w:rsid w:val="55202DAA"/>
    <w:rsid w:val="5520724E"/>
    <w:rsid w:val="55216B22"/>
    <w:rsid w:val="5522440C"/>
    <w:rsid w:val="55230AEC"/>
    <w:rsid w:val="5523289A"/>
    <w:rsid w:val="55243AC7"/>
    <w:rsid w:val="5524472E"/>
    <w:rsid w:val="55247FE5"/>
    <w:rsid w:val="55254864"/>
    <w:rsid w:val="55256E3A"/>
    <w:rsid w:val="55286102"/>
    <w:rsid w:val="55292DFE"/>
    <w:rsid w:val="552A3C28"/>
    <w:rsid w:val="552A59D6"/>
    <w:rsid w:val="552B585E"/>
    <w:rsid w:val="552C6505"/>
    <w:rsid w:val="552C79A0"/>
    <w:rsid w:val="552C7F06"/>
    <w:rsid w:val="552D54C7"/>
    <w:rsid w:val="552E03B1"/>
    <w:rsid w:val="552F11B7"/>
    <w:rsid w:val="552F123F"/>
    <w:rsid w:val="552F56E3"/>
    <w:rsid w:val="55310940"/>
    <w:rsid w:val="55322ADD"/>
    <w:rsid w:val="55326F81"/>
    <w:rsid w:val="55344AA7"/>
    <w:rsid w:val="55346855"/>
    <w:rsid w:val="5536099C"/>
    <w:rsid w:val="55366A71"/>
    <w:rsid w:val="5539030F"/>
    <w:rsid w:val="553920BD"/>
    <w:rsid w:val="55393E6B"/>
    <w:rsid w:val="553C395C"/>
    <w:rsid w:val="553D1BAE"/>
    <w:rsid w:val="553E2FE6"/>
    <w:rsid w:val="553E4B88"/>
    <w:rsid w:val="553E76D4"/>
    <w:rsid w:val="5540169E"/>
    <w:rsid w:val="5540344C"/>
    <w:rsid w:val="5540593A"/>
    <w:rsid w:val="55416FC1"/>
    <w:rsid w:val="55450A62"/>
    <w:rsid w:val="55456CB4"/>
    <w:rsid w:val="554662A3"/>
    <w:rsid w:val="55474D90"/>
    <w:rsid w:val="55476387"/>
    <w:rsid w:val="55477AC8"/>
    <w:rsid w:val="554A030E"/>
    <w:rsid w:val="554A42CB"/>
    <w:rsid w:val="554A7E27"/>
    <w:rsid w:val="554B48AE"/>
    <w:rsid w:val="554C3B9F"/>
    <w:rsid w:val="554C3CD3"/>
    <w:rsid w:val="554C3EA0"/>
    <w:rsid w:val="554D21F9"/>
    <w:rsid w:val="554D2361"/>
    <w:rsid w:val="554D5B69"/>
    <w:rsid w:val="554D7190"/>
    <w:rsid w:val="554D7917"/>
    <w:rsid w:val="554E3DBB"/>
    <w:rsid w:val="554F0705"/>
    <w:rsid w:val="554F18E1"/>
    <w:rsid w:val="554F7B33"/>
    <w:rsid w:val="555053ED"/>
    <w:rsid w:val="55515473"/>
    <w:rsid w:val="55533D9F"/>
    <w:rsid w:val="55540BE7"/>
    <w:rsid w:val="55540CA5"/>
    <w:rsid w:val="55545149"/>
    <w:rsid w:val="55546EF7"/>
    <w:rsid w:val="55547E52"/>
    <w:rsid w:val="55551024"/>
    <w:rsid w:val="55560EC1"/>
    <w:rsid w:val="55562C6F"/>
    <w:rsid w:val="555667CB"/>
    <w:rsid w:val="55570796"/>
    <w:rsid w:val="55572544"/>
    <w:rsid w:val="55582054"/>
    <w:rsid w:val="555869E7"/>
    <w:rsid w:val="5558730C"/>
    <w:rsid w:val="55592260"/>
    <w:rsid w:val="555962BC"/>
    <w:rsid w:val="555B0286"/>
    <w:rsid w:val="555B64D8"/>
    <w:rsid w:val="555C4695"/>
    <w:rsid w:val="555D2250"/>
    <w:rsid w:val="555D5DAC"/>
    <w:rsid w:val="555E7D76"/>
    <w:rsid w:val="5560589C"/>
    <w:rsid w:val="5560764A"/>
    <w:rsid w:val="55620BB0"/>
    <w:rsid w:val="55627866"/>
    <w:rsid w:val="55630EE8"/>
    <w:rsid w:val="55670386"/>
    <w:rsid w:val="55672065"/>
    <w:rsid w:val="55675ABE"/>
    <w:rsid w:val="55684AE1"/>
    <w:rsid w:val="55690291"/>
    <w:rsid w:val="55695E7F"/>
    <w:rsid w:val="556A141A"/>
    <w:rsid w:val="556C2493"/>
    <w:rsid w:val="556C4241"/>
    <w:rsid w:val="556C5FEF"/>
    <w:rsid w:val="556D2F6A"/>
    <w:rsid w:val="556E2C73"/>
    <w:rsid w:val="556E620B"/>
    <w:rsid w:val="556F2587"/>
    <w:rsid w:val="5570126F"/>
    <w:rsid w:val="557032EB"/>
    <w:rsid w:val="55711857"/>
    <w:rsid w:val="55733F14"/>
    <w:rsid w:val="55753650"/>
    <w:rsid w:val="55764176"/>
    <w:rsid w:val="55766EAF"/>
    <w:rsid w:val="557673CF"/>
    <w:rsid w:val="55774994"/>
    <w:rsid w:val="557758A3"/>
    <w:rsid w:val="55775D97"/>
    <w:rsid w:val="55780E38"/>
    <w:rsid w:val="557830EE"/>
    <w:rsid w:val="55796E0E"/>
    <w:rsid w:val="557A5F2D"/>
    <w:rsid w:val="557B0928"/>
    <w:rsid w:val="557B26D6"/>
    <w:rsid w:val="557B4484"/>
    <w:rsid w:val="557B6DFF"/>
    <w:rsid w:val="557D644E"/>
    <w:rsid w:val="557E2768"/>
    <w:rsid w:val="557E2AFD"/>
    <w:rsid w:val="558077B3"/>
    <w:rsid w:val="55813190"/>
    <w:rsid w:val="55821CB6"/>
    <w:rsid w:val="55822F4A"/>
    <w:rsid w:val="558247D6"/>
    <w:rsid w:val="55825812"/>
    <w:rsid w:val="558275C0"/>
    <w:rsid w:val="558406BE"/>
    <w:rsid w:val="558419F7"/>
    <w:rsid w:val="558452D9"/>
    <w:rsid w:val="558570B1"/>
    <w:rsid w:val="55870DF5"/>
    <w:rsid w:val="55872E29"/>
    <w:rsid w:val="55872F90"/>
    <w:rsid w:val="55880534"/>
    <w:rsid w:val="55881A83"/>
    <w:rsid w:val="558863EB"/>
    <w:rsid w:val="55886BA1"/>
    <w:rsid w:val="55894DF3"/>
    <w:rsid w:val="55895936"/>
    <w:rsid w:val="558A0B6B"/>
    <w:rsid w:val="558A69D1"/>
    <w:rsid w:val="558C48E3"/>
    <w:rsid w:val="558C6022"/>
    <w:rsid w:val="558C6567"/>
    <w:rsid w:val="558C6691"/>
    <w:rsid w:val="558C6CBB"/>
    <w:rsid w:val="558D41B7"/>
    <w:rsid w:val="558F1CDD"/>
    <w:rsid w:val="558F6181"/>
    <w:rsid w:val="558F7F2F"/>
    <w:rsid w:val="55924A60"/>
    <w:rsid w:val="55936679"/>
    <w:rsid w:val="55937A20"/>
    <w:rsid w:val="559430BC"/>
    <w:rsid w:val="5594498E"/>
    <w:rsid w:val="559519EA"/>
    <w:rsid w:val="5595215A"/>
    <w:rsid w:val="55957278"/>
    <w:rsid w:val="5596306C"/>
    <w:rsid w:val="55974979"/>
    <w:rsid w:val="55975327"/>
    <w:rsid w:val="55980A4A"/>
    <w:rsid w:val="55987982"/>
    <w:rsid w:val="559902D6"/>
    <w:rsid w:val="55990403"/>
    <w:rsid w:val="559A0800"/>
    <w:rsid w:val="559B1C90"/>
    <w:rsid w:val="559B3410"/>
    <w:rsid w:val="559D089E"/>
    <w:rsid w:val="559F348B"/>
    <w:rsid w:val="55A0038E"/>
    <w:rsid w:val="55A03EEB"/>
    <w:rsid w:val="55A25F6F"/>
    <w:rsid w:val="55A334C5"/>
    <w:rsid w:val="55A33A22"/>
    <w:rsid w:val="55A439DB"/>
    <w:rsid w:val="55A47054"/>
    <w:rsid w:val="55A51501"/>
    <w:rsid w:val="55A55633"/>
    <w:rsid w:val="55A66DA3"/>
    <w:rsid w:val="55A76179"/>
    <w:rsid w:val="55AA246D"/>
    <w:rsid w:val="55AC288F"/>
    <w:rsid w:val="55AC40A5"/>
    <w:rsid w:val="55AC6D33"/>
    <w:rsid w:val="55AD03B6"/>
    <w:rsid w:val="55AD3F41"/>
    <w:rsid w:val="55AE4859"/>
    <w:rsid w:val="55AF3FB4"/>
    <w:rsid w:val="55B13EB6"/>
    <w:rsid w:val="55B160F8"/>
    <w:rsid w:val="55B17EA6"/>
    <w:rsid w:val="55B27F17"/>
    <w:rsid w:val="55B42837"/>
    <w:rsid w:val="55B43F78"/>
    <w:rsid w:val="55B47996"/>
    <w:rsid w:val="55B55D4B"/>
    <w:rsid w:val="55B57FD9"/>
    <w:rsid w:val="55B61469"/>
    <w:rsid w:val="55B61960"/>
    <w:rsid w:val="55B80E40"/>
    <w:rsid w:val="55B86344"/>
    <w:rsid w:val="55B932BC"/>
    <w:rsid w:val="55B94FAC"/>
    <w:rsid w:val="55BB0D24"/>
    <w:rsid w:val="55BB6F76"/>
    <w:rsid w:val="55BD502A"/>
    <w:rsid w:val="55BE25C3"/>
    <w:rsid w:val="55BF0C96"/>
    <w:rsid w:val="55BF2BBE"/>
    <w:rsid w:val="55BF6A67"/>
    <w:rsid w:val="55C0251B"/>
    <w:rsid w:val="55C0633B"/>
    <w:rsid w:val="55C126C9"/>
    <w:rsid w:val="55C139AB"/>
    <w:rsid w:val="55C37BD9"/>
    <w:rsid w:val="55C41174"/>
    <w:rsid w:val="55C41572"/>
    <w:rsid w:val="55C43A6D"/>
    <w:rsid w:val="55C4407D"/>
    <w:rsid w:val="55C51BA3"/>
    <w:rsid w:val="55C65450"/>
    <w:rsid w:val="55C71477"/>
    <w:rsid w:val="55C73B6D"/>
    <w:rsid w:val="55C7591B"/>
    <w:rsid w:val="55C776C9"/>
    <w:rsid w:val="55C86EE6"/>
    <w:rsid w:val="55C951EF"/>
    <w:rsid w:val="55C96947"/>
    <w:rsid w:val="55C97B23"/>
    <w:rsid w:val="55CA0F67"/>
    <w:rsid w:val="55CA71B9"/>
    <w:rsid w:val="55CB540B"/>
    <w:rsid w:val="55CB762E"/>
    <w:rsid w:val="55CC4CE0"/>
    <w:rsid w:val="55CE0A58"/>
    <w:rsid w:val="55CE3C8F"/>
    <w:rsid w:val="55CE54C3"/>
    <w:rsid w:val="55D00130"/>
    <w:rsid w:val="55D16071"/>
    <w:rsid w:val="55D1679A"/>
    <w:rsid w:val="55D23B8E"/>
    <w:rsid w:val="55D31AE7"/>
    <w:rsid w:val="55D32512"/>
    <w:rsid w:val="55D33BEB"/>
    <w:rsid w:val="55D3606E"/>
    <w:rsid w:val="55D532B1"/>
    <w:rsid w:val="55D54324"/>
    <w:rsid w:val="55D55E82"/>
    <w:rsid w:val="55D63DB0"/>
    <w:rsid w:val="55D63E9F"/>
    <w:rsid w:val="55D83684"/>
    <w:rsid w:val="55D911AB"/>
    <w:rsid w:val="55D923DF"/>
    <w:rsid w:val="55D93ED6"/>
    <w:rsid w:val="55DA17B2"/>
    <w:rsid w:val="55DB3175"/>
    <w:rsid w:val="55DB4F23"/>
    <w:rsid w:val="55DC5D13"/>
    <w:rsid w:val="55DD28E5"/>
    <w:rsid w:val="55DD366F"/>
    <w:rsid w:val="55DD4614"/>
    <w:rsid w:val="55DD513F"/>
    <w:rsid w:val="55DF2C65"/>
    <w:rsid w:val="55DF4A13"/>
    <w:rsid w:val="55E069DD"/>
    <w:rsid w:val="55E22755"/>
    <w:rsid w:val="55E603C7"/>
    <w:rsid w:val="55E6629F"/>
    <w:rsid w:val="55E70851"/>
    <w:rsid w:val="55E874E3"/>
    <w:rsid w:val="55EA1ACA"/>
    <w:rsid w:val="55EA1FEA"/>
    <w:rsid w:val="55EA4B8F"/>
    <w:rsid w:val="55EB6C18"/>
    <w:rsid w:val="55EC2C79"/>
    <w:rsid w:val="55EC7130"/>
    <w:rsid w:val="55EE10FA"/>
    <w:rsid w:val="55EF6A29"/>
    <w:rsid w:val="55F04E72"/>
    <w:rsid w:val="55F4210E"/>
    <w:rsid w:val="55F53391"/>
    <w:rsid w:val="55F710B6"/>
    <w:rsid w:val="55F7664B"/>
    <w:rsid w:val="55FA0757"/>
    <w:rsid w:val="55FA157E"/>
    <w:rsid w:val="55FA49FF"/>
    <w:rsid w:val="55FA7A9F"/>
    <w:rsid w:val="55FB2FC0"/>
    <w:rsid w:val="55FC102D"/>
    <w:rsid w:val="55FC732F"/>
    <w:rsid w:val="55FD133D"/>
    <w:rsid w:val="55FD24BD"/>
    <w:rsid w:val="55FD3351"/>
    <w:rsid w:val="55FD758F"/>
    <w:rsid w:val="55FF50B5"/>
    <w:rsid w:val="56002BDB"/>
    <w:rsid w:val="56010E2D"/>
    <w:rsid w:val="56013A0F"/>
    <w:rsid w:val="56016176"/>
    <w:rsid w:val="56024BA5"/>
    <w:rsid w:val="56026953"/>
    <w:rsid w:val="56051B89"/>
    <w:rsid w:val="56051FA0"/>
    <w:rsid w:val="560528C8"/>
    <w:rsid w:val="56064481"/>
    <w:rsid w:val="56071385"/>
    <w:rsid w:val="56091A90"/>
    <w:rsid w:val="560A5808"/>
    <w:rsid w:val="560C1580"/>
    <w:rsid w:val="560C5F51"/>
    <w:rsid w:val="560D6BFD"/>
    <w:rsid w:val="560E3442"/>
    <w:rsid w:val="560E4B83"/>
    <w:rsid w:val="560E52F8"/>
    <w:rsid w:val="56101070"/>
    <w:rsid w:val="56102E1E"/>
    <w:rsid w:val="56114DE8"/>
    <w:rsid w:val="56116B96"/>
    <w:rsid w:val="561315FA"/>
    <w:rsid w:val="561346BC"/>
    <w:rsid w:val="56142799"/>
    <w:rsid w:val="561462A0"/>
    <w:rsid w:val="56147150"/>
    <w:rsid w:val="56150435"/>
    <w:rsid w:val="56151937"/>
    <w:rsid w:val="56151E85"/>
    <w:rsid w:val="56153315"/>
    <w:rsid w:val="561623FF"/>
    <w:rsid w:val="56170651"/>
    <w:rsid w:val="56172CD4"/>
    <w:rsid w:val="561843C9"/>
    <w:rsid w:val="56186177"/>
    <w:rsid w:val="561870C5"/>
    <w:rsid w:val="561A1EEF"/>
    <w:rsid w:val="561A2517"/>
    <w:rsid w:val="561A3126"/>
    <w:rsid w:val="561A3C9D"/>
    <w:rsid w:val="561B62CF"/>
    <w:rsid w:val="561B7187"/>
    <w:rsid w:val="561B7A15"/>
    <w:rsid w:val="561C5C67"/>
    <w:rsid w:val="561F12B3"/>
    <w:rsid w:val="561F3061"/>
    <w:rsid w:val="561F5757"/>
    <w:rsid w:val="561F5791"/>
    <w:rsid w:val="56207055"/>
    <w:rsid w:val="56207E09"/>
    <w:rsid w:val="5621327D"/>
    <w:rsid w:val="56216FDE"/>
    <w:rsid w:val="5622196D"/>
    <w:rsid w:val="56222B52"/>
    <w:rsid w:val="5623032F"/>
    <w:rsid w:val="56242E47"/>
    <w:rsid w:val="56246DA9"/>
    <w:rsid w:val="56252E0A"/>
    <w:rsid w:val="56256C57"/>
    <w:rsid w:val="56261649"/>
    <w:rsid w:val="56261924"/>
    <w:rsid w:val="5626429A"/>
    <w:rsid w:val="5627460C"/>
    <w:rsid w:val="562844EA"/>
    <w:rsid w:val="56290E65"/>
    <w:rsid w:val="562B2188"/>
    <w:rsid w:val="562B40FC"/>
    <w:rsid w:val="562B4FD7"/>
    <w:rsid w:val="562C577E"/>
    <w:rsid w:val="562D36CD"/>
    <w:rsid w:val="562D75CC"/>
    <w:rsid w:val="562E47C4"/>
    <w:rsid w:val="563020EB"/>
    <w:rsid w:val="56324A12"/>
    <w:rsid w:val="56325B45"/>
    <w:rsid w:val="56327C6C"/>
    <w:rsid w:val="56332FB1"/>
    <w:rsid w:val="56334D5F"/>
    <w:rsid w:val="563401F5"/>
    <w:rsid w:val="56342B6B"/>
    <w:rsid w:val="56362950"/>
    <w:rsid w:val="56364FE3"/>
    <w:rsid w:val="563665FD"/>
    <w:rsid w:val="5637484F"/>
    <w:rsid w:val="56382375"/>
    <w:rsid w:val="56383ADE"/>
    <w:rsid w:val="563A433F"/>
    <w:rsid w:val="563A5953"/>
    <w:rsid w:val="563A7F05"/>
    <w:rsid w:val="563B3C13"/>
    <w:rsid w:val="563C00B7"/>
    <w:rsid w:val="563C1E65"/>
    <w:rsid w:val="563C5E10"/>
    <w:rsid w:val="563D0A12"/>
    <w:rsid w:val="563D3E2F"/>
    <w:rsid w:val="563E1843"/>
    <w:rsid w:val="563F3703"/>
    <w:rsid w:val="5640122A"/>
    <w:rsid w:val="564072D8"/>
    <w:rsid w:val="564104D7"/>
    <w:rsid w:val="56414794"/>
    <w:rsid w:val="564156CE"/>
    <w:rsid w:val="564231F4"/>
    <w:rsid w:val="564252E7"/>
    <w:rsid w:val="56431446"/>
    <w:rsid w:val="564337C1"/>
    <w:rsid w:val="564362A7"/>
    <w:rsid w:val="56436909"/>
    <w:rsid w:val="56454369"/>
    <w:rsid w:val="56471A24"/>
    <w:rsid w:val="564725B8"/>
    <w:rsid w:val="56476712"/>
    <w:rsid w:val="56486A5C"/>
    <w:rsid w:val="56487BCA"/>
    <w:rsid w:val="564A2233"/>
    <w:rsid w:val="564B20A8"/>
    <w:rsid w:val="564B3E56"/>
    <w:rsid w:val="564B4B24"/>
    <w:rsid w:val="564B654C"/>
    <w:rsid w:val="564C1730"/>
    <w:rsid w:val="564C5E20"/>
    <w:rsid w:val="564C7BCE"/>
    <w:rsid w:val="564E516E"/>
    <w:rsid w:val="564F1DEA"/>
    <w:rsid w:val="564F3FC5"/>
    <w:rsid w:val="564F65B2"/>
    <w:rsid w:val="565020BD"/>
    <w:rsid w:val="565076BF"/>
    <w:rsid w:val="56513437"/>
    <w:rsid w:val="5652111E"/>
    <w:rsid w:val="565261F0"/>
    <w:rsid w:val="5654086B"/>
    <w:rsid w:val="56551179"/>
    <w:rsid w:val="565726DE"/>
    <w:rsid w:val="56574EF1"/>
    <w:rsid w:val="565935D3"/>
    <w:rsid w:val="565A22EB"/>
    <w:rsid w:val="565C2507"/>
    <w:rsid w:val="565C7750"/>
    <w:rsid w:val="565D002E"/>
    <w:rsid w:val="565D1DDC"/>
    <w:rsid w:val="565D3B8A"/>
    <w:rsid w:val="565D6866"/>
    <w:rsid w:val="565D69C2"/>
    <w:rsid w:val="565E03C9"/>
    <w:rsid w:val="565E627F"/>
    <w:rsid w:val="56600477"/>
    <w:rsid w:val="5661367A"/>
    <w:rsid w:val="56617B1E"/>
    <w:rsid w:val="56625644"/>
    <w:rsid w:val="56630E61"/>
    <w:rsid w:val="5663344E"/>
    <w:rsid w:val="5663384B"/>
    <w:rsid w:val="56637A98"/>
    <w:rsid w:val="566409BC"/>
    <w:rsid w:val="56644F18"/>
    <w:rsid w:val="56660C90"/>
    <w:rsid w:val="5666669C"/>
    <w:rsid w:val="56682A42"/>
    <w:rsid w:val="56690780"/>
    <w:rsid w:val="566A53D4"/>
    <w:rsid w:val="566B274A"/>
    <w:rsid w:val="566B62A7"/>
    <w:rsid w:val="566D64C3"/>
    <w:rsid w:val="566E3FE9"/>
    <w:rsid w:val="567027DE"/>
    <w:rsid w:val="56717635"/>
    <w:rsid w:val="56725173"/>
    <w:rsid w:val="56725887"/>
    <w:rsid w:val="567425EF"/>
    <w:rsid w:val="5675326A"/>
    <w:rsid w:val="56757125"/>
    <w:rsid w:val="56764C4B"/>
    <w:rsid w:val="56772050"/>
    <w:rsid w:val="56776717"/>
    <w:rsid w:val="56783B41"/>
    <w:rsid w:val="56794425"/>
    <w:rsid w:val="567A298E"/>
    <w:rsid w:val="567A32F2"/>
    <w:rsid w:val="567C4958"/>
    <w:rsid w:val="567D09F9"/>
    <w:rsid w:val="567D13ED"/>
    <w:rsid w:val="567D6779"/>
    <w:rsid w:val="567E247E"/>
    <w:rsid w:val="567E25C8"/>
    <w:rsid w:val="567F3662"/>
    <w:rsid w:val="567F3FA3"/>
    <w:rsid w:val="567F7702"/>
    <w:rsid w:val="568020DA"/>
    <w:rsid w:val="56813D1C"/>
    <w:rsid w:val="56817CC4"/>
    <w:rsid w:val="56821842"/>
    <w:rsid w:val="56824C54"/>
    <w:rsid w:val="568257E9"/>
    <w:rsid w:val="568355EC"/>
    <w:rsid w:val="56835CE6"/>
    <w:rsid w:val="5684380C"/>
    <w:rsid w:val="56850695"/>
    <w:rsid w:val="56867584"/>
    <w:rsid w:val="56874EEC"/>
    <w:rsid w:val="568850AA"/>
    <w:rsid w:val="56893385"/>
    <w:rsid w:val="568A3285"/>
    <w:rsid w:val="568B3577"/>
    <w:rsid w:val="568C3447"/>
    <w:rsid w:val="568C61B3"/>
    <w:rsid w:val="568D26C1"/>
    <w:rsid w:val="568E01E7"/>
    <w:rsid w:val="56905162"/>
    <w:rsid w:val="56905D0D"/>
    <w:rsid w:val="56910218"/>
    <w:rsid w:val="56912D78"/>
    <w:rsid w:val="56934914"/>
    <w:rsid w:val="56943C58"/>
    <w:rsid w:val="569644F9"/>
    <w:rsid w:val="56966F51"/>
    <w:rsid w:val="56982E14"/>
    <w:rsid w:val="569907B4"/>
    <w:rsid w:val="569B27F1"/>
    <w:rsid w:val="569B564E"/>
    <w:rsid w:val="569C0B56"/>
    <w:rsid w:val="569D24F0"/>
    <w:rsid w:val="569D3256"/>
    <w:rsid w:val="569D33D7"/>
    <w:rsid w:val="569E2D22"/>
    <w:rsid w:val="569F71AC"/>
    <w:rsid w:val="56A0017C"/>
    <w:rsid w:val="56A01A91"/>
    <w:rsid w:val="56A1421F"/>
    <w:rsid w:val="56A143BE"/>
    <w:rsid w:val="56A1616C"/>
    <w:rsid w:val="56A40B08"/>
    <w:rsid w:val="56A416CE"/>
    <w:rsid w:val="56A45D9B"/>
    <w:rsid w:val="56A47591"/>
    <w:rsid w:val="56A47F8D"/>
    <w:rsid w:val="56A512E3"/>
    <w:rsid w:val="56A60C3B"/>
    <w:rsid w:val="56A63783"/>
    <w:rsid w:val="56A63FEE"/>
    <w:rsid w:val="56A812A9"/>
    <w:rsid w:val="56A9296F"/>
    <w:rsid w:val="56A92999"/>
    <w:rsid w:val="56A93273"/>
    <w:rsid w:val="56A9689B"/>
    <w:rsid w:val="56A96DCF"/>
    <w:rsid w:val="56AA54C3"/>
    <w:rsid w:val="56AA5540"/>
    <w:rsid w:val="56AC4E61"/>
    <w:rsid w:val="56AD2D63"/>
    <w:rsid w:val="56AF02AF"/>
    <w:rsid w:val="56AF1DF3"/>
    <w:rsid w:val="56AF6ADB"/>
    <w:rsid w:val="56B063AF"/>
    <w:rsid w:val="56B12842"/>
    <w:rsid w:val="56B22127"/>
    <w:rsid w:val="56B31269"/>
    <w:rsid w:val="56B343E9"/>
    <w:rsid w:val="56B3783F"/>
    <w:rsid w:val="56B40859"/>
    <w:rsid w:val="56B50FD5"/>
    <w:rsid w:val="56B569A0"/>
    <w:rsid w:val="56B60E3F"/>
    <w:rsid w:val="56B714EC"/>
    <w:rsid w:val="56B82F1D"/>
    <w:rsid w:val="56B87C33"/>
    <w:rsid w:val="56B91708"/>
    <w:rsid w:val="56B92464"/>
    <w:rsid w:val="56B934B6"/>
    <w:rsid w:val="56B9437F"/>
    <w:rsid w:val="56B948C3"/>
    <w:rsid w:val="56BA722E"/>
    <w:rsid w:val="56BC4D54"/>
    <w:rsid w:val="56BE3705"/>
    <w:rsid w:val="56BE5ABA"/>
    <w:rsid w:val="56C105BC"/>
    <w:rsid w:val="56C1236A"/>
    <w:rsid w:val="56C1680E"/>
    <w:rsid w:val="56C35564"/>
    <w:rsid w:val="56C365FF"/>
    <w:rsid w:val="56C412D4"/>
    <w:rsid w:val="56C5170D"/>
    <w:rsid w:val="56C562EE"/>
    <w:rsid w:val="56C634EA"/>
    <w:rsid w:val="56C65BD3"/>
    <w:rsid w:val="56C708EE"/>
    <w:rsid w:val="56C854A7"/>
    <w:rsid w:val="56C87B9D"/>
    <w:rsid w:val="56C9121F"/>
    <w:rsid w:val="56CA1503"/>
    <w:rsid w:val="56CB31E9"/>
    <w:rsid w:val="56CB4F97"/>
    <w:rsid w:val="56CC6529"/>
    <w:rsid w:val="56CD4547"/>
    <w:rsid w:val="56CF38C8"/>
    <w:rsid w:val="56CF4BF3"/>
    <w:rsid w:val="56D05C0F"/>
    <w:rsid w:val="56D06A51"/>
    <w:rsid w:val="56D2766B"/>
    <w:rsid w:val="56D34B79"/>
    <w:rsid w:val="56D402F0"/>
    <w:rsid w:val="56D44A78"/>
    <w:rsid w:val="56D45B12"/>
    <w:rsid w:val="56D4614A"/>
    <w:rsid w:val="56D461E8"/>
    <w:rsid w:val="56D5630D"/>
    <w:rsid w:val="56D75103"/>
    <w:rsid w:val="56D842AC"/>
    <w:rsid w:val="56DA342C"/>
    <w:rsid w:val="56DC71A4"/>
    <w:rsid w:val="56DC7E7E"/>
    <w:rsid w:val="56DE116E"/>
    <w:rsid w:val="56DF6C95"/>
    <w:rsid w:val="56E04C87"/>
    <w:rsid w:val="56E10C5F"/>
    <w:rsid w:val="56E12653"/>
    <w:rsid w:val="56E12A0D"/>
    <w:rsid w:val="56E147BB"/>
    <w:rsid w:val="56E21670"/>
    <w:rsid w:val="56E25826"/>
    <w:rsid w:val="56E46059"/>
    <w:rsid w:val="56E54DF2"/>
    <w:rsid w:val="56E568B0"/>
    <w:rsid w:val="56E60023"/>
    <w:rsid w:val="56E7079F"/>
    <w:rsid w:val="56E7207C"/>
    <w:rsid w:val="56E7574A"/>
    <w:rsid w:val="56EA18C1"/>
    <w:rsid w:val="56EA50D6"/>
    <w:rsid w:val="56ED514D"/>
    <w:rsid w:val="56EE0C86"/>
    <w:rsid w:val="56EE791E"/>
    <w:rsid w:val="56EE7C13"/>
    <w:rsid w:val="56EF6ED8"/>
    <w:rsid w:val="56F05BA9"/>
    <w:rsid w:val="56F125AB"/>
    <w:rsid w:val="56F13D8B"/>
    <w:rsid w:val="56F2200F"/>
    <w:rsid w:val="56F24C1A"/>
    <w:rsid w:val="56F272FF"/>
    <w:rsid w:val="56F40992"/>
    <w:rsid w:val="56F50266"/>
    <w:rsid w:val="56F52014"/>
    <w:rsid w:val="56F61952"/>
    <w:rsid w:val="56F70624"/>
    <w:rsid w:val="56F829CF"/>
    <w:rsid w:val="56F83CE7"/>
    <w:rsid w:val="56F91B04"/>
    <w:rsid w:val="56FA180D"/>
    <w:rsid w:val="56FA587C"/>
    <w:rsid w:val="56FB238A"/>
    <w:rsid w:val="56FB6718"/>
    <w:rsid w:val="56FD2433"/>
    <w:rsid w:val="56FE28A5"/>
    <w:rsid w:val="56FE5BA9"/>
    <w:rsid w:val="56FE711B"/>
    <w:rsid w:val="56FF0E45"/>
    <w:rsid w:val="56FF2E93"/>
    <w:rsid w:val="5700148F"/>
    <w:rsid w:val="57007337"/>
    <w:rsid w:val="570078FE"/>
    <w:rsid w:val="57007C70"/>
    <w:rsid w:val="570109B9"/>
    <w:rsid w:val="570235A6"/>
    <w:rsid w:val="57033782"/>
    <w:rsid w:val="57050FA0"/>
    <w:rsid w:val="57053759"/>
    <w:rsid w:val="5705494D"/>
    <w:rsid w:val="57055C0C"/>
    <w:rsid w:val="57056B8A"/>
    <w:rsid w:val="57060A6B"/>
    <w:rsid w:val="570628D9"/>
    <w:rsid w:val="57080108"/>
    <w:rsid w:val="57081D47"/>
    <w:rsid w:val="5709258B"/>
    <w:rsid w:val="570A13C8"/>
    <w:rsid w:val="570A1F63"/>
    <w:rsid w:val="570A3D11"/>
    <w:rsid w:val="570A5121"/>
    <w:rsid w:val="570B1838"/>
    <w:rsid w:val="570C6016"/>
    <w:rsid w:val="570D067D"/>
    <w:rsid w:val="570D2E66"/>
    <w:rsid w:val="570D3802"/>
    <w:rsid w:val="570D55B0"/>
    <w:rsid w:val="570D735E"/>
    <w:rsid w:val="570E5ABC"/>
    <w:rsid w:val="570F1328"/>
    <w:rsid w:val="57122BC6"/>
    <w:rsid w:val="57126A22"/>
    <w:rsid w:val="5712706A"/>
    <w:rsid w:val="5713049E"/>
    <w:rsid w:val="57132F6C"/>
    <w:rsid w:val="57136356"/>
    <w:rsid w:val="57144B90"/>
    <w:rsid w:val="571526B6"/>
    <w:rsid w:val="5715750F"/>
    <w:rsid w:val="5717642E"/>
    <w:rsid w:val="57182E80"/>
    <w:rsid w:val="57183B71"/>
    <w:rsid w:val="571921A6"/>
    <w:rsid w:val="571A1C2F"/>
    <w:rsid w:val="571B5F1F"/>
    <w:rsid w:val="571B7CAB"/>
    <w:rsid w:val="571C5DB6"/>
    <w:rsid w:val="571D1821"/>
    <w:rsid w:val="571D7026"/>
    <w:rsid w:val="571E5A0F"/>
    <w:rsid w:val="571F6A41"/>
    <w:rsid w:val="57201787"/>
    <w:rsid w:val="57226B03"/>
    <w:rsid w:val="57231423"/>
    <w:rsid w:val="57243623"/>
    <w:rsid w:val="57246870"/>
    <w:rsid w:val="5724766C"/>
    <w:rsid w:val="57250B4B"/>
    <w:rsid w:val="572528F9"/>
    <w:rsid w:val="5726041F"/>
    <w:rsid w:val="57266671"/>
    <w:rsid w:val="572728F4"/>
    <w:rsid w:val="5728063B"/>
    <w:rsid w:val="57283AD9"/>
    <w:rsid w:val="572877F3"/>
    <w:rsid w:val="57294EB1"/>
    <w:rsid w:val="572A6162"/>
    <w:rsid w:val="572B1A69"/>
    <w:rsid w:val="572C6604"/>
    <w:rsid w:val="572D0332"/>
    <w:rsid w:val="572D7A00"/>
    <w:rsid w:val="573050F9"/>
    <w:rsid w:val="573053BE"/>
    <w:rsid w:val="57311260"/>
    <w:rsid w:val="57313A27"/>
    <w:rsid w:val="57315742"/>
    <w:rsid w:val="573174F0"/>
    <w:rsid w:val="5732516C"/>
    <w:rsid w:val="573260AD"/>
    <w:rsid w:val="573568B4"/>
    <w:rsid w:val="57367CA1"/>
    <w:rsid w:val="57370226"/>
    <w:rsid w:val="5737087F"/>
    <w:rsid w:val="57371CB3"/>
    <w:rsid w:val="573945F7"/>
    <w:rsid w:val="573973D3"/>
    <w:rsid w:val="573A1A99"/>
    <w:rsid w:val="573A3649"/>
    <w:rsid w:val="573C5E95"/>
    <w:rsid w:val="573C7C43"/>
    <w:rsid w:val="573E1C0D"/>
    <w:rsid w:val="573E39BB"/>
    <w:rsid w:val="573E401C"/>
    <w:rsid w:val="573F0E1D"/>
    <w:rsid w:val="573F64CA"/>
    <w:rsid w:val="574014E1"/>
    <w:rsid w:val="57401AE5"/>
    <w:rsid w:val="57405985"/>
    <w:rsid w:val="57407733"/>
    <w:rsid w:val="57411DA0"/>
    <w:rsid w:val="57411FD4"/>
    <w:rsid w:val="57415259"/>
    <w:rsid w:val="57422CCA"/>
    <w:rsid w:val="57427BEF"/>
    <w:rsid w:val="57430FD1"/>
    <w:rsid w:val="57435475"/>
    <w:rsid w:val="57452F9B"/>
    <w:rsid w:val="57456FAF"/>
    <w:rsid w:val="57475C4D"/>
    <w:rsid w:val="57476D14"/>
    <w:rsid w:val="5747738E"/>
    <w:rsid w:val="5748205D"/>
    <w:rsid w:val="5748483A"/>
    <w:rsid w:val="574968F3"/>
    <w:rsid w:val="57497CEB"/>
    <w:rsid w:val="574A05B2"/>
    <w:rsid w:val="574A5D0F"/>
    <w:rsid w:val="574A7E69"/>
    <w:rsid w:val="574B28E6"/>
    <w:rsid w:val="574B6FB9"/>
    <w:rsid w:val="574C181D"/>
    <w:rsid w:val="574C432A"/>
    <w:rsid w:val="574E5B20"/>
    <w:rsid w:val="574F0FBE"/>
    <w:rsid w:val="574F6FB0"/>
    <w:rsid w:val="574F7976"/>
    <w:rsid w:val="57521214"/>
    <w:rsid w:val="57523957"/>
    <w:rsid w:val="57527466"/>
    <w:rsid w:val="5753390A"/>
    <w:rsid w:val="575431DF"/>
    <w:rsid w:val="57544F8D"/>
    <w:rsid w:val="57554DCE"/>
    <w:rsid w:val="5755526F"/>
    <w:rsid w:val="57560D05"/>
    <w:rsid w:val="575612E0"/>
    <w:rsid w:val="57566F57"/>
    <w:rsid w:val="57574A7D"/>
    <w:rsid w:val="57580F21"/>
    <w:rsid w:val="57585255"/>
    <w:rsid w:val="575878CD"/>
    <w:rsid w:val="575907F5"/>
    <w:rsid w:val="575A40C3"/>
    <w:rsid w:val="575B27BF"/>
    <w:rsid w:val="575B464F"/>
    <w:rsid w:val="575C0FA3"/>
    <w:rsid w:val="575C2093"/>
    <w:rsid w:val="575C5ED5"/>
    <w:rsid w:val="575C792F"/>
    <w:rsid w:val="575E22AF"/>
    <w:rsid w:val="575E2A44"/>
    <w:rsid w:val="575E5E0B"/>
    <w:rsid w:val="57601B83"/>
    <w:rsid w:val="576158FB"/>
    <w:rsid w:val="57620717"/>
    <w:rsid w:val="57622920"/>
    <w:rsid w:val="57623B4D"/>
    <w:rsid w:val="576461D9"/>
    <w:rsid w:val="5765363E"/>
    <w:rsid w:val="576553EC"/>
    <w:rsid w:val="5765719A"/>
    <w:rsid w:val="57661D87"/>
    <w:rsid w:val="576645CF"/>
    <w:rsid w:val="5766760F"/>
    <w:rsid w:val="57671164"/>
    <w:rsid w:val="57672F12"/>
    <w:rsid w:val="57692728"/>
    <w:rsid w:val="576A0C54"/>
    <w:rsid w:val="576A5ED1"/>
    <w:rsid w:val="576B44BD"/>
    <w:rsid w:val="576B6BC4"/>
    <w:rsid w:val="576C64D8"/>
    <w:rsid w:val="576C677A"/>
    <w:rsid w:val="576F0018"/>
    <w:rsid w:val="576F2224"/>
    <w:rsid w:val="576F768B"/>
    <w:rsid w:val="57707082"/>
    <w:rsid w:val="57715B3F"/>
    <w:rsid w:val="57721714"/>
    <w:rsid w:val="577218B7"/>
    <w:rsid w:val="57723665"/>
    <w:rsid w:val="57723E6B"/>
    <w:rsid w:val="577337DA"/>
    <w:rsid w:val="57744C6A"/>
    <w:rsid w:val="57747180"/>
    <w:rsid w:val="57757095"/>
    <w:rsid w:val="5776389C"/>
    <w:rsid w:val="57765BE6"/>
    <w:rsid w:val="577675F9"/>
    <w:rsid w:val="57770C7B"/>
    <w:rsid w:val="57773108"/>
    <w:rsid w:val="57776ECD"/>
    <w:rsid w:val="57792C45"/>
    <w:rsid w:val="57795962"/>
    <w:rsid w:val="577A0392"/>
    <w:rsid w:val="577B69BD"/>
    <w:rsid w:val="577C3AC8"/>
    <w:rsid w:val="577D0987"/>
    <w:rsid w:val="577D6AFD"/>
    <w:rsid w:val="577F24AA"/>
    <w:rsid w:val="577F432C"/>
    <w:rsid w:val="577F6A9F"/>
    <w:rsid w:val="57802226"/>
    <w:rsid w:val="57803FD4"/>
    <w:rsid w:val="57805D82"/>
    <w:rsid w:val="57811E04"/>
    <w:rsid w:val="57812F2D"/>
    <w:rsid w:val="5781344E"/>
    <w:rsid w:val="5781755C"/>
    <w:rsid w:val="57822013"/>
    <w:rsid w:val="57824056"/>
    <w:rsid w:val="5782579E"/>
    <w:rsid w:val="57830C8A"/>
    <w:rsid w:val="57831D16"/>
    <w:rsid w:val="57835EA0"/>
    <w:rsid w:val="57840C48"/>
    <w:rsid w:val="578515EA"/>
    <w:rsid w:val="57851D54"/>
    <w:rsid w:val="57852D86"/>
    <w:rsid w:val="578730E0"/>
    <w:rsid w:val="578854E3"/>
    <w:rsid w:val="578A3F2B"/>
    <w:rsid w:val="578A7763"/>
    <w:rsid w:val="578B4D05"/>
    <w:rsid w:val="578C4726"/>
    <w:rsid w:val="578C69EF"/>
    <w:rsid w:val="578D73AC"/>
    <w:rsid w:val="578E03E2"/>
    <w:rsid w:val="578E2FB3"/>
    <w:rsid w:val="578F1019"/>
    <w:rsid w:val="578F28B6"/>
    <w:rsid w:val="578F4217"/>
    <w:rsid w:val="57914433"/>
    <w:rsid w:val="57914645"/>
    <w:rsid w:val="579161E1"/>
    <w:rsid w:val="57916A52"/>
    <w:rsid w:val="579358C0"/>
    <w:rsid w:val="57947A7F"/>
    <w:rsid w:val="57984065"/>
    <w:rsid w:val="579900C6"/>
    <w:rsid w:val="57995095"/>
    <w:rsid w:val="579954F5"/>
    <w:rsid w:val="579B0908"/>
    <w:rsid w:val="579B0E0D"/>
    <w:rsid w:val="579B541A"/>
    <w:rsid w:val="579B705F"/>
    <w:rsid w:val="579D2DD8"/>
    <w:rsid w:val="579D6934"/>
    <w:rsid w:val="579E08FE"/>
    <w:rsid w:val="579E1B17"/>
    <w:rsid w:val="579E26AC"/>
    <w:rsid w:val="57A001D2"/>
    <w:rsid w:val="57A061D8"/>
    <w:rsid w:val="57A06424"/>
    <w:rsid w:val="57A14804"/>
    <w:rsid w:val="57A20117"/>
    <w:rsid w:val="57A203EE"/>
    <w:rsid w:val="57A31A70"/>
    <w:rsid w:val="57A51C8C"/>
    <w:rsid w:val="57A53353"/>
    <w:rsid w:val="57A63008"/>
    <w:rsid w:val="57A63CA8"/>
    <w:rsid w:val="57A87293"/>
    <w:rsid w:val="57A90DF0"/>
    <w:rsid w:val="57A93C33"/>
    <w:rsid w:val="57AA2DFF"/>
    <w:rsid w:val="57AA72A2"/>
    <w:rsid w:val="57AC4DC9"/>
    <w:rsid w:val="57AD21A3"/>
    <w:rsid w:val="57AD2295"/>
    <w:rsid w:val="57AE25BB"/>
    <w:rsid w:val="57AE6D93"/>
    <w:rsid w:val="57AE79CC"/>
    <w:rsid w:val="57AF6667"/>
    <w:rsid w:val="57B0377C"/>
    <w:rsid w:val="57B0636E"/>
    <w:rsid w:val="57B10631"/>
    <w:rsid w:val="57B13A6B"/>
    <w:rsid w:val="57B15B24"/>
    <w:rsid w:val="57B32874"/>
    <w:rsid w:val="57B34FD7"/>
    <w:rsid w:val="57B44FF4"/>
    <w:rsid w:val="57B55053"/>
    <w:rsid w:val="57B65C47"/>
    <w:rsid w:val="57B70667"/>
    <w:rsid w:val="57B94950"/>
    <w:rsid w:val="57B974E6"/>
    <w:rsid w:val="57BA7B44"/>
    <w:rsid w:val="57BB325E"/>
    <w:rsid w:val="57BB73FE"/>
    <w:rsid w:val="57BB7966"/>
    <w:rsid w:val="57BC3126"/>
    <w:rsid w:val="57BC3D6B"/>
    <w:rsid w:val="57BD6FD6"/>
    <w:rsid w:val="57BE4AFC"/>
    <w:rsid w:val="57C245EC"/>
    <w:rsid w:val="57C253EC"/>
    <w:rsid w:val="57C33EC0"/>
    <w:rsid w:val="57C40364"/>
    <w:rsid w:val="57C41BF1"/>
    <w:rsid w:val="57C514B8"/>
    <w:rsid w:val="57C51628"/>
    <w:rsid w:val="57C51A90"/>
    <w:rsid w:val="57C74156"/>
    <w:rsid w:val="57C75DDF"/>
    <w:rsid w:val="57C84CF5"/>
    <w:rsid w:val="57C93BCD"/>
    <w:rsid w:val="57C974C9"/>
    <w:rsid w:val="57CA6461"/>
    <w:rsid w:val="57CB0EFD"/>
    <w:rsid w:val="57CC546B"/>
    <w:rsid w:val="57CC7219"/>
    <w:rsid w:val="57CD4D3F"/>
    <w:rsid w:val="57CF6D09"/>
    <w:rsid w:val="57D00194"/>
    <w:rsid w:val="57D12A81"/>
    <w:rsid w:val="57D12B32"/>
    <w:rsid w:val="57D15936"/>
    <w:rsid w:val="57D165DD"/>
    <w:rsid w:val="57D305A7"/>
    <w:rsid w:val="57D32355"/>
    <w:rsid w:val="57D45CF1"/>
    <w:rsid w:val="57D460CD"/>
    <w:rsid w:val="57D60BEE"/>
    <w:rsid w:val="57D61E46"/>
    <w:rsid w:val="57D6726A"/>
    <w:rsid w:val="57D818A8"/>
    <w:rsid w:val="57D85BBE"/>
    <w:rsid w:val="57D926EC"/>
    <w:rsid w:val="57D936E4"/>
    <w:rsid w:val="57DA7B88"/>
    <w:rsid w:val="57DB135E"/>
    <w:rsid w:val="57DB3900"/>
    <w:rsid w:val="57DB56AE"/>
    <w:rsid w:val="57DB688D"/>
    <w:rsid w:val="57DB745C"/>
    <w:rsid w:val="57DC3861"/>
    <w:rsid w:val="57DD1426"/>
    <w:rsid w:val="57DE61E7"/>
    <w:rsid w:val="57DF13CA"/>
    <w:rsid w:val="57DF519E"/>
    <w:rsid w:val="57E04A72"/>
    <w:rsid w:val="57E146AD"/>
    <w:rsid w:val="57E207EA"/>
    <w:rsid w:val="57E24C8E"/>
    <w:rsid w:val="57E26A3C"/>
    <w:rsid w:val="57E3453E"/>
    <w:rsid w:val="57E37D4B"/>
    <w:rsid w:val="57E4661E"/>
    <w:rsid w:val="57E5652D"/>
    <w:rsid w:val="57E722A5"/>
    <w:rsid w:val="57E8170E"/>
    <w:rsid w:val="57E83927"/>
    <w:rsid w:val="57E91B79"/>
    <w:rsid w:val="57E9601D"/>
    <w:rsid w:val="57EA20FC"/>
    <w:rsid w:val="57EA3B43"/>
    <w:rsid w:val="57EA58F1"/>
    <w:rsid w:val="57EC3417"/>
    <w:rsid w:val="57EE718F"/>
    <w:rsid w:val="57EF1047"/>
    <w:rsid w:val="57EF3B87"/>
    <w:rsid w:val="57F0234F"/>
    <w:rsid w:val="57F070BC"/>
    <w:rsid w:val="57F21016"/>
    <w:rsid w:val="57F3456B"/>
    <w:rsid w:val="57F34B4A"/>
    <w:rsid w:val="57F360FF"/>
    <w:rsid w:val="57F4510A"/>
    <w:rsid w:val="57F50A1F"/>
    <w:rsid w:val="57F549C2"/>
    <w:rsid w:val="57F55AE4"/>
    <w:rsid w:val="57F56770"/>
    <w:rsid w:val="57F6081E"/>
    <w:rsid w:val="57F624E8"/>
    <w:rsid w:val="57F63847"/>
    <w:rsid w:val="57F646C7"/>
    <w:rsid w:val="57F67076"/>
    <w:rsid w:val="57F80AE1"/>
    <w:rsid w:val="57F86260"/>
    <w:rsid w:val="57F9079B"/>
    <w:rsid w:val="57FA046D"/>
    <w:rsid w:val="57FA1FD8"/>
    <w:rsid w:val="57FB18AC"/>
    <w:rsid w:val="57FB365A"/>
    <w:rsid w:val="57FB4891"/>
    <w:rsid w:val="57FB5D50"/>
    <w:rsid w:val="57FB7462"/>
    <w:rsid w:val="57FB7AFE"/>
    <w:rsid w:val="57FD02B4"/>
    <w:rsid w:val="57FD2461"/>
    <w:rsid w:val="57FD6B09"/>
    <w:rsid w:val="57FD6DF5"/>
    <w:rsid w:val="57FE314A"/>
    <w:rsid w:val="58004E0D"/>
    <w:rsid w:val="58010973"/>
    <w:rsid w:val="58030846"/>
    <w:rsid w:val="58035A61"/>
    <w:rsid w:val="58044C05"/>
    <w:rsid w:val="58047A99"/>
    <w:rsid w:val="5806097D"/>
    <w:rsid w:val="58064575"/>
    <w:rsid w:val="58076959"/>
    <w:rsid w:val="58083479"/>
    <w:rsid w:val="58095D77"/>
    <w:rsid w:val="580A1AEF"/>
    <w:rsid w:val="580A3E39"/>
    <w:rsid w:val="580B6F57"/>
    <w:rsid w:val="580B6FC1"/>
    <w:rsid w:val="580C3AB9"/>
    <w:rsid w:val="580E15DF"/>
    <w:rsid w:val="581035A9"/>
    <w:rsid w:val="58105627"/>
    <w:rsid w:val="5811003C"/>
    <w:rsid w:val="581110D0"/>
    <w:rsid w:val="58112E7E"/>
    <w:rsid w:val="58114E4A"/>
    <w:rsid w:val="581164AA"/>
    <w:rsid w:val="5813309A"/>
    <w:rsid w:val="58133FA8"/>
    <w:rsid w:val="58134413"/>
    <w:rsid w:val="58136BF6"/>
    <w:rsid w:val="58140590"/>
    <w:rsid w:val="5814115E"/>
    <w:rsid w:val="5814302E"/>
    <w:rsid w:val="5814471C"/>
    <w:rsid w:val="58163C94"/>
    <w:rsid w:val="58164938"/>
    <w:rsid w:val="58171515"/>
    <w:rsid w:val="581765EF"/>
    <w:rsid w:val="581771D9"/>
    <w:rsid w:val="58186F97"/>
    <w:rsid w:val="58196851"/>
    <w:rsid w:val="581A61D6"/>
    <w:rsid w:val="581B530B"/>
    <w:rsid w:val="581B5AAA"/>
    <w:rsid w:val="581C30D3"/>
    <w:rsid w:val="581C558D"/>
    <w:rsid w:val="581D519C"/>
    <w:rsid w:val="581D7A74"/>
    <w:rsid w:val="581F3C8C"/>
    <w:rsid w:val="581F559B"/>
    <w:rsid w:val="58201313"/>
    <w:rsid w:val="582157B7"/>
    <w:rsid w:val="582232DD"/>
    <w:rsid w:val="58223786"/>
    <w:rsid w:val="5822508B"/>
    <w:rsid w:val="58226E39"/>
    <w:rsid w:val="5823195C"/>
    <w:rsid w:val="58240E03"/>
    <w:rsid w:val="58242BB1"/>
    <w:rsid w:val="58256C30"/>
    <w:rsid w:val="58262CE7"/>
    <w:rsid w:val="58274FEF"/>
    <w:rsid w:val="582901C7"/>
    <w:rsid w:val="582A4DDF"/>
    <w:rsid w:val="582A4DF9"/>
    <w:rsid w:val="582B2191"/>
    <w:rsid w:val="582B222F"/>
    <w:rsid w:val="582B4E00"/>
    <w:rsid w:val="582C5CD0"/>
    <w:rsid w:val="582C5F09"/>
    <w:rsid w:val="582C7CB7"/>
    <w:rsid w:val="582E3A30"/>
    <w:rsid w:val="582E3A6C"/>
    <w:rsid w:val="582F1556"/>
    <w:rsid w:val="582F3E2F"/>
    <w:rsid w:val="58302F9E"/>
    <w:rsid w:val="583067EF"/>
    <w:rsid w:val="58311772"/>
    <w:rsid w:val="58313520"/>
    <w:rsid w:val="583152CE"/>
    <w:rsid w:val="583302AF"/>
    <w:rsid w:val="58331046"/>
    <w:rsid w:val="58353010"/>
    <w:rsid w:val="58354DBE"/>
    <w:rsid w:val="5835639D"/>
    <w:rsid w:val="58360B36"/>
    <w:rsid w:val="58366E66"/>
    <w:rsid w:val="583919DC"/>
    <w:rsid w:val="583A0167"/>
    <w:rsid w:val="583A0626"/>
    <w:rsid w:val="583A23D4"/>
    <w:rsid w:val="583A63D7"/>
    <w:rsid w:val="583B146D"/>
    <w:rsid w:val="583B614D"/>
    <w:rsid w:val="583C52EE"/>
    <w:rsid w:val="583C58C7"/>
    <w:rsid w:val="583D0117"/>
    <w:rsid w:val="583D2D6F"/>
    <w:rsid w:val="583D3584"/>
    <w:rsid w:val="583E1DE6"/>
    <w:rsid w:val="583F1062"/>
    <w:rsid w:val="583F5C3D"/>
    <w:rsid w:val="583F79EB"/>
    <w:rsid w:val="584274DB"/>
    <w:rsid w:val="584414A5"/>
    <w:rsid w:val="58450D79"/>
    <w:rsid w:val="58451850"/>
    <w:rsid w:val="5846327B"/>
    <w:rsid w:val="58466FCB"/>
    <w:rsid w:val="584722A5"/>
    <w:rsid w:val="5848061C"/>
    <w:rsid w:val="58492617"/>
    <w:rsid w:val="584A3341"/>
    <w:rsid w:val="584B2834"/>
    <w:rsid w:val="584C035A"/>
    <w:rsid w:val="584C4139"/>
    <w:rsid w:val="584C5C70"/>
    <w:rsid w:val="584E5E80"/>
    <w:rsid w:val="584F2D6B"/>
    <w:rsid w:val="584F2E35"/>
    <w:rsid w:val="58501F65"/>
    <w:rsid w:val="585039A6"/>
    <w:rsid w:val="5850568B"/>
    <w:rsid w:val="58515F24"/>
    <w:rsid w:val="585216EC"/>
    <w:rsid w:val="58525458"/>
    <w:rsid w:val="58531B77"/>
    <w:rsid w:val="585330DD"/>
    <w:rsid w:val="58533496"/>
    <w:rsid w:val="5853793A"/>
    <w:rsid w:val="585428CB"/>
    <w:rsid w:val="58555460"/>
    <w:rsid w:val="58555C24"/>
    <w:rsid w:val="5855720E"/>
    <w:rsid w:val="58557C07"/>
    <w:rsid w:val="58580AAD"/>
    <w:rsid w:val="58582E97"/>
    <w:rsid w:val="58584F50"/>
    <w:rsid w:val="58587044"/>
    <w:rsid w:val="585A705F"/>
    <w:rsid w:val="585B5DD0"/>
    <w:rsid w:val="585B62F1"/>
    <w:rsid w:val="585D2567"/>
    <w:rsid w:val="585D4315"/>
    <w:rsid w:val="585F1964"/>
    <w:rsid w:val="585F1E3B"/>
    <w:rsid w:val="585F62DF"/>
    <w:rsid w:val="586115FB"/>
    <w:rsid w:val="5861620A"/>
    <w:rsid w:val="58627B7D"/>
    <w:rsid w:val="586603A3"/>
    <w:rsid w:val="58664AA6"/>
    <w:rsid w:val="5866766D"/>
    <w:rsid w:val="58670CF0"/>
    <w:rsid w:val="58670F46"/>
    <w:rsid w:val="58672098"/>
    <w:rsid w:val="58675193"/>
    <w:rsid w:val="58675927"/>
    <w:rsid w:val="58676D16"/>
    <w:rsid w:val="58676F42"/>
    <w:rsid w:val="58690F0C"/>
    <w:rsid w:val="58692CBA"/>
    <w:rsid w:val="58694632"/>
    <w:rsid w:val="58694A68"/>
    <w:rsid w:val="586B17BC"/>
    <w:rsid w:val="586B4C84"/>
    <w:rsid w:val="586B4D4E"/>
    <w:rsid w:val="586E5752"/>
    <w:rsid w:val="586E6EA4"/>
    <w:rsid w:val="586F0C14"/>
    <w:rsid w:val="586F5D06"/>
    <w:rsid w:val="58701D1D"/>
    <w:rsid w:val="5870229A"/>
    <w:rsid w:val="58705DF6"/>
    <w:rsid w:val="5872072F"/>
    <w:rsid w:val="5872092A"/>
    <w:rsid w:val="58726012"/>
    <w:rsid w:val="58727DC0"/>
    <w:rsid w:val="58737694"/>
    <w:rsid w:val="58741A49"/>
    <w:rsid w:val="587578B0"/>
    <w:rsid w:val="58765D26"/>
    <w:rsid w:val="58767185"/>
    <w:rsid w:val="5878114F"/>
    <w:rsid w:val="58783724"/>
    <w:rsid w:val="5879249B"/>
    <w:rsid w:val="587A13E7"/>
    <w:rsid w:val="587A3AD2"/>
    <w:rsid w:val="587B479B"/>
    <w:rsid w:val="587B4F67"/>
    <w:rsid w:val="587C5421"/>
    <w:rsid w:val="587D0C49"/>
    <w:rsid w:val="587D49B7"/>
    <w:rsid w:val="587D6765"/>
    <w:rsid w:val="587F428B"/>
    <w:rsid w:val="587F6039"/>
    <w:rsid w:val="58810003"/>
    <w:rsid w:val="58814A6C"/>
    <w:rsid w:val="58816255"/>
    <w:rsid w:val="58823D7B"/>
    <w:rsid w:val="5882708A"/>
    <w:rsid w:val="58836646"/>
    <w:rsid w:val="588418A2"/>
    <w:rsid w:val="58844D99"/>
    <w:rsid w:val="58853258"/>
    <w:rsid w:val="588631F5"/>
    <w:rsid w:val="5886386C"/>
    <w:rsid w:val="58873EA5"/>
    <w:rsid w:val="588751FD"/>
    <w:rsid w:val="58884144"/>
    <w:rsid w:val="588953E6"/>
    <w:rsid w:val="588B00ED"/>
    <w:rsid w:val="588B2C30"/>
    <w:rsid w:val="588C0756"/>
    <w:rsid w:val="588D2644"/>
    <w:rsid w:val="588D2A5C"/>
    <w:rsid w:val="588D4BFA"/>
    <w:rsid w:val="588E0972"/>
    <w:rsid w:val="588E44CE"/>
    <w:rsid w:val="58900246"/>
    <w:rsid w:val="5890060D"/>
    <w:rsid w:val="58906498"/>
    <w:rsid w:val="589173FA"/>
    <w:rsid w:val="58922210"/>
    <w:rsid w:val="58931AE5"/>
    <w:rsid w:val="58937D37"/>
    <w:rsid w:val="58951D01"/>
    <w:rsid w:val="58952506"/>
    <w:rsid w:val="58953AAF"/>
    <w:rsid w:val="58963DBF"/>
    <w:rsid w:val="5896727F"/>
    <w:rsid w:val="58975164"/>
    <w:rsid w:val="5897524F"/>
    <w:rsid w:val="58975A79"/>
    <w:rsid w:val="589804CB"/>
    <w:rsid w:val="5898359F"/>
    <w:rsid w:val="589870FB"/>
    <w:rsid w:val="589917F1"/>
    <w:rsid w:val="589A42A5"/>
    <w:rsid w:val="589B222D"/>
    <w:rsid w:val="589B2B72"/>
    <w:rsid w:val="589C308F"/>
    <w:rsid w:val="589C6BEB"/>
    <w:rsid w:val="589C7B07"/>
    <w:rsid w:val="589D0BB5"/>
    <w:rsid w:val="589D2585"/>
    <w:rsid w:val="589E3D28"/>
    <w:rsid w:val="589E5865"/>
    <w:rsid w:val="589F5242"/>
    <w:rsid w:val="58A12453"/>
    <w:rsid w:val="58A261CC"/>
    <w:rsid w:val="58A33CE6"/>
    <w:rsid w:val="58A67A6A"/>
    <w:rsid w:val="58A75590"/>
    <w:rsid w:val="58A837E2"/>
    <w:rsid w:val="58A91308"/>
    <w:rsid w:val="58A957AC"/>
    <w:rsid w:val="58A9755A"/>
    <w:rsid w:val="58AA11EA"/>
    <w:rsid w:val="58AA216F"/>
    <w:rsid w:val="58AB5080"/>
    <w:rsid w:val="58AB5E56"/>
    <w:rsid w:val="58AB6E2E"/>
    <w:rsid w:val="58AC5FE5"/>
    <w:rsid w:val="58AD0DF8"/>
    <w:rsid w:val="58AD704A"/>
    <w:rsid w:val="58AE691E"/>
    <w:rsid w:val="58AF03AE"/>
    <w:rsid w:val="58B01A44"/>
    <w:rsid w:val="58B06B3A"/>
    <w:rsid w:val="58B0751A"/>
    <w:rsid w:val="58B26F9F"/>
    <w:rsid w:val="58B33F35"/>
    <w:rsid w:val="58B37C3A"/>
    <w:rsid w:val="58B42B78"/>
    <w:rsid w:val="58B54151"/>
    <w:rsid w:val="58B55EFF"/>
    <w:rsid w:val="58B73A25"/>
    <w:rsid w:val="58B959EF"/>
    <w:rsid w:val="58B96AD0"/>
    <w:rsid w:val="58BB721B"/>
    <w:rsid w:val="58BC54DF"/>
    <w:rsid w:val="58BE39A9"/>
    <w:rsid w:val="58C15BFF"/>
    <w:rsid w:val="58C408EF"/>
    <w:rsid w:val="58C425E6"/>
    <w:rsid w:val="58C46142"/>
    <w:rsid w:val="58C46E3D"/>
    <w:rsid w:val="58C47EF0"/>
    <w:rsid w:val="58C56FB4"/>
    <w:rsid w:val="58C7694D"/>
    <w:rsid w:val="58C9526F"/>
    <w:rsid w:val="58CA1D3C"/>
    <w:rsid w:val="58CA2D21"/>
    <w:rsid w:val="58CB0ECD"/>
    <w:rsid w:val="58CE59D8"/>
    <w:rsid w:val="58D04AE7"/>
    <w:rsid w:val="58D2085F"/>
    <w:rsid w:val="58D2260D"/>
    <w:rsid w:val="58D2706F"/>
    <w:rsid w:val="58D36385"/>
    <w:rsid w:val="58D42829"/>
    <w:rsid w:val="58D46932"/>
    <w:rsid w:val="58D5034F"/>
    <w:rsid w:val="58D520FD"/>
    <w:rsid w:val="58D565A1"/>
    <w:rsid w:val="58D570EF"/>
    <w:rsid w:val="58D65FE6"/>
    <w:rsid w:val="58D740C7"/>
    <w:rsid w:val="58D7523B"/>
    <w:rsid w:val="58DA1C62"/>
    <w:rsid w:val="58DA7713"/>
    <w:rsid w:val="58DB71EA"/>
    <w:rsid w:val="58DD20F8"/>
    <w:rsid w:val="58DD4A37"/>
    <w:rsid w:val="58DF11CE"/>
    <w:rsid w:val="58E00096"/>
    <w:rsid w:val="58E00C2E"/>
    <w:rsid w:val="58E16365"/>
    <w:rsid w:val="58E23A6B"/>
    <w:rsid w:val="58E467E4"/>
    <w:rsid w:val="58E52A11"/>
    <w:rsid w:val="58E55705"/>
    <w:rsid w:val="58E72CAB"/>
    <w:rsid w:val="58E76ECA"/>
    <w:rsid w:val="58E77F37"/>
    <w:rsid w:val="58E81E30"/>
    <w:rsid w:val="58E91760"/>
    <w:rsid w:val="58E93DFA"/>
    <w:rsid w:val="58E97957"/>
    <w:rsid w:val="58EA204C"/>
    <w:rsid w:val="58EB1921"/>
    <w:rsid w:val="58EC3478"/>
    <w:rsid w:val="58ED5699"/>
    <w:rsid w:val="58EE752C"/>
    <w:rsid w:val="58EF1411"/>
    <w:rsid w:val="58EF50C6"/>
    <w:rsid w:val="58F033DB"/>
    <w:rsid w:val="58F178E2"/>
    <w:rsid w:val="58F307D5"/>
    <w:rsid w:val="58F3275A"/>
    <w:rsid w:val="58F3334B"/>
    <w:rsid w:val="58F71463"/>
    <w:rsid w:val="58F72F82"/>
    <w:rsid w:val="58F80711"/>
    <w:rsid w:val="58F84FB2"/>
    <w:rsid w:val="58F92290"/>
    <w:rsid w:val="58F93F6E"/>
    <w:rsid w:val="58F9403E"/>
    <w:rsid w:val="58FA1B64"/>
    <w:rsid w:val="58FA7DB6"/>
    <w:rsid w:val="58FC2F6D"/>
    <w:rsid w:val="58FC58DC"/>
    <w:rsid w:val="58FC6D00"/>
    <w:rsid w:val="58FC6EB5"/>
    <w:rsid w:val="58FE34C3"/>
    <w:rsid w:val="58FE78A6"/>
    <w:rsid w:val="58FF4206"/>
    <w:rsid w:val="58FF53CC"/>
    <w:rsid w:val="59011144"/>
    <w:rsid w:val="5903266D"/>
    <w:rsid w:val="59034EBC"/>
    <w:rsid w:val="59036C6A"/>
    <w:rsid w:val="59042B8F"/>
    <w:rsid w:val="59050C34"/>
    <w:rsid w:val="59060509"/>
    <w:rsid w:val="590824D3"/>
    <w:rsid w:val="59082D12"/>
    <w:rsid w:val="590840E1"/>
    <w:rsid w:val="59084281"/>
    <w:rsid w:val="59091DA7"/>
    <w:rsid w:val="590927AA"/>
    <w:rsid w:val="59097FF9"/>
    <w:rsid w:val="590A624B"/>
    <w:rsid w:val="590D7AE9"/>
    <w:rsid w:val="590E2BD8"/>
    <w:rsid w:val="590E560F"/>
    <w:rsid w:val="59103135"/>
    <w:rsid w:val="5910358E"/>
    <w:rsid w:val="59106321"/>
    <w:rsid w:val="59112FCB"/>
    <w:rsid w:val="5912072C"/>
    <w:rsid w:val="591250FF"/>
    <w:rsid w:val="59127D64"/>
    <w:rsid w:val="5914078B"/>
    <w:rsid w:val="59140E77"/>
    <w:rsid w:val="5915074C"/>
    <w:rsid w:val="5915699E"/>
    <w:rsid w:val="59170968"/>
    <w:rsid w:val="591710B8"/>
    <w:rsid w:val="591946E0"/>
    <w:rsid w:val="591A3FB4"/>
    <w:rsid w:val="591C0DCB"/>
    <w:rsid w:val="591C1ADA"/>
    <w:rsid w:val="591C5F7E"/>
    <w:rsid w:val="591C7D2C"/>
    <w:rsid w:val="591D7EBC"/>
    <w:rsid w:val="591E3AA4"/>
    <w:rsid w:val="591E5852"/>
    <w:rsid w:val="591F0ED8"/>
    <w:rsid w:val="592171A5"/>
    <w:rsid w:val="59220479"/>
    <w:rsid w:val="59222CCC"/>
    <w:rsid w:val="59227E98"/>
    <w:rsid w:val="59230CE9"/>
    <w:rsid w:val="592324F7"/>
    <w:rsid w:val="59232E69"/>
    <w:rsid w:val="5925521E"/>
    <w:rsid w:val="59260BAB"/>
    <w:rsid w:val="59280AFA"/>
    <w:rsid w:val="592836CB"/>
    <w:rsid w:val="59286AAB"/>
    <w:rsid w:val="59290CF4"/>
    <w:rsid w:val="59295427"/>
    <w:rsid w:val="592969A6"/>
    <w:rsid w:val="592A069B"/>
    <w:rsid w:val="592B0779"/>
    <w:rsid w:val="592B3838"/>
    <w:rsid w:val="592B3CD1"/>
    <w:rsid w:val="592B4413"/>
    <w:rsid w:val="592B5B5A"/>
    <w:rsid w:val="592B61C1"/>
    <w:rsid w:val="592B747B"/>
    <w:rsid w:val="592D1F39"/>
    <w:rsid w:val="59307500"/>
    <w:rsid w:val="593257A1"/>
    <w:rsid w:val="5932754F"/>
    <w:rsid w:val="593307DD"/>
    <w:rsid w:val="59335C0C"/>
    <w:rsid w:val="59337A15"/>
    <w:rsid w:val="5934151A"/>
    <w:rsid w:val="59350C74"/>
    <w:rsid w:val="59351195"/>
    <w:rsid w:val="59367040"/>
    <w:rsid w:val="59367F2E"/>
    <w:rsid w:val="59374B66"/>
    <w:rsid w:val="59376914"/>
    <w:rsid w:val="59382B7E"/>
    <w:rsid w:val="593869B3"/>
    <w:rsid w:val="593908DE"/>
    <w:rsid w:val="5939268C"/>
    <w:rsid w:val="593A4475"/>
    <w:rsid w:val="593A5382"/>
    <w:rsid w:val="593A63CD"/>
    <w:rsid w:val="593C03CE"/>
    <w:rsid w:val="593D188F"/>
    <w:rsid w:val="593E4146"/>
    <w:rsid w:val="593E7CA2"/>
    <w:rsid w:val="593F3A1A"/>
    <w:rsid w:val="59411541"/>
    <w:rsid w:val="594116A0"/>
    <w:rsid w:val="594159E5"/>
    <w:rsid w:val="59425701"/>
    <w:rsid w:val="5943175D"/>
    <w:rsid w:val="594374D1"/>
    <w:rsid w:val="59462FFB"/>
    <w:rsid w:val="594828CF"/>
    <w:rsid w:val="594A6647"/>
    <w:rsid w:val="594C4659"/>
    <w:rsid w:val="594D25DB"/>
    <w:rsid w:val="594D6137"/>
    <w:rsid w:val="594F1EAF"/>
    <w:rsid w:val="594F284A"/>
    <w:rsid w:val="59505C28"/>
    <w:rsid w:val="595079D6"/>
    <w:rsid w:val="595251F6"/>
    <w:rsid w:val="59536686"/>
    <w:rsid w:val="59543EC5"/>
    <w:rsid w:val="5955021E"/>
    <w:rsid w:val="59552701"/>
    <w:rsid w:val="59553199"/>
    <w:rsid w:val="59561490"/>
    <w:rsid w:val="59564332"/>
    <w:rsid w:val="59581068"/>
    <w:rsid w:val="595C281E"/>
    <w:rsid w:val="595C3991"/>
    <w:rsid w:val="595D2309"/>
    <w:rsid w:val="595D7890"/>
    <w:rsid w:val="595E0345"/>
    <w:rsid w:val="595F113B"/>
    <w:rsid w:val="595F5340"/>
    <w:rsid w:val="596005C1"/>
    <w:rsid w:val="59600F92"/>
    <w:rsid w:val="5960230F"/>
    <w:rsid w:val="596125D2"/>
    <w:rsid w:val="59613C95"/>
    <w:rsid w:val="596335AA"/>
    <w:rsid w:val="59633603"/>
    <w:rsid w:val="59633BAD"/>
    <w:rsid w:val="5964125E"/>
    <w:rsid w:val="596428C0"/>
    <w:rsid w:val="59653481"/>
    <w:rsid w:val="596563A5"/>
    <w:rsid w:val="59670124"/>
    <w:rsid w:val="5968239F"/>
    <w:rsid w:val="59682F71"/>
    <w:rsid w:val="596908AC"/>
    <w:rsid w:val="596A0A97"/>
    <w:rsid w:val="596A4F3B"/>
    <w:rsid w:val="596A68EF"/>
    <w:rsid w:val="596C705C"/>
    <w:rsid w:val="596D2336"/>
    <w:rsid w:val="596D2D7B"/>
    <w:rsid w:val="596D4565"/>
    <w:rsid w:val="596E3DF6"/>
    <w:rsid w:val="596F1F91"/>
    <w:rsid w:val="596F4300"/>
    <w:rsid w:val="596F5E5F"/>
    <w:rsid w:val="596F60AE"/>
    <w:rsid w:val="59701E26"/>
    <w:rsid w:val="5971077F"/>
    <w:rsid w:val="59710D24"/>
    <w:rsid w:val="59721C0F"/>
    <w:rsid w:val="59722042"/>
    <w:rsid w:val="59723DF0"/>
    <w:rsid w:val="597247E0"/>
    <w:rsid w:val="59741916"/>
    <w:rsid w:val="59742822"/>
    <w:rsid w:val="59747B68"/>
    <w:rsid w:val="59750590"/>
    <w:rsid w:val="59752775"/>
    <w:rsid w:val="5975743C"/>
    <w:rsid w:val="597638E0"/>
    <w:rsid w:val="59763AF2"/>
    <w:rsid w:val="59771406"/>
    <w:rsid w:val="597731B4"/>
    <w:rsid w:val="59786F11"/>
    <w:rsid w:val="59791918"/>
    <w:rsid w:val="59796F2C"/>
    <w:rsid w:val="597A3BB3"/>
    <w:rsid w:val="597B3115"/>
    <w:rsid w:val="597C117B"/>
    <w:rsid w:val="597C2246"/>
    <w:rsid w:val="597D4C6F"/>
    <w:rsid w:val="597E4463"/>
    <w:rsid w:val="597E4543"/>
    <w:rsid w:val="597E5E5D"/>
    <w:rsid w:val="597F2CF5"/>
    <w:rsid w:val="597F2F65"/>
    <w:rsid w:val="59812FA9"/>
    <w:rsid w:val="59835887"/>
    <w:rsid w:val="59835FFD"/>
    <w:rsid w:val="59850085"/>
    <w:rsid w:val="59851D75"/>
    <w:rsid w:val="5985507C"/>
    <w:rsid w:val="59861649"/>
    <w:rsid w:val="59883613"/>
    <w:rsid w:val="59883E35"/>
    <w:rsid w:val="598B27B6"/>
    <w:rsid w:val="598D0C2A"/>
    <w:rsid w:val="598E2D32"/>
    <w:rsid w:val="598F1137"/>
    <w:rsid w:val="598F3A95"/>
    <w:rsid w:val="598F49A2"/>
    <w:rsid w:val="598F58E2"/>
    <w:rsid w:val="59905910"/>
    <w:rsid w:val="599211F9"/>
    <w:rsid w:val="59921ECA"/>
    <w:rsid w:val="5993138A"/>
    <w:rsid w:val="599328C7"/>
    <w:rsid w:val="59945B14"/>
    <w:rsid w:val="59946483"/>
    <w:rsid w:val="599546F4"/>
    <w:rsid w:val="59954D2B"/>
    <w:rsid w:val="59961079"/>
    <w:rsid w:val="59967ADE"/>
    <w:rsid w:val="59973856"/>
    <w:rsid w:val="59975605"/>
    <w:rsid w:val="5999312B"/>
    <w:rsid w:val="59995821"/>
    <w:rsid w:val="599A5BF7"/>
    <w:rsid w:val="599A7C19"/>
    <w:rsid w:val="599B3347"/>
    <w:rsid w:val="599B50F5"/>
    <w:rsid w:val="599C0C80"/>
    <w:rsid w:val="599C373B"/>
    <w:rsid w:val="599C7167"/>
    <w:rsid w:val="599D5AB6"/>
    <w:rsid w:val="599E351B"/>
    <w:rsid w:val="599E6993"/>
    <w:rsid w:val="59A0270B"/>
    <w:rsid w:val="59A1611D"/>
    <w:rsid w:val="59A22166"/>
    <w:rsid w:val="59A246D5"/>
    <w:rsid w:val="59A250DC"/>
    <w:rsid w:val="59A26483"/>
    <w:rsid w:val="59A3044D"/>
    <w:rsid w:val="59A41B6B"/>
    <w:rsid w:val="59A4344D"/>
    <w:rsid w:val="59A460A5"/>
    <w:rsid w:val="59A55F73"/>
    <w:rsid w:val="59A57D21"/>
    <w:rsid w:val="59A63F0F"/>
    <w:rsid w:val="59A72862"/>
    <w:rsid w:val="59A81542"/>
    <w:rsid w:val="59A815C0"/>
    <w:rsid w:val="59A83AE4"/>
    <w:rsid w:val="59A87812"/>
    <w:rsid w:val="59A962EC"/>
    <w:rsid w:val="59A97480"/>
    <w:rsid w:val="59AA3003"/>
    <w:rsid w:val="59AB2152"/>
    <w:rsid w:val="59AB240C"/>
    <w:rsid w:val="59AC13C8"/>
    <w:rsid w:val="59AC22BE"/>
    <w:rsid w:val="59AC371D"/>
    <w:rsid w:val="59AD4E28"/>
    <w:rsid w:val="59AD6BD6"/>
    <w:rsid w:val="59AE7FA8"/>
    <w:rsid w:val="59AF23DD"/>
    <w:rsid w:val="59AF6DF2"/>
    <w:rsid w:val="59B16F5A"/>
    <w:rsid w:val="59B241EC"/>
    <w:rsid w:val="59B30690"/>
    <w:rsid w:val="59B44408"/>
    <w:rsid w:val="59B47189"/>
    <w:rsid w:val="59B64BD8"/>
    <w:rsid w:val="59B67768"/>
    <w:rsid w:val="59B678BE"/>
    <w:rsid w:val="59B86222"/>
    <w:rsid w:val="59B91A1F"/>
    <w:rsid w:val="59B93782"/>
    <w:rsid w:val="59B9557B"/>
    <w:rsid w:val="59BB7545"/>
    <w:rsid w:val="59BC1723"/>
    <w:rsid w:val="59BC5A1F"/>
    <w:rsid w:val="59C15707"/>
    <w:rsid w:val="59C208D3"/>
    <w:rsid w:val="59C26B25"/>
    <w:rsid w:val="59C3464B"/>
    <w:rsid w:val="59C44088"/>
    <w:rsid w:val="59C503C4"/>
    <w:rsid w:val="59C53F20"/>
    <w:rsid w:val="59C81BA8"/>
    <w:rsid w:val="59C81C62"/>
    <w:rsid w:val="59C83A10"/>
    <w:rsid w:val="59CA59DA"/>
    <w:rsid w:val="59CB3F29"/>
    <w:rsid w:val="59CB66D1"/>
    <w:rsid w:val="59CB68B5"/>
    <w:rsid w:val="59CC1752"/>
    <w:rsid w:val="59CC52AE"/>
    <w:rsid w:val="59CD1026"/>
    <w:rsid w:val="59CD7D51"/>
    <w:rsid w:val="59CE1AA3"/>
    <w:rsid w:val="59CF1242"/>
    <w:rsid w:val="59D145A3"/>
    <w:rsid w:val="59D14FBA"/>
    <w:rsid w:val="59D27515"/>
    <w:rsid w:val="59D423B5"/>
    <w:rsid w:val="59D464F6"/>
    <w:rsid w:val="59D574EF"/>
    <w:rsid w:val="59D63EF3"/>
    <w:rsid w:val="59D70720"/>
    <w:rsid w:val="59D73661"/>
    <w:rsid w:val="59D80DBD"/>
    <w:rsid w:val="59D81B6D"/>
    <w:rsid w:val="59D86349"/>
    <w:rsid w:val="59D93E6F"/>
    <w:rsid w:val="59D979CB"/>
    <w:rsid w:val="59DA42A6"/>
    <w:rsid w:val="59DA5C5A"/>
    <w:rsid w:val="59DC0F58"/>
    <w:rsid w:val="59DC1682"/>
    <w:rsid w:val="59DD395F"/>
    <w:rsid w:val="59DD74BB"/>
    <w:rsid w:val="59DE1485"/>
    <w:rsid w:val="59DF46B2"/>
    <w:rsid w:val="59DF6A1D"/>
    <w:rsid w:val="59DF76D7"/>
    <w:rsid w:val="59E00D5A"/>
    <w:rsid w:val="59E02120"/>
    <w:rsid w:val="59E051FD"/>
    <w:rsid w:val="59E07DCE"/>
    <w:rsid w:val="59E26347"/>
    <w:rsid w:val="59E330F2"/>
    <w:rsid w:val="59E36A9C"/>
    <w:rsid w:val="59E41FE5"/>
    <w:rsid w:val="59E66B17"/>
    <w:rsid w:val="59E720E8"/>
    <w:rsid w:val="59E763A3"/>
    <w:rsid w:val="59E854F3"/>
    <w:rsid w:val="59EA607C"/>
    <w:rsid w:val="59EB1149"/>
    <w:rsid w:val="59EC24A4"/>
    <w:rsid w:val="59EC5A3B"/>
    <w:rsid w:val="59EC5BE6"/>
    <w:rsid w:val="59ED1B53"/>
    <w:rsid w:val="59EE6C20"/>
    <w:rsid w:val="59EF5441"/>
    <w:rsid w:val="59F01D5A"/>
    <w:rsid w:val="59F110B4"/>
    <w:rsid w:val="59F12F67"/>
    <w:rsid w:val="59F14D15"/>
    <w:rsid w:val="59F1535F"/>
    <w:rsid w:val="59F20053"/>
    <w:rsid w:val="59F33099"/>
    <w:rsid w:val="59F40646"/>
    <w:rsid w:val="59F44805"/>
    <w:rsid w:val="59F502E5"/>
    <w:rsid w:val="59F6057D"/>
    <w:rsid w:val="59F803A7"/>
    <w:rsid w:val="59F82547"/>
    <w:rsid w:val="59F91E1B"/>
    <w:rsid w:val="59FA62BF"/>
    <w:rsid w:val="59FA7D60"/>
    <w:rsid w:val="59FC6843"/>
    <w:rsid w:val="59FD190B"/>
    <w:rsid w:val="59FD7B5D"/>
    <w:rsid w:val="59FE7583"/>
    <w:rsid w:val="59FF6FB5"/>
    <w:rsid w:val="5A0013FC"/>
    <w:rsid w:val="5A00764E"/>
    <w:rsid w:val="5A031394"/>
    <w:rsid w:val="5A040AF0"/>
    <w:rsid w:val="5A054C64"/>
    <w:rsid w:val="5A060B49"/>
    <w:rsid w:val="5A063CA6"/>
    <w:rsid w:val="5A074538"/>
    <w:rsid w:val="5A0802B0"/>
    <w:rsid w:val="5A096502"/>
    <w:rsid w:val="5A0A04CC"/>
    <w:rsid w:val="5A0A4314"/>
    <w:rsid w:val="5A0A5DD6"/>
    <w:rsid w:val="5A0C1B4F"/>
    <w:rsid w:val="5A0C699F"/>
    <w:rsid w:val="5A0C7CAD"/>
    <w:rsid w:val="5A0E0834"/>
    <w:rsid w:val="5A0E3B19"/>
    <w:rsid w:val="5A0E4976"/>
    <w:rsid w:val="5A0E630B"/>
    <w:rsid w:val="5A1153B7"/>
    <w:rsid w:val="5A1242F8"/>
    <w:rsid w:val="5A126853"/>
    <w:rsid w:val="5A1355C2"/>
    <w:rsid w:val="5A13639C"/>
    <w:rsid w:val="5A140D38"/>
    <w:rsid w:val="5A1766BC"/>
    <w:rsid w:val="5A186250"/>
    <w:rsid w:val="5A1A25BF"/>
    <w:rsid w:val="5A1B10FD"/>
    <w:rsid w:val="5A1B4488"/>
    <w:rsid w:val="5A1D13B0"/>
    <w:rsid w:val="5A1D789E"/>
    <w:rsid w:val="5A1E1882"/>
    <w:rsid w:val="5A1F1E7B"/>
    <w:rsid w:val="5A1F3552"/>
    <w:rsid w:val="5A1F51DD"/>
    <w:rsid w:val="5A1F5548"/>
    <w:rsid w:val="5A201A9E"/>
    <w:rsid w:val="5A20384C"/>
    <w:rsid w:val="5A2275C4"/>
    <w:rsid w:val="5A227B99"/>
    <w:rsid w:val="5A233363"/>
    <w:rsid w:val="5A234384"/>
    <w:rsid w:val="5A236E98"/>
    <w:rsid w:val="5A2450EA"/>
    <w:rsid w:val="5A262AF5"/>
    <w:rsid w:val="5A26686E"/>
    <w:rsid w:val="5A2822FD"/>
    <w:rsid w:val="5A292701"/>
    <w:rsid w:val="5A2A6479"/>
    <w:rsid w:val="5A2B2A55"/>
    <w:rsid w:val="5A2F1906"/>
    <w:rsid w:val="5A2F2D66"/>
    <w:rsid w:val="5A2F3A8F"/>
    <w:rsid w:val="5A307F33"/>
    <w:rsid w:val="5A33357F"/>
    <w:rsid w:val="5A3410A5"/>
    <w:rsid w:val="5A346B93"/>
    <w:rsid w:val="5A35488B"/>
    <w:rsid w:val="5A355A53"/>
    <w:rsid w:val="5A3572F7"/>
    <w:rsid w:val="5A3612C1"/>
    <w:rsid w:val="5A36306F"/>
    <w:rsid w:val="5A366D64"/>
    <w:rsid w:val="5A380050"/>
    <w:rsid w:val="5A382944"/>
    <w:rsid w:val="5A3966BC"/>
    <w:rsid w:val="5A3A490E"/>
    <w:rsid w:val="5A3A59D4"/>
    <w:rsid w:val="5A3A7F26"/>
    <w:rsid w:val="5A3B0686"/>
    <w:rsid w:val="5A3B1AC9"/>
    <w:rsid w:val="5A3C0AEE"/>
    <w:rsid w:val="5A3C1C76"/>
    <w:rsid w:val="5A3F1F24"/>
    <w:rsid w:val="5A4028B1"/>
    <w:rsid w:val="5A421A14"/>
    <w:rsid w:val="5A427C66"/>
    <w:rsid w:val="5A4526B5"/>
    <w:rsid w:val="5A45526D"/>
    <w:rsid w:val="5A461504"/>
    <w:rsid w:val="5A4636D1"/>
    <w:rsid w:val="5A490FF5"/>
    <w:rsid w:val="5A492DA3"/>
    <w:rsid w:val="5A494B51"/>
    <w:rsid w:val="5A4A4207"/>
    <w:rsid w:val="5A4A559B"/>
    <w:rsid w:val="5A4B3BC7"/>
    <w:rsid w:val="5A4B6B1B"/>
    <w:rsid w:val="5A4C15AE"/>
    <w:rsid w:val="5A4C2893"/>
    <w:rsid w:val="5A4C39FF"/>
    <w:rsid w:val="5A4C4641"/>
    <w:rsid w:val="5A4E03B9"/>
    <w:rsid w:val="5A4E2167"/>
    <w:rsid w:val="5A4E7802"/>
    <w:rsid w:val="5A511C57"/>
    <w:rsid w:val="5A513A05"/>
    <w:rsid w:val="5A517EA9"/>
    <w:rsid w:val="5A533C21"/>
    <w:rsid w:val="5A53777D"/>
    <w:rsid w:val="5A54077E"/>
    <w:rsid w:val="5A542405"/>
    <w:rsid w:val="5A56101C"/>
    <w:rsid w:val="5A565472"/>
    <w:rsid w:val="5A56726E"/>
    <w:rsid w:val="5A570197"/>
    <w:rsid w:val="5A581238"/>
    <w:rsid w:val="5A582502"/>
    <w:rsid w:val="5A582A58"/>
    <w:rsid w:val="5A5A1BC7"/>
    <w:rsid w:val="5A5A4FB0"/>
    <w:rsid w:val="5A5A6003"/>
    <w:rsid w:val="5A5B2AD6"/>
    <w:rsid w:val="5A5B515A"/>
    <w:rsid w:val="5A5D3DD6"/>
    <w:rsid w:val="5A5D684E"/>
    <w:rsid w:val="5A5F35D0"/>
    <w:rsid w:val="5A5F6122"/>
    <w:rsid w:val="5A604A46"/>
    <w:rsid w:val="5A623D66"/>
    <w:rsid w:val="5A635857"/>
    <w:rsid w:val="5A63720B"/>
    <w:rsid w:val="5A64198B"/>
    <w:rsid w:val="5A6574B1"/>
    <w:rsid w:val="5A67147B"/>
    <w:rsid w:val="5A673229"/>
    <w:rsid w:val="5A6751B0"/>
    <w:rsid w:val="5A693430"/>
    <w:rsid w:val="5A6A06C9"/>
    <w:rsid w:val="5A6B2D19"/>
    <w:rsid w:val="5A6B4FA9"/>
    <w:rsid w:val="5A6D433E"/>
    <w:rsid w:val="5A6D4479"/>
    <w:rsid w:val="5A6E2809"/>
    <w:rsid w:val="5A6E663E"/>
    <w:rsid w:val="5A6E704A"/>
    <w:rsid w:val="5A6F20DD"/>
    <w:rsid w:val="5A6F4AB9"/>
    <w:rsid w:val="5A6F50B0"/>
    <w:rsid w:val="5A6F6834"/>
    <w:rsid w:val="5A7006DC"/>
    <w:rsid w:val="5A733535"/>
    <w:rsid w:val="5A733899"/>
    <w:rsid w:val="5A767910"/>
    <w:rsid w:val="5A77291D"/>
    <w:rsid w:val="5A7840A0"/>
    <w:rsid w:val="5A792A1C"/>
    <w:rsid w:val="5A7A11AE"/>
    <w:rsid w:val="5A7C4995"/>
    <w:rsid w:val="5A7D0216"/>
    <w:rsid w:val="5A7D5B36"/>
    <w:rsid w:val="5A7E3EBC"/>
    <w:rsid w:val="5A81253D"/>
    <w:rsid w:val="5A814E38"/>
    <w:rsid w:val="5A821E11"/>
    <w:rsid w:val="5A84202D"/>
    <w:rsid w:val="5A843DDB"/>
    <w:rsid w:val="5A845B89"/>
    <w:rsid w:val="5A851901"/>
    <w:rsid w:val="5A8552B0"/>
    <w:rsid w:val="5A861016"/>
    <w:rsid w:val="5A865020"/>
    <w:rsid w:val="5A866761"/>
    <w:rsid w:val="5A882A10"/>
    <w:rsid w:val="5A8A39A1"/>
    <w:rsid w:val="5A8B4E31"/>
    <w:rsid w:val="5A8B5D3D"/>
    <w:rsid w:val="5A8C6946"/>
    <w:rsid w:val="5A8E6D2D"/>
    <w:rsid w:val="5A8F1F6B"/>
    <w:rsid w:val="5A9009D2"/>
    <w:rsid w:val="5A90452E"/>
    <w:rsid w:val="5A907841"/>
    <w:rsid w:val="5A92474A"/>
    <w:rsid w:val="5A941617"/>
    <w:rsid w:val="5A952308"/>
    <w:rsid w:val="5A9539BF"/>
    <w:rsid w:val="5A9543EF"/>
    <w:rsid w:val="5A9546AA"/>
    <w:rsid w:val="5A955FE8"/>
    <w:rsid w:val="5A981634"/>
    <w:rsid w:val="5A985A61"/>
    <w:rsid w:val="5A99726A"/>
    <w:rsid w:val="5A9A1850"/>
    <w:rsid w:val="5A9A35FE"/>
    <w:rsid w:val="5A9A37B2"/>
    <w:rsid w:val="5A9B1124"/>
    <w:rsid w:val="5A9C0987"/>
    <w:rsid w:val="5A9D58CC"/>
    <w:rsid w:val="5A9E261A"/>
    <w:rsid w:val="5A9E4931"/>
    <w:rsid w:val="5A9F053A"/>
    <w:rsid w:val="5A9F0FFC"/>
    <w:rsid w:val="5AA004E9"/>
    <w:rsid w:val="5AA0551E"/>
    <w:rsid w:val="5AA1593C"/>
    <w:rsid w:val="5AA32FD6"/>
    <w:rsid w:val="5AA410A9"/>
    <w:rsid w:val="5AA4447D"/>
    <w:rsid w:val="5AA4622B"/>
    <w:rsid w:val="5AA61A39"/>
    <w:rsid w:val="5AA844BF"/>
    <w:rsid w:val="5AA91A93"/>
    <w:rsid w:val="5AAB580B"/>
    <w:rsid w:val="5AAE33CB"/>
    <w:rsid w:val="5AAE70AA"/>
    <w:rsid w:val="5AB04BD0"/>
    <w:rsid w:val="5AB07B74"/>
    <w:rsid w:val="5AB26A14"/>
    <w:rsid w:val="5AB35A09"/>
    <w:rsid w:val="5AB411BA"/>
    <w:rsid w:val="5AB41E6A"/>
    <w:rsid w:val="5AB5456B"/>
    <w:rsid w:val="5AB6152D"/>
    <w:rsid w:val="5AB625A4"/>
    <w:rsid w:val="5AB63601"/>
    <w:rsid w:val="5AB64977"/>
    <w:rsid w:val="5AB67D0C"/>
    <w:rsid w:val="5AB741B0"/>
    <w:rsid w:val="5AB77EAE"/>
    <w:rsid w:val="5AB81CD6"/>
    <w:rsid w:val="5AB83A84"/>
    <w:rsid w:val="5AB87F28"/>
    <w:rsid w:val="5AB95EE2"/>
    <w:rsid w:val="5ABA15AB"/>
    <w:rsid w:val="5ABA5663"/>
    <w:rsid w:val="5ABB5323"/>
    <w:rsid w:val="5ABC0B62"/>
    <w:rsid w:val="5ABD553F"/>
    <w:rsid w:val="5ABD5BE9"/>
    <w:rsid w:val="5ABD6193"/>
    <w:rsid w:val="5ABD72ED"/>
    <w:rsid w:val="5AC0646B"/>
    <w:rsid w:val="5AC11961"/>
    <w:rsid w:val="5AC15E00"/>
    <w:rsid w:val="5AC22D54"/>
    <w:rsid w:val="5AC266B1"/>
    <w:rsid w:val="5AC32B55"/>
    <w:rsid w:val="5AC4067B"/>
    <w:rsid w:val="5AC46799"/>
    <w:rsid w:val="5AC4754B"/>
    <w:rsid w:val="5AC60BF9"/>
    <w:rsid w:val="5AC6388E"/>
    <w:rsid w:val="5AC643F3"/>
    <w:rsid w:val="5AC67D3B"/>
    <w:rsid w:val="5AC8016B"/>
    <w:rsid w:val="5AC92D10"/>
    <w:rsid w:val="5AC93EE4"/>
    <w:rsid w:val="5AC95C92"/>
    <w:rsid w:val="5ACA4E2C"/>
    <w:rsid w:val="5ACB37B8"/>
    <w:rsid w:val="5ACB546B"/>
    <w:rsid w:val="5ACB57B0"/>
    <w:rsid w:val="5ACC5286"/>
    <w:rsid w:val="5ACD184B"/>
    <w:rsid w:val="5ACE0C44"/>
    <w:rsid w:val="5ACE0C54"/>
    <w:rsid w:val="5ACE14FA"/>
    <w:rsid w:val="5AD00DCE"/>
    <w:rsid w:val="5AD04CA5"/>
    <w:rsid w:val="5AD05272"/>
    <w:rsid w:val="5AD16223"/>
    <w:rsid w:val="5AD16508"/>
    <w:rsid w:val="5AD175C5"/>
    <w:rsid w:val="5AD220BA"/>
    <w:rsid w:val="5AD26E4E"/>
    <w:rsid w:val="5AD26F57"/>
    <w:rsid w:val="5AD33626"/>
    <w:rsid w:val="5AD42FAA"/>
    <w:rsid w:val="5AD61FA7"/>
    <w:rsid w:val="5AD76600"/>
    <w:rsid w:val="5AD77B6E"/>
    <w:rsid w:val="5ADA376B"/>
    <w:rsid w:val="5ADC3C17"/>
    <w:rsid w:val="5ADD00A9"/>
    <w:rsid w:val="5ADD173D"/>
    <w:rsid w:val="5ADD3154"/>
    <w:rsid w:val="5ADE1CCB"/>
    <w:rsid w:val="5ADE25C2"/>
    <w:rsid w:val="5ADF3707"/>
    <w:rsid w:val="5ADF7263"/>
    <w:rsid w:val="5AE0754B"/>
    <w:rsid w:val="5AE1122D"/>
    <w:rsid w:val="5AE1144E"/>
    <w:rsid w:val="5AE12FDB"/>
    <w:rsid w:val="5AE14B07"/>
    <w:rsid w:val="5AE20B01"/>
    <w:rsid w:val="5AE26D53"/>
    <w:rsid w:val="5AE33F73"/>
    <w:rsid w:val="5AE44879"/>
    <w:rsid w:val="5AE467A0"/>
    <w:rsid w:val="5AE605F2"/>
    <w:rsid w:val="5AE71369"/>
    <w:rsid w:val="5AE72292"/>
    <w:rsid w:val="5AE825BC"/>
    <w:rsid w:val="5AE8436A"/>
    <w:rsid w:val="5AE843BC"/>
    <w:rsid w:val="5AE91224"/>
    <w:rsid w:val="5AEB20AC"/>
    <w:rsid w:val="5AEC372E"/>
    <w:rsid w:val="5AED0BE5"/>
    <w:rsid w:val="5AED1980"/>
    <w:rsid w:val="5AED6799"/>
    <w:rsid w:val="5AED7BD2"/>
    <w:rsid w:val="5AEE56F8"/>
    <w:rsid w:val="5AEF16EA"/>
    <w:rsid w:val="5AF0321E"/>
    <w:rsid w:val="5AF063B6"/>
    <w:rsid w:val="5AF076C2"/>
    <w:rsid w:val="5AF2343A"/>
    <w:rsid w:val="5AF26F96"/>
    <w:rsid w:val="5AF276C4"/>
    <w:rsid w:val="5AF44F79"/>
    <w:rsid w:val="5AF50101"/>
    <w:rsid w:val="5AF50835"/>
    <w:rsid w:val="5AF51A6A"/>
    <w:rsid w:val="5AF56452"/>
    <w:rsid w:val="5AF56A87"/>
    <w:rsid w:val="5AF70A51"/>
    <w:rsid w:val="5AF70F55"/>
    <w:rsid w:val="5AF81503"/>
    <w:rsid w:val="5AF84F65"/>
    <w:rsid w:val="5AF947C9"/>
    <w:rsid w:val="5AF95A53"/>
    <w:rsid w:val="5AF96577"/>
    <w:rsid w:val="5AF975A4"/>
    <w:rsid w:val="5AFA5E4B"/>
    <w:rsid w:val="5AFA67D1"/>
    <w:rsid w:val="5AFC1066"/>
    <w:rsid w:val="5AFE3B8D"/>
    <w:rsid w:val="5AFF15CC"/>
    <w:rsid w:val="5AFF16B3"/>
    <w:rsid w:val="5AFF2821"/>
    <w:rsid w:val="5AFF3461"/>
    <w:rsid w:val="5B01542B"/>
    <w:rsid w:val="5B015B19"/>
    <w:rsid w:val="5B016B22"/>
    <w:rsid w:val="5B0171D9"/>
    <w:rsid w:val="5B036778"/>
    <w:rsid w:val="5B03716B"/>
    <w:rsid w:val="5B03793C"/>
    <w:rsid w:val="5B04316E"/>
    <w:rsid w:val="5B044F1C"/>
    <w:rsid w:val="5B062A42"/>
    <w:rsid w:val="5B0646B1"/>
    <w:rsid w:val="5B0664B5"/>
    <w:rsid w:val="5B070568"/>
    <w:rsid w:val="5B0726A8"/>
    <w:rsid w:val="5B0A7ABB"/>
    <w:rsid w:val="5B0B1E06"/>
    <w:rsid w:val="5B0B44FC"/>
    <w:rsid w:val="5B0D19C8"/>
    <w:rsid w:val="5B0D5B7E"/>
    <w:rsid w:val="5B0E18F6"/>
    <w:rsid w:val="5B10566E"/>
    <w:rsid w:val="5B1213E7"/>
    <w:rsid w:val="5B12588A"/>
    <w:rsid w:val="5B146880"/>
    <w:rsid w:val="5B150ED7"/>
    <w:rsid w:val="5B152C85"/>
    <w:rsid w:val="5B16743A"/>
    <w:rsid w:val="5B184523"/>
    <w:rsid w:val="5B1909C7"/>
    <w:rsid w:val="5B191A6B"/>
    <w:rsid w:val="5B195BCF"/>
    <w:rsid w:val="5B1A14DF"/>
    <w:rsid w:val="5B1B60CD"/>
    <w:rsid w:val="5B1C2265"/>
    <w:rsid w:val="5B1C235B"/>
    <w:rsid w:val="5B1C4013"/>
    <w:rsid w:val="5B1C5151"/>
    <w:rsid w:val="5B1E5BCC"/>
    <w:rsid w:val="5B1F705C"/>
    <w:rsid w:val="5B215ACE"/>
    <w:rsid w:val="5B21787C"/>
    <w:rsid w:val="5B222E74"/>
    <w:rsid w:val="5B231846"/>
    <w:rsid w:val="5B2353A2"/>
    <w:rsid w:val="5B242EC8"/>
    <w:rsid w:val="5B247141"/>
    <w:rsid w:val="5B24736C"/>
    <w:rsid w:val="5B247817"/>
    <w:rsid w:val="5B2555BE"/>
    <w:rsid w:val="5B2630E4"/>
    <w:rsid w:val="5B267A73"/>
    <w:rsid w:val="5B27547A"/>
    <w:rsid w:val="5B2B154B"/>
    <w:rsid w:val="5B2B1C19"/>
    <w:rsid w:val="5B2B6D40"/>
    <w:rsid w:val="5B2C3825"/>
    <w:rsid w:val="5B2D6220"/>
    <w:rsid w:val="5B2F1283"/>
    <w:rsid w:val="5B2F39FB"/>
    <w:rsid w:val="5B2F7039"/>
    <w:rsid w:val="5B303F63"/>
    <w:rsid w:val="5B307ABF"/>
    <w:rsid w:val="5B34098D"/>
    <w:rsid w:val="5B353327"/>
    <w:rsid w:val="5B370E4D"/>
    <w:rsid w:val="5B372BFB"/>
    <w:rsid w:val="5B375855"/>
    <w:rsid w:val="5B3927D4"/>
    <w:rsid w:val="5B3944A5"/>
    <w:rsid w:val="5B3C1155"/>
    <w:rsid w:val="5B3C15DC"/>
    <w:rsid w:val="5B3C2907"/>
    <w:rsid w:val="5B3C46B5"/>
    <w:rsid w:val="5B3D4DE9"/>
    <w:rsid w:val="5B3F7D02"/>
    <w:rsid w:val="5B402A74"/>
    <w:rsid w:val="5B410F66"/>
    <w:rsid w:val="5B417F1E"/>
    <w:rsid w:val="5B42334E"/>
    <w:rsid w:val="5B424FC7"/>
    <w:rsid w:val="5B43372F"/>
    <w:rsid w:val="5B434F44"/>
    <w:rsid w:val="5B4377F2"/>
    <w:rsid w:val="5B4408DF"/>
    <w:rsid w:val="5B4433AF"/>
    <w:rsid w:val="5B44356A"/>
    <w:rsid w:val="5B4478E7"/>
    <w:rsid w:val="5B4517BC"/>
    <w:rsid w:val="5B455495"/>
    <w:rsid w:val="5B484E08"/>
    <w:rsid w:val="5B486D98"/>
    <w:rsid w:val="5B490B80"/>
    <w:rsid w:val="5B4A20E7"/>
    <w:rsid w:val="5B4B4787"/>
    <w:rsid w:val="5B4B48F9"/>
    <w:rsid w:val="5B4D241F"/>
    <w:rsid w:val="5B4D68C3"/>
    <w:rsid w:val="5B4E0839"/>
    <w:rsid w:val="5B4F49FA"/>
    <w:rsid w:val="5B501F0F"/>
    <w:rsid w:val="5B51013C"/>
    <w:rsid w:val="5B5163B3"/>
    <w:rsid w:val="5B523ED9"/>
    <w:rsid w:val="5B525C87"/>
    <w:rsid w:val="5B53055A"/>
    <w:rsid w:val="5B5473DC"/>
    <w:rsid w:val="5B5600D1"/>
    <w:rsid w:val="5B562EDC"/>
    <w:rsid w:val="5B5639C9"/>
    <w:rsid w:val="5B5714EF"/>
    <w:rsid w:val="5B57329D"/>
    <w:rsid w:val="5B57504B"/>
    <w:rsid w:val="5B5933F8"/>
    <w:rsid w:val="5B594128"/>
    <w:rsid w:val="5B597FCA"/>
    <w:rsid w:val="5B5A4B3C"/>
    <w:rsid w:val="5B5B07A6"/>
    <w:rsid w:val="5B5B57CD"/>
    <w:rsid w:val="5B5C08B4"/>
    <w:rsid w:val="5B5E1421"/>
    <w:rsid w:val="5B5E287E"/>
    <w:rsid w:val="5B5E3BB6"/>
    <w:rsid w:val="5B5E462C"/>
    <w:rsid w:val="5B5F7A7D"/>
    <w:rsid w:val="5B6065F6"/>
    <w:rsid w:val="5B607CF8"/>
    <w:rsid w:val="5B615ECA"/>
    <w:rsid w:val="5B6237DD"/>
    <w:rsid w:val="5B633ED6"/>
    <w:rsid w:val="5B635BBA"/>
    <w:rsid w:val="5B63662B"/>
    <w:rsid w:val="5B647768"/>
    <w:rsid w:val="5B662AA4"/>
    <w:rsid w:val="5B667984"/>
    <w:rsid w:val="5B672C81"/>
    <w:rsid w:val="5B683471"/>
    <w:rsid w:val="5B6836FC"/>
    <w:rsid w:val="5B6851E7"/>
    <w:rsid w:val="5B687259"/>
    <w:rsid w:val="5B692A0A"/>
    <w:rsid w:val="5B694D7F"/>
    <w:rsid w:val="5B6A2D43"/>
    <w:rsid w:val="5B6B49DA"/>
    <w:rsid w:val="5B6C02A2"/>
    <w:rsid w:val="5B6C36E9"/>
    <w:rsid w:val="5B6D2AC1"/>
    <w:rsid w:val="5B6D2D12"/>
    <w:rsid w:val="5B6D486F"/>
    <w:rsid w:val="5B6D6AF3"/>
    <w:rsid w:val="5B6F4A8B"/>
    <w:rsid w:val="5B70610D"/>
    <w:rsid w:val="5B715CBC"/>
    <w:rsid w:val="5B7200D7"/>
    <w:rsid w:val="5B720899"/>
    <w:rsid w:val="5B721E85"/>
    <w:rsid w:val="5B724DDF"/>
    <w:rsid w:val="5B751A8B"/>
    <w:rsid w:val="5B756C0C"/>
    <w:rsid w:val="5B761BB1"/>
    <w:rsid w:val="5B767BC7"/>
    <w:rsid w:val="5B773940"/>
    <w:rsid w:val="5B776210"/>
    <w:rsid w:val="5B791466"/>
    <w:rsid w:val="5B7A61E2"/>
    <w:rsid w:val="5B7A79B5"/>
    <w:rsid w:val="5B7B0F25"/>
    <w:rsid w:val="5B7B3430"/>
    <w:rsid w:val="5B7C0BB4"/>
    <w:rsid w:val="5B7C0F56"/>
    <w:rsid w:val="5B7C6351"/>
    <w:rsid w:val="5B7D49B7"/>
    <w:rsid w:val="5B7E6A7C"/>
    <w:rsid w:val="5B7F2398"/>
    <w:rsid w:val="5B7F45A2"/>
    <w:rsid w:val="5B800A46"/>
    <w:rsid w:val="5B8027F4"/>
    <w:rsid w:val="5B804F69"/>
    <w:rsid w:val="5B807489"/>
    <w:rsid w:val="5B80790E"/>
    <w:rsid w:val="5B8147BE"/>
    <w:rsid w:val="5B81656C"/>
    <w:rsid w:val="5B8223B2"/>
    <w:rsid w:val="5B833EC5"/>
    <w:rsid w:val="5B835E40"/>
    <w:rsid w:val="5B841401"/>
    <w:rsid w:val="5B842DE0"/>
    <w:rsid w:val="5B843107"/>
    <w:rsid w:val="5B84591C"/>
    <w:rsid w:val="5B847E83"/>
    <w:rsid w:val="5B856D3C"/>
    <w:rsid w:val="5B863B83"/>
    <w:rsid w:val="5B86769A"/>
    <w:rsid w:val="5B867F38"/>
    <w:rsid w:val="5B8816A9"/>
    <w:rsid w:val="5B882825"/>
    <w:rsid w:val="5B885B4D"/>
    <w:rsid w:val="5B8920A2"/>
    <w:rsid w:val="5B8B1CAF"/>
    <w:rsid w:val="5B8C73EB"/>
    <w:rsid w:val="5B8D3163"/>
    <w:rsid w:val="5B8D4F11"/>
    <w:rsid w:val="5B8D6CBF"/>
    <w:rsid w:val="5B8F1E8D"/>
    <w:rsid w:val="5B8F2A37"/>
    <w:rsid w:val="5B8F47E5"/>
    <w:rsid w:val="5B8F6EDB"/>
    <w:rsid w:val="5B902AAE"/>
    <w:rsid w:val="5B920779"/>
    <w:rsid w:val="5B922527"/>
    <w:rsid w:val="5B9242D5"/>
    <w:rsid w:val="5B9444F1"/>
    <w:rsid w:val="5B953DC6"/>
    <w:rsid w:val="5B962018"/>
    <w:rsid w:val="5B97302A"/>
    <w:rsid w:val="5B975306"/>
    <w:rsid w:val="5B977B3E"/>
    <w:rsid w:val="5B9820C7"/>
    <w:rsid w:val="5B990F57"/>
    <w:rsid w:val="5B9A1097"/>
    <w:rsid w:val="5B9B13DC"/>
    <w:rsid w:val="5B9B5880"/>
    <w:rsid w:val="5B9B762E"/>
    <w:rsid w:val="5B9C5BD2"/>
    <w:rsid w:val="5B9D535B"/>
    <w:rsid w:val="5B9D7B5D"/>
    <w:rsid w:val="5B9E0DFA"/>
    <w:rsid w:val="5B9E2C7A"/>
    <w:rsid w:val="5B9E711E"/>
    <w:rsid w:val="5B9F37F3"/>
    <w:rsid w:val="5B9F4F2F"/>
    <w:rsid w:val="5BA04C44"/>
    <w:rsid w:val="5BA109BC"/>
    <w:rsid w:val="5BA113F4"/>
    <w:rsid w:val="5BA1276A"/>
    <w:rsid w:val="5BA26922"/>
    <w:rsid w:val="5BA3420F"/>
    <w:rsid w:val="5BA34735"/>
    <w:rsid w:val="5BA43FB8"/>
    <w:rsid w:val="5BA52922"/>
    <w:rsid w:val="5BA54009"/>
    <w:rsid w:val="5BA65FD3"/>
    <w:rsid w:val="5BA70114"/>
    <w:rsid w:val="5BA74225"/>
    <w:rsid w:val="5BA87F9D"/>
    <w:rsid w:val="5BAA161F"/>
    <w:rsid w:val="5BAA6A95"/>
    <w:rsid w:val="5BAA7871"/>
    <w:rsid w:val="5BAB5397"/>
    <w:rsid w:val="5BAC00FE"/>
    <w:rsid w:val="5BAC455A"/>
    <w:rsid w:val="5BAD4380"/>
    <w:rsid w:val="5BAE68A6"/>
    <w:rsid w:val="5BB046AB"/>
    <w:rsid w:val="5BB06ECF"/>
    <w:rsid w:val="5BB25BC4"/>
    <w:rsid w:val="5BB27DF8"/>
    <w:rsid w:val="5BB406F0"/>
    <w:rsid w:val="5BB4249E"/>
    <w:rsid w:val="5BB452AA"/>
    <w:rsid w:val="5BB46942"/>
    <w:rsid w:val="5BB5715A"/>
    <w:rsid w:val="5BB64468"/>
    <w:rsid w:val="5BB71F8E"/>
    <w:rsid w:val="5BB75A98"/>
    <w:rsid w:val="5BB77C09"/>
    <w:rsid w:val="5BB91D29"/>
    <w:rsid w:val="5BB93137"/>
    <w:rsid w:val="5BB932CB"/>
    <w:rsid w:val="5BB97AB4"/>
    <w:rsid w:val="5BBA55DA"/>
    <w:rsid w:val="5BBD3A7B"/>
    <w:rsid w:val="5BBE156E"/>
    <w:rsid w:val="5BBE331C"/>
    <w:rsid w:val="5BBE50CA"/>
    <w:rsid w:val="5BC052E6"/>
    <w:rsid w:val="5BC05BF7"/>
    <w:rsid w:val="5BC16969"/>
    <w:rsid w:val="5BC279BC"/>
    <w:rsid w:val="5BC31D7F"/>
    <w:rsid w:val="5BC326E1"/>
    <w:rsid w:val="5BC349EC"/>
    <w:rsid w:val="5BC36777"/>
    <w:rsid w:val="5BC565B7"/>
    <w:rsid w:val="5BC621D1"/>
    <w:rsid w:val="5BC67479"/>
    <w:rsid w:val="5BC70423"/>
    <w:rsid w:val="5BC8375F"/>
    <w:rsid w:val="5BC97600"/>
    <w:rsid w:val="5BCA11E3"/>
    <w:rsid w:val="5BCA7F13"/>
    <w:rsid w:val="5BCB1D4B"/>
    <w:rsid w:val="5BCC4E68"/>
    <w:rsid w:val="5BCC5A39"/>
    <w:rsid w:val="5BCD17B1"/>
    <w:rsid w:val="5BCD37F1"/>
    <w:rsid w:val="5BCE42AD"/>
    <w:rsid w:val="5BCE7A03"/>
    <w:rsid w:val="5BCF382F"/>
    <w:rsid w:val="5BCF72D8"/>
    <w:rsid w:val="5BD10D34"/>
    <w:rsid w:val="5BD112A2"/>
    <w:rsid w:val="5BD236B1"/>
    <w:rsid w:val="5BD243A7"/>
    <w:rsid w:val="5BD32D6E"/>
    <w:rsid w:val="5BD4096F"/>
    <w:rsid w:val="5BD42177"/>
    <w:rsid w:val="5BD4669C"/>
    <w:rsid w:val="5BD57899"/>
    <w:rsid w:val="5BD8226E"/>
    <w:rsid w:val="5BDA6E38"/>
    <w:rsid w:val="5BDB3ECE"/>
    <w:rsid w:val="5BDC37A3"/>
    <w:rsid w:val="5BDD4CB8"/>
    <w:rsid w:val="5BDD5BE0"/>
    <w:rsid w:val="5BDD5CDE"/>
    <w:rsid w:val="5BDE39BF"/>
    <w:rsid w:val="5BE04402"/>
    <w:rsid w:val="5BE10DB9"/>
    <w:rsid w:val="5BE32A82"/>
    <w:rsid w:val="5BE427EA"/>
    <w:rsid w:val="5BE508A9"/>
    <w:rsid w:val="5BE54D4D"/>
    <w:rsid w:val="5BE56AFB"/>
    <w:rsid w:val="5BE64117"/>
    <w:rsid w:val="5BE663CF"/>
    <w:rsid w:val="5BE66CE8"/>
    <w:rsid w:val="5BE67359"/>
    <w:rsid w:val="5BE70178"/>
    <w:rsid w:val="5BE70AC5"/>
    <w:rsid w:val="5BE74621"/>
    <w:rsid w:val="5BE755A7"/>
    <w:rsid w:val="5BE75801"/>
    <w:rsid w:val="5BE80399"/>
    <w:rsid w:val="5BE8045D"/>
    <w:rsid w:val="5BE8603E"/>
    <w:rsid w:val="5BE92A98"/>
    <w:rsid w:val="5BEA3F28"/>
    <w:rsid w:val="5BEB2337"/>
    <w:rsid w:val="5BEB3DDA"/>
    <w:rsid w:val="5BEC5E37"/>
    <w:rsid w:val="5BED637C"/>
    <w:rsid w:val="5BEF1728"/>
    <w:rsid w:val="5BEF1799"/>
    <w:rsid w:val="5BEF34D6"/>
    <w:rsid w:val="5BF04570"/>
    <w:rsid w:val="5BF079BD"/>
    <w:rsid w:val="5BF11E3E"/>
    <w:rsid w:val="5BF136F2"/>
    <w:rsid w:val="5BF1724E"/>
    <w:rsid w:val="5BF31218"/>
    <w:rsid w:val="5BF37867"/>
    <w:rsid w:val="5BF422D7"/>
    <w:rsid w:val="5BF518EC"/>
    <w:rsid w:val="5BF55526"/>
    <w:rsid w:val="5BF60D08"/>
    <w:rsid w:val="5BF61401"/>
    <w:rsid w:val="5BF62AB6"/>
    <w:rsid w:val="5BF6533F"/>
    <w:rsid w:val="5BF70CCD"/>
    <w:rsid w:val="5BF7298D"/>
    <w:rsid w:val="5BF75EC8"/>
    <w:rsid w:val="5BF8660A"/>
    <w:rsid w:val="5BF86F72"/>
    <w:rsid w:val="5BF94355"/>
    <w:rsid w:val="5BF9571B"/>
    <w:rsid w:val="5BFC461E"/>
    <w:rsid w:val="5BFC5BF3"/>
    <w:rsid w:val="5BFD0F0E"/>
    <w:rsid w:val="5BFD2097"/>
    <w:rsid w:val="5BFD6830"/>
    <w:rsid w:val="5BFE382E"/>
    <w:rsid w:val="5BFE5544"/>
    <w:rsid w:val="5BFE5B97"/>
    <w:rsid w:val="5BFE5E0F"/>
    <w:rsid w:val="5BFE7BBD"/>
    <w:rsid w:val="5C001B87"/>
    <w:rsid w:val="5C0056E3"/>
    <w:rsid w:val="5C013209"/>
    <w:rsid w:val="5C02145B"/>
    <w:rsid w:val="5C052CF9"/>
    <w:rsid w:val="5C05719D"/>
    <w:rsid w:val="5C071A07"/>
    <w:rsid w:val="5C073450"/>
    <w:rsid w:val="5C0827EA"/>
    <w:rsid w:val="5C0A0310"/>
    <w:rsid w:val="5C0B73BE"/>
    <w:rsid w:val="5C0C052C"/>
    <w:rsid w:val="5C0D1BAE"/>
    <w:rsid w:val="5C0F015B"/>
    <w:rsid w:val="5C0F3B78"/>
    <w:rsid w:val="5C0F5926"/>
    <w:rsid w:val="5C0F5EF4"/>
    <w:rsid w:val="5C102C36"/>
    <w:rsid w:val="5C1178F0"/>
    <w:rsid w:val="5C1271C4"/>
    <w:rsid w:val="5C14118E"/>
    <w:rsid w:val="5C143725"/>
    <w:rsid w:val="5C166E64"/>
    <w:rsid w:val="5C1679CD"/>
    <w:rsid w:val="5C174686"/>
    <w:rsid w:val="5C182A2D"/>
    <w:rsid w:val="5C1949F7"/>
    <w:rsid w:val="5C1967A5"/>
    <w:rsid w:val="5C1A3007"/>
    <w:rsid w:val="5C1A67FD"/>
    <w:rsid w:val="5C1B42CB"/>
    <w:rsid w:val="5C1C5827"/>
    <w:rsid w:val="5C1C79E2"/>
    <w:rsid w:val="5C1E059C"/>
    <w:rsid w:val="5C1E200D"/>
    <w:rsid w:val="5C1F025F"/>
    <w:rsid w:val="5C1F4C60"/>
    <w:rsid w:val="5C232079"/>
    <w:rsid w:val="5C2358A5"/>
    <w:rsid w:val="5C237623"/>
    <w:rsid w:val="5C241F42"/>
    <w:rsid w:val="5C2515ED"/>
    <w:rsid w:val="5C25339C"/>
    <w:rsid w:val="5C270EC2"/>
    <w:rsid w:val="5C273ACF"/>
    <w:rsid w:val="5C277114"/>
    <w:rsid w:val="5C283570"/>
    <w:rsid w:val="5C2869E8"/>
    <w:rsid w:val="5C297CF0"/>
    <w:rsid w:val="5C2A19DF"/>
    <w:rsid w:val="5C2A2760"/>
    <w:rsid w:val="5C2B55F6"/>
    <w:rsid w:val="5C2C5305"/>
    <w:rsid w:val="5C2E2250"/>
    <w:rsid w:val="5C2F7D76"/>
    <w:rsid w:val="5C30522C"/>
    <w:rsid w:val="5C317F92"/>
    <w:rsid w:val="5C337866"/>
    <w:rsid w:val="5C3435DF"/>
    <w:rsid w:val="5C3655A9"/>
    <w:rsid w:val="5C36795D"/>
    <w:rsid w:val="5C367B48"/>
    <w:rsid w:val="5C376146"/>
    <w:rsid w:val="5C3A23F1"/>
    <w:rsid w:val="5C3B2BBF"/>
    <w:rsid w:val="5C3C72F3"/>
    <w:rsid w:val="5C3D2493"/>
    <w:rsid w:val="5C3D5400"/>
    <w:rsid w:val="5C3D63A0"/>
    <w:rsid w:val="5C3E0CC0"/>
    <w:rsid w:val="5C3E2241"/>
    <w:rsid w:val="5C3E310F"/>
    <w:rsid w:val="5C3E4CEB"/>
    <w:rsid w:val="5C3E620B"/>
    <w:rsid w:val="5C3F0366"/>
    <w:rsid w:val="5C3F09E6"/>
    <w:rsid w:val="5C401F83"/>
    <w:rsid w:val="5C430981"/>
    <w:rsid w:val="5C433822"/>
    <w:rsid w:val="5C437605"/>
    <w:rsid w:val="5C441794"/>
    <w:rsid w:val="5C451348"/>
    <w:rsid w:val="5C4557EC"/>
    <w:rsid w:val="5C466C57"/>
    <w:rsid w:val="5C4708E2"/>
    <w:rsid w:val="5C472C79"/>
    <w:rsid w:val="5C4879A7"/>
    <w:rsid w:val="5C487AAD"/>
    <w:rsid w:val="5C493AD1"/>
    <w:rsid w:val="5C4952DC"/>
    <w:rsid w:val="5C495DD3"/>
    <w:rsid w:val="5C4A12A7"/>
    <w:rsid w:val="5C4A2E02"/>
    <w:rsid w:val="5C4B1054"/>
    <w:rsid w:val="5C4B6CC8"/>
    <w:rsid w:val="5C4C6B7A"/>
    <w:rsid w:val="5C4D4754"/>
    <w:rsid w:val="5C4F0418"/>
    <w:rsid w:val="5C504B63"/>
    <w:rsid w:val="5C5060C3"/>
    <w:rsid w:val="5C514191"/>
    <w:rsid w:val="5C52377A"/>
    <w:rsid w:val="5C54662E"/>
    <w:rsid w:val="5C553A5A"/>
    <w:rsid w:val="5C553C81"/>
    <w:rsid w:val="5C55644D"/>
    <w:rsid w:val="5C563555"/>
    <w:rsid w:val="5C5679F9"/>
    <w:rsid w:val="5C5775F2"/>
    <w:rsid w:val="5C58107B"/>
    <w:rsid w:val="5C581867"/>
    <w:rsid w:val="5C581C21"/>
    <w:rsid w:val="5C583771"/>
    <w:rsid w:val="5C584B1E"/>
    <w:rsid w:val="5C58551F"/>
    <w:rsid w:val="5C5857C9"/>
    <w:rsid w:val="5C58638B"/>
    <w:rsid w:val="5C5872CD"/>
    <w:rsid w:val="5C594DF3"/>
    <w:rsid w:val="5C5A1C17"/>
    <w:rsid w:val="5C5B500F"/>
    <w:rsid w:val="5C5D3033"/>
    <w:rsid w:val="5C5D3D4B"/>
    <w:rsid w:val="5C5F173A"/>
    <w:rsid w:val="5C60130C"/>
    <w:rsid w:val="5C606182"/>
    <w:rsid w:val="5C6171FB"/>
    <w:rsid w:val="5C62014C"/>
    <w:rsid w:val="5C621EFA"/>
    <w:rsid w:val="5C6221A2"/>
    <w:rsid w:val="5C6300BB"/>
    <w:rsid w:val="5C642116"/>
    <w:rsid w:val="5C6429D9"/>
    <w:rsid w:val="5C642CAF"/>
    <w:rsid w:val="5C64301A"/>
    <w:rsid w:val="5C643EC4"/>
    <w:rsid w:val="5C644C9A"/>
    <w:rsid w:val="5C645C72"/>
    <w:rsid w:val="5C65130B"/>
    <w:rsid w:val="5C654427"/>
    <w:rsid w:val="5C660DB8"/>
    <w:rsid w:val="5C660FA0"/>
    <w:rsid w:val="5C661155"/>
    <w:rsid w:val="5C6646F5"/>
    <w:rsid w:val="5C666120"/>
    <w:rsid w:val="5C672A9D"/>
    <w:rsid w:val="5C683F2D"/>
    <w:rsid w:val="5C6914DA"/>
    <w:rsid w:val="5C693288"/>
    <w:rsid w:val="5C6A0C1E"/>
    <w:rsid w:val="5C6A5252"/>
    <w:rsid w:val="5C6B12C7"/>
    <w:rsid w:val="5C6C010E"/>
    <w:rsid w:val="5C6C0FCA"/>
    <w:rsid w:val="5C6C2D78"/>
    <w:rsid w:val="5C6C4B26"/>
    <w:rsid w:val="5C6E089F"/>
    <w:rsid w:val="5C6E4DC6"/>
    <w:rsid w:val="5C6E6AF1"/>
    <w:rsid w:val="5C6F4617"/>
    <w:rsid w:val="5C71038F"/>
    <w:rsid w:val="5C725D18"/>
    <w:rsid w:val="5C732359"/>
    <w:rsid w:val="5C735EB5"/>
    <w:rsid w:val="5C737BB0"/>
    <w:rsid w:val="5C741921"/>
    <w:rsid w:val="5C741C2D"/>
    <w:rsid w:val="5C75591C"/>
    <w:rsid w:val="5C761E49"/>
    <w:rsid w:val="5C7659A5"/>
    <w:rsid w:val="5C766D87"/>
    <w:rsid w:val="5C775059"/>
    <w:rsid w:val="5C7A36E7"/>
    <w:rsid w:val="5C7C245E"/>
    <w:rsid w:val="5C7D4F86"/>
    <w:rsid w:val="5C7F2AAC"/>
    <w:rsid w:val="5C7F75E3"/>
    <w:rsid w:val="5C8005D2"/>
    <w:rsid w:val="5C806824"/>
    <w:rsid w:val="5C814A76"/>
    <w:rsid w:val="5C822B50"/>
    <w:rsid w:val="5C8276A5"/>
    <w:rsid w:val="5C840F2A"/>
    <w:rsid w:val="5C843150"/>
    <w:rsid w:val="5C844566"/>
    <w:rsid w:val="5C853E3A"/>
    <w:rsid w:val="5C862014"/>
    <w:rsid w:val="5C86208C"/>
    <w:rsid w:val="5C8648E5"/>
    <w:rsid w:val="5C877BB2"/>
    <w:rsid w:val="5C891B7C"/>
    <w:rsid w:val="5C892D32"/>
    <w:rsid w:val="5C89392A"/>
    <w:rsid w:val="5C8956D8"/>
    <w:rsid w:val="5C8A31FF"/>
    <w:rsid w:val="5C8C341B"/>
    <w:rsid w:val="5C8C51C9"/>
    <w:rsid w:val="5C8C75AA"/>
    <w:rsid w:val="5C8D1BE7"/>
    <w:rsid w:val="5C8E2CEF"/>
    <w:rsid w:val="5C8E5FB6"/>
    <w:rsid w:val="5C8F25FB"/>
    <w:rsid w:val="5C8F2968"/>
    <w:rsid w:val="5C8F6A67"/>
    <w:rsid w:val="5C901A04"/>
    <w:rsid w:val="5C901CA9"/>
    <w:rsid w:val="5C901CC8"/>
    <w:rsid w:val="5C902F0B"/>
    <w:rsid w:val="5C90400C"/>
    <w:rsid w:val="5C907B7A"/>
    <w:rsid w:val="5C910060"/>
    <w:rsid w:val="5C922E88"/>
    <w:rsid w:val="5C92678B"/>
    <w:rsid w:val="5C9347A9"/>
    <w:rsid w:val="5C935A59"/>
    <w:rsid w:val="5C9438CD"/>
    <w:rsid w:val="5C9509E3"/>
    <w:rsid w:val="5C9522CF"/>
    <w:rsid w:val="5C974299"/>
    <w:rsid w:val="5C9747D9"/>
    <w:rsid w:val="5C974B12"/>
    <w:rsid w:val="5C98591B"/>
    <w:rsid w:val="5C991C54"/>
    <w:rsid w:val="5C996EB9"/>
    <w:rsid w:val="5C9A1694"/>
    <w:rsid w:val="5C9A2AB1"/>
    <w:rsid w:val="5C9A7724"/>
    <w:rsid w:val="5C9A78E6"/>
    <w:rsid w:val="5C9B365E"/>
    <w:rsid w:val="5C9B540C"/>
    <w:rsid w:val="5C9D24FC"/>
    <w:rsid w:val="5C9D2F32"/>
    <w:rsid w:val="5C9D73D6"/>
    <w:rsid w:val="5C9F08E2"/>
    <w:rsid w:val="5C9F314E"/>
    <w:rsid w:val="5CA00C74"/>
    <w:rsid w:val="5CA018CE"/>
    <w:rsid w:val="5CA024D2"/>
    <w:rsid w:val="5CA14648"/>
    <w:rsid w:val="5CA22C3E"/>
    <w:rsid w:val="5CA24878"/>
    <w:rsid w:val="5CA2679A"/>
    <w:rsid w:val="5CA50038"/>
    <w:rsid w:val="5CA512FE"/>
    <w:rsid w:val="5CA6035B"/>
    <w:rsid w:val="5CA72002"/>
    <w:rsid w:val="5CA73DB1"/>
    <w:rsid w:val="5CA7535F"/>
    <w:rsid w:val="5CA93FCD"/>
    <w:rsid w:val="5CA97B29"/>
    <w:rsid w:val="5CAA110F"/>
    <w:rsid w:val="5CAC2DD4"/>
    <w:rsid w:val="5CAE4944"/>
    <w:rsid w:val="5CAE513F"/>
    <w:rsid w:val="5CAF25EE"/>
    <w:rsid w:val="5CAF2C65"/>
    <w:rsid w:val="5CB02E89"/>
    <w:rsid w:val="5CB10FE2"/>
    <w:rsid w:val="5CB14BAA"/>
    <w:rsid w:val="5CB169DD"/>
    <w:rsid w:val="5CB32755"/>
    <w:rsid w:val="5CB342E5"/>
    <w:rsid w:val="5CB573D3"/>
    <w:rsid w:val="5CB609AD"/>
    <w:rsid w:val="5CB73B39"/>
    <w:rsid w:val="5CB81DC0"/>
    <w:rsid w:val="5CBA7F88"/>
    <w:rsid w:val="5CBB0364"/>
    <w:rsid w:val="5CBB785C"/>
    <w:rsid w:val="5CBC5E64"/>
    <w:rsid w:val="5CBD2518"/>
    <w:rsid w:val="5CBD2F36"/>
    <w:rsid w:val="5CBD35D4"/>
    <w:rsid w:val="5CBD6D10"/>
    <w:rsid w:val="5CBE07F4"/>
    <w:rsid w:val="5CBE2821"/>
    <w:rsid w:val="5CBF559E"/>
    <w:rsid w:val="5CC1262C"/>
    <w:rsid w:val="5CC20BEA"/>
    <w:rsid w:val="5CC21F67"/>
    <w:rsid w:val="5CC24BEA"/>
    <w:rsid w:val="5CC2508E"/>
    <w:rsid w:val="5CC2690B"/>
    <w:rsid w:val="5CC26DCE"/>
    <w:rsid w:val="5CC26E3C"/>
    <w:rsid w:val="5CC374F9"/>
    <w:rsid w:val="5CC41C34"/>
    <w:rsid w:val="5CC4221C"/>
    <w:rsid w:val="5CC44962"/>
    <w:rsid w:val="5CC52489"/>
    <w:rsid w:val="5CC606DB"/>
    <w:rsid w:val="5CC6543C"/>
    <w:rsid w:val="5CC80423"/>
    <w:rsid w:val="5CC8079F"/>
    <w:rsid w:val="5CC826A5"/>
    <w:rsid w:val="5CC83530"/>
    <w:rsid w:val="5CC91F79"/>
    <w:rsid w:val="5CC93D27"/>
    <w:rsid w:val="5CCB4D4C"/>
    <w:rsid w:val="5CCB5CF1"/>
    <w:rsid w:val="5CCC1E46"/>
    <w:rsid w:val="5CCC3817"/>
    <w:rsid w:val="5CCC5435"/>
    <w:rsid w:val="5CCC6068"/>
    <w:rsid w:val="5CCD1B92"/>
    <w:rsid w:val="5CCE3A33"/>
    <w:rsid w:val="5CCE758F"/>
    <w:rsid w:val="5CCF0E68"/>
    <w:rsid w:val="5CCF456B"/>
    <w:rsid w:val="5CCF7D6C"/>
    <w:rsid w:val="5CD16642"/>
    <w:rsid w:val="5CD32DF8"/>
    <w:rsid w:val="5CD508E9"/>
    <w:rsid w:val="5CD5580C"/>
    <w:rsid w:val="5CD56B70"/>
    <w:rsid w:val="5CD64D27"/>
    <w:rsid w:val="5CD66444"/>
    <w:rsid w:val="5CD66C9C"/>
    <w:rsid w:val="5CD803ED"/>
    <w:rsid w:val="5CD86660"/>
    <w:rsid w:val="5CD94291"/>
    <w:rsid w:val="5CD9503E"/>
    <w:rsid w:val="5CD9561D"/>
    <w:rsid w:val="5CDA23D8"/>
    <w:rsid w:val="5CDA57B0"/>
    <w:rsid w:val="5CDA5F34"/>
    <w:rsid w:val="5CDA79DE"/>
    <w:rsid w:val="5CDD2C40"/>
    <w:rsid w:val="5CDD5A24"/>
    <w:rsid w:val="5CDF3436"/>
    <w:rsid w:val="5CE054F0"/>
    <w:rsid w:val="5CE13766"/>
    <w:rsid w:val="5CE21057"/>
    <w:rsid w:val="5CE2128D"/>
    <w:rsid w:val="5CE21E8F"/>
    <w:rsid w:val="5CE24DE9"/>
    <w:rsid w:val="5CE37743"/>
    <w:rsid w:val="5CE46DB3"/>
    <w:rsid w:val="5CE57A04"/>
    <w:rsid w:val="5CE62B2B"/>
    <w:rsid w:val="5CE648D9"/>
    <w:rsid w:val="5CE70651"/>
    <w:rsid w:val="5CE7604F"/>
    <w:rsid w:val="5CE95112"/>
    <w:rsid w:val="5CE96783"/>
    <w:rsid w:val="5CEB0141"/>
    <w:rsid w:val="5CEB3BAF"/>
    <w:rsid w:val="5CEB6393"/>
    <w:rsid w:val="5CEC5C67"/>
    <w:rsid w:val="5CEE19DF"/>
    <w:rsid w:val="5CEF0F84"/>
    <w:rsid w:val="5CEF6830"/>
    <w:rsid w:val="5CEF76FB"/>
    <w:rsid w:val="5CF039A9"/>
    <w:rsid w:val="5CF07506"/>
    <w:rsid w:val="5CF16475"/>
    <w:rsid w:val="5CF1718A"/>
    <w:rsid w:val="5CF21813"/>
    <w:rsid w:val="5CF27722"/>
    <w:rsid w:val="5CF27905"/>
    <w:rsid w:val="5CF37C52"/>
    <w:rsid w:val="5CF44DF6"/>
    <w:rsid w:val="5CF52D6E"/>
    <w:rsid w:val="5CF54940"/>
    <w:rsid w:val="5CF6124B"/>
    <w:rsid w:val="5CF6176C"/>
    <w:rsid w:val="5CF637D8"/>
    <w:rsid w:val="5CF709BF"/>
    <w:rsid w:val="5CF722E7"/>
    <w:rsid w:val="5CF74D38"/>
    <w:rsid w:val="5CF80AB0"/>
    <w:rsid w:val="5CF80CF2"/>
    <w:rsid w:val="5CF8285E"/>
    <w:rsid w:val="5CFA31FE"/>
    <w:rsid w:val="5CFA65D6"/>
    <w:rsid w:val="5CFC234E"/>
    <w:rsid w:val="5CFC3DED"/>
    <w:rsid w:val="5CFD1C22"/>
    <w:rsid w:val="5CFD4027"/>
    <w:rsid w:val="5CFD7E74"/>
    <w:rsid w:val="5D015BB7"/>
    <w:rsid w:val="5D017965"/>
    <w:rsid w:val="5D02548B"/>
    <w:rsid w:val="5D0336DD"/>
    <w:rsid w:val="5D040A27"/>
    <w:rsid w:val="5D041D1A"/>
    <w:rsid w:val="5D043D93"/>
    <w:rsid w:val="5D04687A"/>
    <w:rsid w:val="5D082632"/>
    <w:rsid w:val="5D08326C"/>
    <w:rsid w:val="5D0905C7"/>
    <w:rsid w:val="5D094A6B"/>
    <w:rsid w:val="5D09707E"/>
    <w:rsid w:val="5D0B2591"/>
    <w:rsid w:val="5D0C00B7"/>
    <w:rsid w:val="5D0C50A0"/>
    <w:rsid w:val="5D0E512D"/>
    <w:rsid w:val="5D0E615E"/>
    <w:rsid w:val="5D0F72C3"/>
    <w:rsid w:val="5D0F770F"/>
    <w:rsid w:val="5D110069"/>
    <w:rsid w:val="5D126EEF"/>
    <w:rsid w:val="5D145459"/>
    <w:rsid w:val="5D1560C5"/>
    <w:rsid w:val="5D156358"/>
    <w:rsid w:val="5D170F36"/>
    <w:rsid w:val="5D172CE4"/>
    <w:rsid w:val="5D181620"/>
    <w:rsid w:val="5D185050"/>
    <w:rsid w:val="5D186A5C"/>
    <w:rsid w:val="5D1C5B58"/>
    <w:rsid w:val="5D1C654D"/>
    <w:rsid w:val="5D1D4E20"/>
    <w:rsid w:val="5D1D5FB6"/>
    <w:rsid w:val="5D1E0517"/>
    <w:rsid w:val="5D1F428F"/>
    <w:rsid w:val="5D2109E2"/>
    <w:rsid w:val="5D212634"/>
    <w:rsid w:val="5D215911"/>
    <w:rsid w:val="5D21686B"/>
    <w:rsid w:val="5D2378DB"/>
    <w:rsid w:val="5D2425D1"/>
    <w:rsid w:val="5D2618E7"/>
    <w:rsid w:val="5D26561D"/>
    <w:rsid w:val="5D2667F5"/>
    <w:rsid w:val="5D281683"/>
    <w:rsid w:val="5D283143"/>
    <w:rsid w:val="5D290C69"/>
    <w:rsid w:val="5D292A17"/>
    <w:rsid w:val="5D2A6606"/>
    <w:rsid w:val="5D2B0284"/>
    <w:rsid w:val="5D2B49E2"/>
    <w:rsid w:val="5D2C0361"/>
    <w:rsid w:val="5D2D075A"/>
    <w:rsid w:val="5D2D4B78"/>
    <w:rsid w:val="5D2D69AC"/>
    <w:rsid w:val="5D2E6BF3"/>
    <w:rsid w:val="5D30024A"/>
    <w:rsid w:val="5D301FF8"/>
    <w:rsid w:val="5D302207"/>
    <w:rsid w:val="5D302478"/>
    <w:rsid w:val="5D3031BF"/>
    <w:rsid w:val="5D321FBD"/>
    <w:rsid w:val="5D325D70"/>
    <w:rsid w:val="5D331807"/>
    <w:rsid w:val="5D331AE8"/>
    <w:rsid w:val="5D335644"/>
    <w:rsid w:val="5D3466DE"/>
    <w:rsid w:val="5D347D3A"/>
    <w:rsid w:val="5D355860"/>
    <w:rsid w:val="5D35760E"/>
    <w:rsid w:val="5D3609BB"/>
    <w:rsid w:val="5D373386"/>
    <w:rsid w:val="5D381AFC"/>
    <w:rsid w:val="5D384FD7"/>
    <w:rsid w:val="5D393F38"/>
    <w:rsid w:val="5D395350"/>
    <w:rsid w:val="5D395734"/>
    <w:rsid w:val="5D39705B"/>
    <w:rsid w:val="5D3A1F7E"/>
    <w:rsid w:val="5D3A2E77"/>
    <w:rsid w:val="5D3A5B51"/>
    <w:rsid w:val="5D3C0667"/>
    <w:rsid w:val="5D3C6BEF"/>
    <w:rsid w:val="5D3D7371"/>
    <w:rsid w:val="5D3D756A"/>
    <w:rsid w:val="5D3E2967"/>
    <w:rsid w:val="5D3E547C"/>
    <w:rsid w:val="5D3F223B"/>
    <w:rsid w:val="5D3F50E3"/>
    <w:rsid w:val="5D404DC2"/>
    <w:rsid w:val="5D40691F"/>
    <w:rsid w:val="5D40739C"/>
    <w:rsid w:val="5D411CBC"/>
    <w:rsid w:val="5D437F7D"/>
    <w:rsid w:val="5D443C29"/>
    <w:rsid w:val="5D45320E"/>
    <w:rsid w:val="5D4635C9"/>
    <w:rsid w:val="5D465377"/>
    <w:rsid w:val="5D467A6D"/>
    <w:rsid w:val="5D4810F0"/>
    <w:rsid w:val="5D486FBE"/>
    <w:rsid w:val="5D4A130C"/>
    <w:rsid w:val="5D4B18FA"/>
    <w:rsid w:val="5D4B6E32"/>
    <w:rsid w:val="5D4B7080"/>
    <w:rsid w:val="5D4D2BAA"/>
    <w:rsid w:val="5D4D6706"/>
    <w:rsid w:val="5D4D71EA"/>
    <w:rsid w:val="5D4E0022"/>
    <w:rsid w:val="5D4E0647"/>
    <w:rsid w:val="5D4E06D0"/>
    <w:rsid w:val="5D4E4ADC"/>
    <w:rsid w:val="5D4F6922"/>
    <w:rsid w:val="5D4F7DAA"/>
    <w:rsid w:val="5D50269A"/>
    <w:rsid w:val="5D505750"/>
    <w:rsid w:val="5D505B26"/>
    <w:rsid w:val="5D5061F6"/>
    <w:rsid w:val="5D5201C0"/>
    <w:rsid w:val="5D521F6E"/>
    <w:rsid w:val="5D522852"/>
    <w:rsid w:val="5D535CE6"/>
    <w:rsid w:val="5D542C45"/>
    <w:rsid w:val="5D546CA2"/>
    <w:rsid w:val="5D551A5E"/>
    <w:rsid w:val="5D552D03"/>
    <w:rsid w:val="5D555941"/>
    <w:rsid w:val="5D557CB0"/>
    <w:rsid w:val="5D570AB1"/>
    <w:rsid w:val="5D572A52"/>
    <w:rsid w:val="5D5757D7"/>
    <w:rsid w:val="5D5A13D3"/>
    <w:rsid w:val="5D5A2B14"/>
    <w:rsid w:val="5D5A52C7"/>
    <w:rsid w:val="5D5B2282"/>
    <w:rsid w:val="5D5C103F"/>
    <w:rsid w:val="5D5C17BC"/>
    <w:rsid w:val="5D5D4FE7"/>
    <w:rsid w:val="5D5F56FC"/>
    <w:rsid w:val="5D604B0B"/>
    <w:rsid w:val="5D604B1C"/>
    <w:rsid w:val="5D607B33"/>
    <w:rsid w:val="5D6121B1"/>
    <w:rsid w:val="5D61296C"/>
    <w:rsid w:val="5D616655"/>
    <w:rsid w:val="5D622EBA"/>
    <w:rsid w:val="5D63417B"/>
    <w:rsid w:val="5D635F29"/>
    <w:rsid w:val="5D641CA2"/>
    <w:rsid w:val="5D664C65"/>
    <w:rsid w:val="5D683540"/>
    <w:rsid w:val="5D6879E4"/>
    <w:rsid w:val="5D6972B8"/>
    <w:rsid w:val="5D6A375C"/>
    <w:rsid w:val="5D6A3CB1"/>
    <w:rsid w:val="5D6B3030"/>
    <w:rsid w:val="5D6B3425"/>
    <w:rsid w:val="5D6C036B"/>
    <w:rsid w:val="5D6C4E7E"/>
    <w:rsid w:val="5D6C63B9"/>
    <w:rsid w:val="5D6D1102"/>
    <w:rsid w:val="5D6D4FFA"/>
    <w:rsid w:val="5D6E01E1"/>
    <w:rsid w:val="5D6E241A"/>
    <w:rsid w:val="5D6F2B20"/>
    <w:rsid w:val="5D704D3A"/>
    <w:rsid w:val="5D70790B"/>
    <w:rsid w:val="5D720862"/>
    <w:rsid w:val="5D722610"/>
    <w:rsid w:val="5D723034"/>
    <w:rsid w:val="5D737E25"/>
    <w:rsid w:val="5D76203C"/>
    <w:rsid w:val="5D775E79"/>
    <w:rsid w:val="5D79399F"/>
    <w:rsid w:val="5D796F08"/>
    <w:rsid w:val="5D7A3273"/>
    <w:rsid w:val="5D7A7717"/>
    <w:rsid w:val="5D7C523D"/>
    <w:rsid w:val="5D7C6FEB"/>
    <w:rsid w:val="5D7E0FB5"/>
    <w:rsid w:val="5D7F5D50"/>
    <w:rsid w:val="5D7F5FDF"/>
    <w:rsid w:val="5D83609E"/>
    <w:rsid w:val="5D845EA0"/>
    <w:rsid w:val="5D850596"/>
    <w:rsid w:val="5D885990"/>
    <w:rsid w:val="5D891BE9"/>
    <w:rsid w:val="5D8B722E"/>
    <w:rsid w:val="5D8D2FA6"/>
    <w:rsid w:val="5D8E4107"/>
    <w:rsid w:val="5D8F31C2"/>
    <w:rsid w:val="5D8F4F70"/>
    <w:rsid w:val="5D8F79E8"/>
    <w:rsid w:val="5D902A97"/>
    <w:rsid w:val="5D9057B4"/>
    <w:rsid w:val="5D916F3A"/>
    <w:rsid w:val="5D921815"/>
    <w:rsid w:val="5D924A61"/>
    <w:rsid w:val="5D925B0D"/>
    <w:rsid w:val="5D933134"/>
    <w:rsid w:val="5D941F3D"/>
    <w:rsid w:val="5D942587"/>
    <w:rsid w:val="5D943B6E"/>
    <w:rsid w:val="5D9500AD"/>
    <w:rsid w:val="5D9562FF"/>
    <w:rsid w:val="5D964551"/>
    <w:rsid w:val="5D972077"/>
    <w:rsid w:val="5D997B9D"/>
    <w:rsid w:val="5D9A3915"/>
    <w:rsid w:val="5D9A56C3"/>
    <w:rsid w:val="5D9B1B67"/>
    <w:rsid w:val="5D9B58D7"/>
    <w:rsid w:val="5D9C143B"/>
    <w:rsid w:val="5D9C1821"/>
    <w:rsid w:val="5D9E1657"/>
    <w:rsid w:val="5D9E3951"/>
    <w:rsid w:val="5D9F0F2C"/>
    <w:rsid w:val="5D9F1247"/>
    <w:rsid w:val="5D9F56BE"/>
    <w:rsid w:val="5DA01147"/>
    <w:rsid w:val="5DA026D7"/>
    <w:rsid w:val="5DA052A8"/>
    <w:rsid w:val="5DA11F85"/>
    <w:rsid w:val="5DA14CA4"/>
    <w:rsid w:val="5DA16A52"/>
    <w:rsid w:val="5DA31058"/>
    <w:rsid w:val="5DA3681C"/>
    <w:rsid w:val="5DA373AD"/>
    <w:rsid w:val="5DA44B5A"/>
    <w:rsid w:val="5DA4509D"/>
    <w:rsid w:val="5DA54794"/>
    <w:rsid w:val="5DA559E3"/>
    <w:rsid w:val="5DA64068"/>
    <w:rsid w:val="5DA826B9"/>
    <w:rsid w:val="5DA8469E"/>
    <w:rsid w:val="5DA87DE0"/>
    <w:rsid w:val="5DA96807"/>
    <w:rsid w:val="5DAD189A"/>
    <w:rsid w:val="5DAD1BEB"/>
    <w:rsid w:val="5DAE31B4"/>
    <w:rsid w:val="5DAE616B"/>
    <w:rsid w:val="5DAF73C1"/>
    <w:rsid w:val="5DB06C95"/>
    <w:rsid w:val="5DB10733"/>
    <w:rsid w:val="5DB10BF5"/>
    <w:rsid w:val="5DB1365C"/>
    <w:rsid w:val="5DB26EB1"/>
    <w:rsid w:val="5DB449D7"/>
    <w:rsid w:val="5DB524FD"/>
    <w:rsid w:val="5DB5289E"/>
    <w:rsid w:val="5DB65C4E"/>
    <w:rsid w:val="5DB669A1"/>
    <w:rsid w:val="5DB9023F"/>
    <w:rsid w:val="5DB91FED"/>
    <w:rsid w:val="5DB920BA"/>
    <w:rsid w:val="5DBA4077"/>
    <w:rsid w:val="5DBC388C"/>
    <w:rsid w:val="5DBC3D74"/>
    <w:rsid w:val="5DBC7B57"/>
    <w:rsid w:val="5DBE5340"/>
    <w:rsid w:val="5DBE7604"/>
    <w:rsid w:val="5DBF512A"/>
    <w:rsid w:val="5DC015CE"/>
    <w:rsid w:val="5DC15346"/>
    <w:rsid w:val="5DC213F1"/>
    <w:rsid w:val="5DC27008"/>
    <w:rsid w:val="5DC32640"/>
    <w:rsid w:val="5DC34C1A"/>
    <w:rsid w:val="5DC56BE4"/>
    <w:rsid w:val="5DC66FC3"/>
    <w:rsid w:val="5DC83468"/>
    <w:rsid w:val="5DC97723"/>
    <w:rsid w:val="5DCA244C"/>
    <w:rsid w:val="5DCA41FA"/>
    <w:rsid w:val="5DCB1D21"/>
    <w:rsid w:val="5DCB48EE"/>
    <w:rsid w:val="5DCB68DD"/>
    <w:rsid w:val="5DCF35BF"/>
    <w:rsid w:val="5DCF7D3C"/>
    <w:rsid w:val="5DD0092A"/>
    <w:rsid w:val="5DD02C46"/>
    <w:rsid w:val="5DD03F39"/>
    <w:rsid w:val="5DD0460F"/>
    <w:rsid w:val="5DD37107"/>
    <w:rsid w:val="5DD415C7"/>
    <w:rsid w:val="5DD44C12"/>
    <w:rsid w:val="5DD46E27"/>
    <w:rsid w:val="5DD50C3D"/>
    <w:rsid w:val="5DD5726F"/>
    <w:rsid w:val="5DD62B9F"/>
    <w:rsid w:val="5DD71A06"/>
    <w:rsid w:val="5DD76917"/>
    <w:rsid w:val="5DD82A66"/>
    <w:rsid w:val="5DD85AFB"/>
    <w:rsid w:val="5DD92690"/>
    <w:rsid w:val="5DD9443E"/>
    <w:rsid w:val="5DD961EC"/>
    <w:rsid w:val="5DDA14E5"/>
    <w:rsid w:val="5DDA5439"/>
    <w:rsid w:val="5DDA762F"/>
    <w:rsid w:val="5DDB36CA"/>
    <w:rsid w:val="5DDB5BA3"/>
    <w:rsid w:val="5DDC7D59"/>
    <w:rsid w:val="5DDD5A22"/>
    <w:rsid w:val="5DDE3802"/>
    <w:rsid w:val="5DDE4C35"/>
    <w:rsid w:val="5DDE7CA6"/>
    <w:rsid w:val="5DE076A7"/>
    <w:rsid w:val="5DE1109B"/>
    <w:rsid w:val="5DE114D5"/>
    <w:rsid w:val="5DE11544"/>
    <w:rsid w:val="5DE132F2"/>
    <w:rsid w:val="5DE13CA0"/>
    <w:rsid w:val="5DE27796"/>
    <w:rsid w:val="5DE31FB2"/>
    <w:rsid w:val="5DE51034"/>
    <w:rsid w:val="5DE5472B"/>
    <w:rsid w:val="5DE54E21"/>
    <w:rsid w:val="5DE55367"/>
    <w:rsid w:val="5DE60909"/>
    <w:rsid w:val="5DE65739"/>
    <w:rsid w:val="5DE66B5A"/>
    <w:rsid w:val="5DE74B0B"/>
    <w:rsid w:val="5DE74E6C"/>
    <w:rsid w:val="5DE80B25"/>
    <w:rsid w:val="5DE96D5A"/>
    <w:rsid w:val="5DEA0814"/>
    <w:rsid w:val="5DEA664B"/>
    <w:rsid w:val="5DEB62B1"/>
    <w:rsid w:val="5DEC23C3"/>
    <w:rsid w:val="5DEC4171"/>
    <w:rsid w:val="5DED613B"/>
    <w:rsid w:val="5DED7EE9"/>
    <w:rsid w:val="5DEE02FC"/>
    <w:rsid w:val="5DEE35FE"/>
    <w:rsid w:val="5DEF2CAC"/>
    <w:rsid w:val="5DEF5A0F"/>
    <w:rsid w:val="5DF0015B"/>
    <w:rsid w:val="5DF03535"/>
    <w:rsid w:val="5DF03789"/>
    <w:rsid w:val="5DF10257"/>
    <w:rsid w:val="5DF11787"/>
    <w:rsid w:val="5DF16ABF"/>
    <w:rsid w:val="5DF179D9"/>
    <w:rsid w:val="5DF23751"/>
    <w:rsid w:val="5DF262C7"/>
    <w:rsid w:val="5DF31D98"/>
    <w:rsid w:val="5DF35FE0"/>
    <w:rsid w:val="5DF41277"/>
    <w:rsid w:val="5DF50900"/>
    <w:rsid w:val="5DF50B4C"/>
    <w:rsid w:val="5DF623CB"/>
    <w:rsid w:val="5DF64FF0"/>
    <w:rsid w:val="5DF66D9E"/>
    <w:rsid w:val="5DF70D68"/>
    <w:rsid w:val="5DF725B0"/>
    <w:rsid w:val="5DF72B16"/>
    <w:rsid w:val="5DF9063C"/>
    <w:rsid w:val="5DF90711"/>
    <w:rsid w:val="5DF923CF"/>
    <w:rsid w:val="5DFA47E8"/>
    <w:rsid w:val="5DFB1A87"/>
    <w:rsid w:val="5DFB38B2"/>
    <w:rsid w:val="5DFB43B4"/>
    <w:rsid w:val="5DFC012C"/>
    <w:rsid w:val="5DFC1EDA"/>
    <w:rsid w:val="5DFD1C63"/>
    <w:rsid w:val="5DFD637E"/>
    <w:rsid w:val="5DFE20F6"/>
    <w:rsid w:val="5DFE30F3"/>
    <w:rsid w:val="5DFE3EA4"/>
    <w:rsid w:val="5DFF172D"/>
    <w:rsid w:val="5DFF22CF"/>
    <w:rsid w:val="5DFF7C9E"/>
    <w:rsid w:val="5E021BE6"/>
    <w:rsid w:val="5E0314BA"/>
    <w:rsid w:val="5E035AD5"/>
    <w:rsid w:val="5E037539"/>
    <w:rsid w:val="5E03770C"/>
    <w:rsid w:val="5E0525A6"/>
    <w:rsid w:val="5E070FAB"/>
    <w:rsid w:val="5E08087F"/>
    <w:rsid w:val="5E082F75"/>
    <w:rsid w:val="5E0A414A"/>
    <w:rsid w:val="5E0B1525"/>
    <w:rsid w:val="5E0C419E"/>
    <w:rsid w:val="5E0C65C1"/>
    <w:rsid w:val="5E0D40E7"/>
    <w:rsid w:val="5E0D7ECA"/>
    <w:rsid w:val="5E0E3B14"/>
    <w:rsid w:val="5E111E29"/>
    <w:rsid w:val="5E113BD7"/>
    <w:rsid w:val="5E1165C0"/>
    <w:rsid w:val="5E127950"/>
    <w:rsid w:val="5E13243C"/>
    <w:rsid w:val="5E136F61"/>
    <w:rsid w:val="5E14191A"/>
    <w:rsid w:val="5E145476"/>
    <w:rsid w:val="5E14592A"/>
    <w:rsid w:val="5E176D14"/>
    <w:rsid w:val="5E1831B8"/>
    <w:rsid w:val="5E186BEC"/>
    <w:rsid w:val="5E192A8C"/>
    <w:rsid w:val="5E196F30"/>
    <w:rsid w:val="5E197CFB"/>
    <w:rsid w:val="5E1A0BFF"/>
    <w:rsid w:val="5E1B2CA8"/>
    <w:rsid w:val="5E1B4D5E"/>
    <w:rsid w:val="5E1B6804"/>
    <w:rsid w:val="5E1B6E61"/>
    <w:rsid w:val="5E1C257C"/>
    <w:rsid w:val="5E2002BE"/>
    <w:rsid w:val="5E21648D"/>
    <w:rsid w:val="5E224037"/>
    <w:rsid w:val="5E225DE5"/>
    <w:rsid w:val="5E23390B"/>
    <w:rsid w:val="5E251431"/>
    <w:rsid w:val="5E27164D"/>
    <w:rsid w:val="5E284AF9"/>
    <w:rsid w:val="5E291255"/>
    <w:rsid w:val="5E2A123B"/>
    <w:rsid w:val="5E2A2EEB"/>
    <w:rsid w:val="5E2A7515"/>
    <w:rsid w:val="5E2B3932"/>
    <w:rsid w:val="5E2B4B29"/>
    <w:rsid w:val="5E2C368E"/>
    <w:rsid w:val="5E2C6F1B"/>
    <w:rsid w:val="5E2D5243"/>
    <w:rsid w:val="5E2D7E4C"/>
    <w:rsid w:val="5E2E2006"/>
    <w:rsid w:val="5E2F0501"/>
    <w:rsid w:val="5E2F22B0"/>
    <w:rsid w:val="5E3027E5"/>
    <w:rsid w:val="5E303746"/>
    <w:rsid w:val="5E310B53"/>
    <w:rsid w:val="5E317DD6"/>
    <w:rsid w:val="5E324CBD"/>
    <w:rsid w:val="5E331DA0"/>
    <w:rsid w:val="5E332614"/>
    <w:rsid w:val="5E341674"/>
    <w:rsid w:val="5E343D6A"/>
    <w:rsid w:val="5E3478C6"/>
    <w:rsid w:val="5E3552D9"/>
    <w:rsid w:val="5E361890"/>
    <w:rsid w:val="5E36363E"/>
    <w:rsid w:val="5E371164"/>
    <w:rsid w:val="5E385608"/>
    <w:rsid w:val="5E391380"/>
    <w:rsid w:val="5E392465"/>
    <w:rsid w:val="5E394EDC"/>
    <w:rsid w:val="5E3A2E3F"/>
    <w:rsid w:val="5E3B0C54"/>
    <w:rsid w:val="5E3B1C05"/>
    <w:rsid w:val="5E3B4BCF"/>
    <w:rsid w:val="5E3C5C66"/>
    <w:rsid w:val="5E3C6B86"/>
    <w:rsid w:val="5E3D2C1E"/>
    <w:rsid w:val="5E3E0745"/>
    <w:rsid w:val="5E3E59B5"/>
    <w:rsid w:val="5E404486"/>
    <w:rsid w:val="5E4044BD"/>
    <w:rsid w:val="5E40626B"/>
    <w:rsid w:val="5E435F35"/>
    <w:rsid w:val="5E453881"/>
    <w:rsid w:val="5E460E11"/>
    <w:rsid w:val="5E4749DA"/>
    <w:rsid w:val="5E4915C3"/>
    <w:rsid w:val="5E4A533B"/>
    <w:rsid w:val="5E4A6781"/>
    <w:rsid w:val="5E4C4C10"/>
    <w:rsid w:val="5E4D2736"/>
    <w:rsid w:val="5E4D6678"/>
    <w:rsid w:val="5E4E54F3"/>
    <w:rsid w:val="5E4F2952"/>
    <w:rsid w:val="5E510478"/>
    <w:rsid w:val="5E512226"/>
    <w:rsid w:val="5E5166CA"/>
    <w:rsid w:val="5E521BBD"/>
    <w:rsid w:val="5E525F9E"/>
    <w:rsid w:val="5E531852"/>
    <w:rsid w:val="5E532527"/>
    <w:rsid w:val="5E554383"/>
    <w:rsid w:val="5E554891"/>
    <w:rsid w:val="5E557BE6"/>
    <w:rsid w:val="5E563CE0"/>
    <w:rsid w:val="5E564DE5"/>
    <w:rsid w:val="5E565A8E"/>
    <w:rsid w:val="5E570305"/>
    <w:rsid w:val="5E5757D7"/>
    <w:rsid w:val="5E5A7FDD"/>
    <w:rsid w:val="5E5B12F6"/>
    <w:rsid w:val="5E5C0F3E"/>
    <w:rsid w:val="5E5C3CBF"/>
    <w:rsid w:val="5E5D391F"/>
    <w:rsid w:val="5E5D4EC5"/>
    <w:rsid w:val="5E5E7C29"/>
    <w:rsid w:val="5E5F1220"/>
    <w:rsid w:val="5E602469"/>
    <w:rsid w:val="5E604C26"/>
    <w:rsid w:val="5E60643B"/>
    <w:rsid w:val="5E616193"/>
    <w:rsid w:val="5E622685"/>
    <w:rsid w:val="5E6261E1"/>
    <w:rsid w:val="5E631F59"/>
    <w:rsid w:val="5E644C39"/>
    <w:rsid w:val="5E650335"/>
    <w:rsid w:val="5E653F23"/>
    <w:rsid w:val="5E671693"/>
    <w:rsid w:val="5E673E52"/>
    <w:rsid w:val="5E67476D"/>
    <w:rsid w:val="5E6837F3"/>
    <w:rsid w:val="5E68756F"/>
    <w:rsid w:val="5E695530"/>
    <w:rsid w:val="5E6957C1"/>
    <w:rsid w:val="5E6A153A"/>
    <w:rsid w:val="5E6A32E8"/>
    <w:rsid w:val="5E6B19B9"/>
    <w:rsid w:val="5E6C7060"/>
    <w:rsid w:val="5E6D1EC3"/>
    <w:rsid w:val="5E6D4B86"/>
    <w:rsid w:val="5E6E1783"/>
    <w:rsid w:val="5E6E2DD8"/>
    <w:rsid w:val="5E6F4DA2"/>
    <w:rsid w:val="5E6F6B50"/>
    <w:rsid w:val="5E700844"/>
    <w:rsid w:val="5E701F85"/>
    <w:rsid w:val="5E702AB9"/>
    <w:rsid w:val="5E7128C8"/>
    <w:rsid w:val="5E736640"/>
    <w:rsid w:val="5E744070"/>
    <w:rsid w:val="5E745F14"/>
    <w:rsid w:val="5E7463BD"/>
    <w:rsid w:val="5E750C0A"/>
    <w:rsid w:val="5E765647"/>
    <w:rsid w:val="5E765DF7"/>
    <w:rsid w:val="5E776C22"/>
    <w:rsid w:val="5E78376F"/>
    <w:rsid w:val="5E786F95"/>
    <w:rsid w:val="5E795C2D"/>
    <w:rsid w:val="5E7B72A3"/>
    <w:rsid w:val="5E7D126D"/>
    <w:rsid w:val="5E7D4589"/>
    <w:rsid w:val="5E7E0D08"/>
    <w:rsid w:val="5E7E45FE"/>
    <w:rsid w:val="5E7E6D93"/>
    <w:rsid w:val="5E7F6EA9"/>
    <w:rsid w:val="5E800D5D"/>
    <w:rsid w:val="5E802B0B"/>
    <w:rsid w:val="5E8117C9"/>
    <w:rsid w:val="5E8303FB"/>
    <w:rsid w:val="5E83181A"/>
    <w:rsid w:val="5E84084D"/>
    <w:rsid w:val="5E8425FB"/>
    <w:rsid w:val="5E856373"/>
    <w:rsid w:val="5E866A89"/>
    <w:rsid w:val="5E8720EC"/>
    <w:rsid w:val="5E873FB8"/>
    <w:rsid w:val="5E8819C0"/>
    <w:rsid w:val="5E895E64"/>
    <w:rsid w:val="5E8B1BDC"/>
    <w:rsid w:val="5E8C14B0"/>
    <w:rsid w:val="5E8C325E"/>
    <w:rsid w:val="5E8C40B7"/>
    <w:rsid w:val="5E8C5954"/>
    <w:rsid w:val="5E8E347A"/>
    <w:rsid w:val="5E8F0FA0"/>
    <w:rsid w:val="5E907E2E"/>
    <w:rsid w:val="5E912F6A"/>
    <w:rsid w:val="5E915E64"/>
    <w:rsid w:val="5E916AC6"/>
    <w:rsid w:val="5E921635"/>
    <w:rsid w:val="5E923E8F"/>
    <w:rsid w:val="5E9345EC"/>
    <w:rsid w:val="5E941B9A"/>
    <w:rsid w:val="5E94720D"/>
    <w:rsid w:val="5E952810"/>
    <w:rsid w:val="5E954808"/>
    <w:rsid w:val="5E9556B6"/>
    <w:rsid w:val="5E955D6A"/>
    <w:rsid w:val="5E961869"/>
    <w:rsid w:val="5E96232F"/>
    <w:rsid w:val="5E977128"/>
    <w:rsid w:val="5E9842F9"/>
    <w:rsid w:val="5E984D81"/>
    <w:rsid w:val="5E9860A7"/>
    <w:rsid w:val="5E9865C0"/>
    <w:rsid w:val="5E993BCD"/>
    <w:rsid w:val="5E9D34E8"/>
    <w:rsid w:val="5E9E1280"/>
    <w:rsid w:val="5E9F11E3"/>
    <w:rsid w:val="5E9F7435"/>
    <w:rsid w:val="5EA06D09"/>
    <w:rsid w:val="5EA129F5"/>
    <w:rsid w:val="5EA165BA"/>
    <w:rsid w:val="5EA178AA"/>
    <w:rsid w:val="5EA22243"/>
    <w:rsid w:val="5EA2268D"/>
    <w:rsid w:val="5EA23B13"/>
    <w:rsid w:val="5EA24E14"/>
    <w:rsid w:val="5EA36BFC"/>
    <w:rsid w:val="5EA42C9D"/>
    <w:rsid w:val="5EA467FA"/>
    <w:rsid w:val="5EA62EA0"/>
    <w:rsid w:val="5EA70098"/>
    <w:rsid w:val="5EA92062"/>
    <w:rsid w:val="5EAA695A"/>
    <w:rsid w:val="5EAB325C"/>
    <w:rsid w:val="5EAC7460"/>
    <w:rsid w:val="5EAD1F27"/>
    <w:rsid w:val="5EAD3E7C"/>
    <w:rsid w:val="5EAE1F6A"/>
    <w:rsid w:val="5EAE3888"/>
    <w:rsid w:val="5EAF519E"/>
    <w:rsid w:val="5EB12A83"/>
    <w:rsid w:val="5EB17168"/>
    <w:rsid w:val="5EB32EE1"/>
    <w:rsid w:val="5EB34FEE"/>
    <w:rsid w:val="5EB43EE4"/>
    <w:rsid w:val="5EB51079"/>
    <w:rsid w:val="5EB56C59"/>
    <w:rsid w:val="5EB617B3"/>
    <w:rsid w:val="5EB629D1"/>
    <w:rsid w:val="5EB6652D"/>
    <w:rsid w:val="5EB74757"/>
    <w:rsid w:val="5EB804F7"/>
    <w:rsid w:val="5EB84053"/>
    <w:rsid w:val="5EB86AF5"/>
    <w:rsid w:val="5EBA32A8"/>
    <w:rsid w:val="5EBA426F"/>
    <w:rsid w:val="5EBA4C31"/>
    <w:rsid w:val="5EBA601D"/>
    <w:rsid w:val="5EBB1D95"/>
    <w:rsid w:val="5EBB4164"/>
    <w:rsid w:val="5EBB7FE7"/>
    <w:rsid w:val="5EBC7BE3"/>
    <w:rsid w:val="5EBD205B"/>
    <w:rsid w:val="5EBD382E"/>
    <w:rsid w:val="5EBD3D5F"/>
    <w:rsid w:val="5EBD78BB"/>
    <w:rsid w:val="5EBE4EAD"/>
    <w:rsid w:val="5EBF091A"/>
    <w:rsid w:val="5EBF0B71"/>
    <w:rsid w:val="5EBF1885"/>
    <w:rsid w:val="5EBF66D5"/>
    <w:rsid w:val="5EC0115A"/>
    <w:rsid w:val="5EC057CC"/>
    <w:rsid w:val="5EC2464B"/>
    <w:rsid w:val="5EC24ED2"/>
    <w:rsid w:val="5EC32CBD"/>
    <w:rsid w:val="5EC4759A"/>
    <w:rsid w:val="5EC526B9"/>
    <w:rsid w:val="5EC62C14"/>
    <w:rsid w:val="5EC7698C"/>
    <w:rsid w:val="5EC939A3"/>
    <w:rsid w:val="5EC94373"/>
    <w:rsid w:val="5EC97FBF"/>
    <w:rsid w:val="5ECB022A"/>
    <w:rsid w:val="5ECB647C"/>
    <w:rsid w:val="5ECC3D6F"/>
    <w:rsid w:val="5ECC6ED2"/>
    <w:rsid w:val="5ECD3076"/>
    <w:rsid w:val="5ECD6D34"/>
    <w:rsid w:val="5ECE3876"/>
    <w:rsid w:val="5ECE7D1A"/>
    <w:rsid w:val="5ECF75EF"/>
    <w:rsid w:val="5ED03A93"/>
    <w:rsid w:val="5ED115B9"/>
    <w:rsid w:val="5ED13367"/>
    <w:rsid w:val="5ED15115"/>
    <w:rsid w:val="5ED30E8D"/>
    <w:rsid w:val="5ED370DF"/>
    <w:rsid w:val="5ED42A73"/>
    <w:rsid w:val="5ED52E57"/>
    <w:rsid w:val="5ED56562"/>
    <w:rsid w:val="5ED56E00"/>
    <w:rsid w:val="5ED5716B"/>
    <w:rsid w:val="5ED73318"/>
    <w:rsid w:val="5ED7555D"/>
    <w:rsid w:val="5ED864A3"/>
    <w:rsid w:val="5EDA0F44"/>
    <w:rsid w:val="5EDB2F17"/>
    <w:rsid w:val="5EDC3864"/>
    <w:rsid w:val="5EDC648C"/>
    <w:rsid w:val="5EDD20E2"/>
    <w:rsid w:val="5EDD444D"/>
    <w:rsid w:val="5EDD7F5D"/>
    <w:rsid w:val="5EDE0F33"/>
    <w:rsid w:val="5EDF3CD6"/>
    <w:rsid w:val="5EDF58F2"/>
    <w:rsid w:val="5EE017FC"/>
    <w:rsid w:val="5EE17A4E"/>
    <w:rsid w:val="5EE21556"/>
    <w:rsid w:val="5EE222A7"/>
    <w:rsid w:val="5EE230CA"/>
    <w:rsid w:val="5EE237C6"/>
    <w:rsid w:val="5EE23D5D"/>
    <w:rsid w:val="5EE4309A"/>
    <w:rsid w:val="5EE44E48"/>
    <w:rsid w:val="5EE4753E"/>
    <w:rsid w:val="5EE50805"/>
    <w:rsid w:val="5EE56180"/>
    <w:rsid w:val="5EE5676D"/>
    <w:rsid w:val="5EE66E12"/>
    <w:rsid w:val="5EE720B8"/>
    <w:rsid w:val="5EE91C04"/>
    <w:rsid w:val="5EE93CD1"/>
    <w:rsid w:val="5EE96902"/>
    <w:rsid w:val="5EEA6F8D"/>
    <w:rsid w:val="5EEB02AD"/>
    <w:rsid w:val="5EEB04D6"/>
    <w:rsid w:val="5EEB24CF"/>
    <w:rsid w:val="5EEB267A"/>
    <w:rsid w:val="5EEC01A1"/>
    <w:rsid w:val="5EEC5DE8"/>
    <w:rsid w:val="5EEC5FAD"/>
    <w:rsid w:val="5EEC63F2"/>
    <w:rsid w:val="5EEC6E1A"/>
    <w:rsid w:val="5EEE5CC7"/>
    <w:rsid w:val="5EF00523"/>
    <w:rsid w:val="5EF01A3F"/>
    <w:rsid w:val="5EF12152"/>
    <w:rsid w:val="5EF1678D"/>
    <w:rsid w:val="5EF17565"/>
    <w:rsid w:val="5EF62C46"/>
    <w:rsid w:val="5EF64B7B"/>
    <w:rsid w:val="5EF7046C"/>
    <w:rsid w:val="5EF808F3"/>
    <w:rsid w:val="5EF841E2"/>
    <w:rsid w:val="5EF93C26"/>
    <w:rsid w:val="5EF977BF"/>
    <w:rsid w:val="5EFA28BD"/>
    <w:rsid w:val="5EFC043B"/>
    <w:rsid w:val="5EFC6636"/>
    <w:rsid w:val="5EFD23AE"/>
    <w:rsid w:val="5EFE033F"/>
    <w:rsid w:val="5EFE1DB6"/>
    <w:rsid w:val="5EFE3607"/>
    <w:rsid w:val="5EFF06D8"/>
    <w:rsid w:val="5EFF4342"/>
    <w:rsid w:val="5F000AC8"/>
    <w:rsid w:val="5F001FC2"/>
    <w:rsid w:val="5F0059FA"/>
    <w:rsid w:val="5F006386"/>
    <w:rsid w:val="5F013C4C"/>
    <w:rsid w:val="5F021772"/>
    <w:rsid w:val="5F024367"/>
    <w:rsid w:val="5F02451D"/>
    <w:rsid w:val="5F03529B"/>
    <w:rsid w:val="5F037E6E"/>
    <w:rsid w:val="5F04373C"/>
    <w:rsid w:val="5F043D98"/>
    <w:rsid w:val="5F047298"/>
    <w:rsid w:val="5F060050"/>
    <w:rsid w:val="5F061262"/>
    <w:rsid w:val="5F06553B"/>
    <w:rsid w:val="5F0674B4"/>
    <w:rsid w:val="5F067A9B"/>
    <w:rsid w:val="5F092B01"/>
    <w:rsid w:val="5F0B0627"/>
    <w:rsid w:val="5F0C25F1"/>
    <w:rsid w:val="5F0C518E"/>
    <w:rsid w:val="5F0D2BDE"/>
    <w:rsid w:val="5F0E0117"/>
    <w:rsid w:val="5F0E43FB"/>
    <w:rsid w:val="5F0E6369"/>
    <w:rsid w:val="5F113BE4"/>
    <w:rsid w:val="5F117C07"/>
    <w:rsid w:val="5F142C9B"/>
    <w:rsid w:val="5F1435C0"/>
    <w:rsid w:val="5F15112E"/>
    <w:rsid w:val="5F1514A5"/>
    <w:rsid w:val="5F16521D"/>
    <w:rsid w:val="5F177342"/>
    <w:rsid w:val="5F180F96"/>
    <w:rsid w:val="5F18230E"/>
    <w:rsid w:val="5F182D44"/>
    <w:rsid w:val="5F1871E8"/>
    <w:rsid w:val="5F1A371D"/>
    <w:rsid w:val="5F1B6BE4"/>
    <w:rsid w:val="5F1C6CD8"/>
    <w:rsid w:val="5F1D47FE"/>
    <w:rsid w:val="5F1F0576"/>
    <w:rsid w:val="5F1F2516"/>
    <w:rsid w:val="5F200B07"/>
    <w:rsid w:val="5F211697"/>
    <w:rsid w:val="5F2142EE"/>
    <w:rsid w:val="5F21609C"/>
    <w:rsid w:val="5F223BC2"/>
    <w:rsid w:val="5F224B68"/>
    <w:rsid w:val="5F23118A"/>
    <w:rsid w:val="5F242210"/>
    <w:rsid w:val="5F24793A"/>
    <w:rsid w:val="5F2636B2"/>
    <w:rsid w:val="5F264979"/>
    <w:rsid w:val="5F2649EC"/>
    <w:rsid w:val="5F267334"/>
    <w:rsid w:val="5F275A91"/>
    <w:rsid w:val="5F2818D1"/>
    <w:rsid w:val="5F290BAD"/>
    <w:rsid w:val="5F2931A3"/>
    <w:rsid w:val="5F2A3265"/>
    <w:rsid w:val="5F2B0CC9"/>
    <w:rsid w:val="5F2B1391"/>
    <w:rsid w:val="5F2B2A77"/>
    <w:rsid w:val="5F2B6F1B"/>
    <w:rsid w:val="5F2C355E"/>
    <w:rsid w:val="5F2D2C93"/>
    <w:rsid w:val="5F2D401F"/>
    <w:rsid w:val="5F2E0A3F"/>
    <w:rsid w:val="5F2E2567"/>
    <w:rsid w:val="5F2E310B"/>
    <w:rsid w:val="5F2E6A0B"/>
    <w:rsid w:val="5F304909"/>
    <w:rsid w:val="5F313E05"/>
    <w:rsid w:val="5F322812"/>
    <w:rsid w:val="5F3306BE"/>
    <w:rsid w:val="5F3502E9"/>
    <w:rsid w:val="5F351B48"/>
    <w:rsid w:val="5F357D99"/>
    <w:rsid w:val="5F366502"/>
    <w:rsid w:val="5F3804CF"/>
    <w:rsid w:val="5F381638"/>
    <w:rsid w:val="5F3833E6"/>
    <w:rsid w:val="5F384AC5"/>
    <w:rsid w:val="5F3A53B0"/>
    <w:rsid w:val="5F3A715E"/>
    <w:rsid w:val="5F3C2ED6"/>
    <w:rsid w:val="5F3C4C84"/>
    <w:rsid w:val="5F3C5C05"/>
    <w:rsid w:val="5F3D09FC"/>
    <w:rsid w:val="5F3F4090"/>
    <w:rsid w:val="5F407D09"/>
    <w:rsid w:val="5F41673E"/>
    <w:rsid w:val="5F424152"/>
    <w:rsid w:val="5F427DC1"/>
    <w:rsid w:val="5F435D9F"/>
    <w:rsid w:val="5F4419A3"/>
    <w:rsid w:val="5F441D8B"/>
    <w:rsid w:val="5F443B39"/>
    <w:rsid w:val="5F457F02"/>
    <w:rsid w:val="5F466E43"/>
    <w:rsid w:val="5F4678B1"/>
    <w:rsid w:val="5F470CF0"/>
    <w:rsid w:val="5F475D9B"/>
    <w:rsid w:val="5F482FB2"/>
    <w:rsid w:val="5F487ACD"/>
    <w:rsid w:val="5F494546"/>
    <w:rsid w:val="5F4A0FD9"/>
    <w:rsid w:val="5F4A11A3"/>
    <w:rsid w:val="5F4B136B"/>
    <w:rsid w:val="5F4C0C3F"/>
    <w:rsid w:val="5F4D4F8A"/>
    <w:rsid w:val="5F4D50E3"/>
    <w:rsid w:val="5F4D6E91"/>
    <w:rsid w:val="5F4E26F5"/>
    <w:rsid w:val="5F4E2C09"/>
    <w:rsid w:val="5F4F0E5B"/>
    <w:rsid w:val="5F4F2373"/>
    <w:rsid w:val="5F4F5BCB"/>
    <w:rsid w:val="5F511376"/>
    <w:rsid w:val="5F5226F9"/>
    <w:rsid w:val="5F5479F7"/>
    <w:rsid w:val="5F555D46"/>
    <w:rsid w:val="5F577D10"/>
    <w:rsid w:val="5F585836"/>
    <w:rsid w:val="5F58732E"/>
    <w:rsid w:val="5F59613B"/>
    <w:rsid w:val="5F5A15AE"/>
    <w:rsid w:val="5F5A217E"/>
    <w:rsid w:val="5F5A2333"/>
    <w:rsid w:val="5F5A60DC"/>
    <w:rsid w:val="5F5B630A"/>
    <w:rsid w:val="5F5F0972"/>
    <w:rsid w:val="5F5F4E16"/>
    <w:rsid w:val="5F5F701C"/>
    <w:rsid w:val="5F610B8F"/>
    <w:rsid w:val="5F630463"/>
    <w:rsid w:val="5F645C14"/>
    <w:rsid w:val="5F6637EC"/>
    <w:rsid w:val="5F672D90"/>
    <w:rsid w:val="5F677827"/>
    <w:rsid w:val="5F69494C"/>
    <w:rsid w:val="5F6D308F"/>
    <w:rsid w:val="5F6E0BB6"/>
    <w:rsid w:val="5F6E5059"/>
    <w:rsid w:val="5F6F1A2E"/>
    <w:rsid w:val="5F6F6BEE"/>
    <w:rsid w:val="5F700DD2"/>
    <w:rsid w:val="5F702B80"/>
    <w:rsid w:val="5F7125D4"/>
    <w:rsid w:val="5F7206A6"/>
    <w:rsid w:val="5F7268F8"/>
    <w:rsid w:val="5F735325"/>
    <w:rsid w:val="5F7408C2"/>
    <w:rsid w:val="5F75009A"/>
    <w:rsid w:val="5F750ADC"/>
    <w:rsid w:val="5F7524FA"/>
    <w:rsid w:val="5F753D08"/>
    <w:rsid w:val="5F7558A0"/>
    <w:rsid w:val="5F7563E8"/>
    <w:rsid w:val="5F761219"/>
    <w:rsid w:val="5F766D30"/>
    <w:rsid w:val="5F772160"/>
    <w:rsid w:val="5F773F0E"/>
    <w:rsid w:val="5F774D66"/>
    <w:rsid w:val="5F781A34"/>
    <w:rsid w:val="5F7855EA"/>
    <w:rsid w:val="5F795ED8"/>
    <w:rsid w:val="5F796DF2"/>
    <w:rsid w:val="5F797C86"/>
    <w:rsid w:val="5F7B2BA2"/>
    <w:rsid w:val="5F7C32D2"/>
    <w:rsid w:val="5F7F2DC3"/>
    <w:rsid w:val="5F7F7267"/>
    <w:rsid w:val="5F801F47"/>
    <w:rsid w:val="5F824661"/>
    <w:rsid w:val="5F830B05"/>
    <w:rsid w:val="5F832A75"/>
    <w:rsid w:val="5F8403D9"/>
    <w:rsid w:val="5F8426C2"/>
    <w:rsid w:val="5F85175F"/>
    <w:rsid w:val="5F85487D"/>
    <w:rsid w:val="5F864151"/>
    <w:rsid w:val="5F877864"/>
    <w:rsid w:val="5F885199"/>
    <w:rsid w:val="5F88611B"/>
    <w:rsid w:val="5F8968E7"/>
    <w:rsid w:val="5F8A2976"/>
    <w:rsid w:val="5F8A6636"/>
    <w:rsid w:val="5F8B25FF"/>
    <w:rsid w:val="5F8B79B9"/>
    <w:rsid w:val="5F8E1258"/>
    <w:rsid w:val="5F8E3006"/>
    <w:rsid w:val="5F8E7184"/>
    <w:rsid w:val="5F8F3BE9"/>
    <w:rsid w:val="5F903222"/>
    <w:rsid w:val="5F904FD0"/>
    <w:rsid w:val="5F9075D3"/>
    <w:rsid w:val="5F92011E"/>
    <w:rsid w:val="5F920D48"/>
    <w:rsid w:val="5F926F9A"/>
    <w:rsid w:val="5F93061C"/>
    <w:rsid w:val="5F945D78"/>
    <w:rsid w:val="5F9525E6"/>
    <w:rsid w:val="5F97635E"/>
    <w:rsid w:val="5F983286"/>
    <w:rsid w:val="5F987C4B"/>
    <w:rsid w:val="5F990328"/>
    <w:rsid w:val="5F993E84"/>
    <w:rsid w:val="5F9A0163"/>
    <w:rsid w:val="5F9B0484"/>
    <w:rsid w:val="5F9C0DC8"/>
    <w:rsid w:val="5F9C32EF"/>
    <w:rsid w:val="5F9C5723"/>
    <w:rsid w:val="5F9E149B"/>
    <w:rsid w:val="5FA07D52"/>
    <w:rsid w:val="5FA10BB0"/>
    <w:rsid w:val="5FA171DD"/>
    <w:rsid w:val="5FA334EF"/>
    <w:rsid w:val="5FA45185"/>
    <w:rsid w:val="5FA62A45"/>
    <w:rsid w:val="5FA665A1"/>
    <w:rsid w:val="5FA705A4"/>
    <w:rsid w:val="5FA94790"/>
    <w:rsid w:val="5FAA2ADB"/>
    <w:rsid w:val="5FAA3C02"/>
    <w:rsid w:val="5FAA5C20"/>
    <w:rsid w:val="5FAB1863"/>
    <w:rsid w:val="5FAE5456"/>
    <w:rsid w:val="5FAF36A8"/>
    <w:rsid w:val="5FB011CE"/>
    <w:rsid w:val="5FB05672"/>
    <w:rsid w:val="5FB07B6B"/>
    <w:rsid w:val="5FB213EA"/>
    <w:rsid w:val="5FB24F46"/>
    <w:rsid w:val="5FB32A6C"/>
    <w:rsid w:val="5FB32EE5"/>
    <w:rsid w:val="5FB40AB0"/>
    <w:rsid w:val="5FB54A36"/>
    <w:rsid w:val="5FB702E2"/>
    <w:rsid w:val="5FB81F30"/>
    <w:rsid w:val="5FB87D18"/>
    <w:rsid w:val="5FB92779"/>
    <w:rsid w:val="5FB94E23"/>
    <w:rsid w:val="5FB962D5"/>
    <w:rsid w:val="5FBA3DFB"/>
    <w:rsid w:val="5FBA7BDF"/>
    <w:rsid w:val="5FBB029F"/>
    <w:rsid w:val="5FBC4017"/>
    <w:rsid w:val="5FBE1B3D"/>
    <w:rsid w:val="5FBE38EB"/>
    <w:rsid w:val="5FC03B07"/>
    <w:rsid w:val="5FC15189"/>
    <w:rsid w:val="5FC24D3C"/>
    <w:rsid w:val="5FC353A5"/>
    <w:rsid w:val="5FC4649E"/>
    <w:rsid w:val="5FC5068F"/>
    <w:rsid w:val="5FC52ECB"/>
    <w:rsid w:val="5FC74C3F"/>
    <w:rsid w:val="5FC829BC"/>
    <w:rsid w:val="5FC86518"/>
    <w:rsid w:val="5FC91E5C"/>
    <w:rsid w:val="5FCA2867"/>
    <w:rsid w:val="5FCB6D16"/>
    <w:rsid w:val="5FCC6587"/>
    <w:rsid w:val="5FCD5B46"/>
    <w:rsid w:val="5FCD7FD2"/>
    <w:rsid w:val="5FCF42F3"/>
    <w:rsid w:val="5FCF78A6"/>
    <w:rsid w:val="5FD01870"/>
    <w:rsid w:val="5FD34755"/>
    <w:rsid w:val="5FD362BC"/>
    <w:rsid w:val="5FD4310E"/>
    <w:rsid w:val="5FD50BDC"/>
    <w:rsid w:val="5FD636D0"/>
    <w:rsid w:val="5FD650D9"/>
    <w:rsid w:val="5FD72BFF"/>
    <w:rsid w:val="5FD80C9E"/>
    <w:rsid w:val="5FD96977"/>
    <w:rsid w:val="5FDA449D"/>
    <w:rsid w:val="5FDA7088"/>
    <w:rsid w:val="5FDB016D"/>
    <w:rsid w:val="5FDB26EF"/>
    <w:rsid w:val="5FDB5F19"/>
    <w:rsid w:val="5FDB761F"/>
    <w:rsid w:val="5FDC0215"/>
    <w:rsid w:val="5FDC1443"/>
    <w:rsid w:val="5FDC1FC3"/>
    <w:rsid w:val="5FDC6467"/>
    <w:rsid w:val="5FDE5D3B"/>
    <w:rsid w:val="5FDE76D0"/>
    <w:rsid w:val="5FDF3861"/>
    <w:rsid w:val="5FE07D05"/>
    <w:rsid w:val="5FE137DD"/>
    <w:rsid w:val="5FE13A7D"/>
    <w:rsid w:val="5FE13AAF"/>
    <w:rsid w:val="5FE2319C"/>
    <w:rsid w:val="5FE26307"/>
    <w:rsid w:val="5FE405F8"/>
    <w:rsid w:val="5FE5356E"/>
    <w:rsid w:val="5FE570CA"/>
    <w:rsid w:val="5FE6102D"/>
    <w:rsid w:val="5FE8367E"/>
    <w:rsid w:val="5FE86BBA"/>
    <w:rsid w:val="5FE91C23"/>
    <w:rsid w:val="5FEA0785"/>
    <w:rsid w:val="5FEA46E0"/>
    <w:rsid w:val="5FEB0458"/>
    <w:rsid w:val="5FEF1CF6"/>
    <w:rsid w:val="5FEF4354"/>
    <w:rsid w:val="5FEF7F48"/>
    <w:rsid w:val="5FF01B94"/>
    <w:rsid w:val="5FF03618"/>
    <w:rsid w:val="5FF13CC0"/>
    <w:rsid w:val="5FF14C64"/>
    <w:rsid w:val="5FF217E7"/>
    <w:rsid w:val="5FF2491C"/>
    <w:rsid w:val="5FF4730D"/>
    <w:rsid w:val="5FF55F4C"/>
    <w:rsid w:val="5FF61656"/>
    <w:rsid w:val="5FF7504F"/>
    <w:rsid w:val="5FF85127"/>
    <w:rsid w:val="5FF90DC7"/>
    <w:rsid w:val="5FFA1467"/>
    <w:rsid w:val="5FFA36A6"/>
    <w:rsid w:val="5FFA6FE7"/>
    <w:rsid w:val="5FFC08B7"/>
    <w:rsid w:val="5FFC4D22"/>
    <w:rsid w:val="5FFC7599"/>
    <w:rsid w:val="5FFD0B0A"/>
    <w:rsid w:val="5FFD3781"/>
    <w:rsid w:val="5FFE1F39"/>
    <w:rsid w:val="5FFE63DD"/>
    <w:rsid w:val="5FFF5CB2"/>
    <w:rsid w:val="5FFF6A1A"/>
    <w:rsid w:val="60003F04"/>
    <w:rsid w:val="60006A8C"/>
    <w:rsid w:val="60011A2A"/>
    <w:rsid w:val="60025ECE"/>
    <w:rsid w:val="600339F4"/>
    <w:rsid w:val="600357A2"/>
    <w:rsid w:val="600473B9"/>
    <w:rsid w:val="600532C8"/>
    <w:rsid w:val="60060E04"/>
    <w:rsid w:val="60063D1C"/>
    <w:rsid w:val="60067E25"/>
    <w:rsid w:val="600722AC"/>
    <w:rsid w:val="60072B99"/>
    <w:rsid w:val="600734E4"/>
    <w:rsid w:val="6008100A"/>
    <w:rsid w:val="6008604F"/>
    <w:rsid w:val="600862CC"/>
    <w:rsid w:val="60094AF5"/>
    <w:rsid w:val="600D6620"/>
    <w:rsid w:val="600E02C3"/>
    <w:rsid w:val="600F2399"/>
    <w:rsid w:val="600F4147"/>
    <w:rsid w:val="60105084"/>
    <w:rsid w:val="60113DF0"/>
    <w:rsid w:val="6011550A"/>
    <w:rsid w:val="6012222A"/>
    <w:rsid w:val="601259E5"/>
    <w:rsid w:val="6014041E"/>
    <w:rsid w:val="60151892"/>
    <w:rsid w:val="601654D5"/>
    <w:rsid w:val="6017073D"/>
    <w:rsid w:val="601710AD"/>
    <w:rsid w:val="6017124D"/>
    <w:rsid w:val="60172FFB"/>
    <w:rsid w:val="60186131"/>
    <w:rsid w:val="60190C38"/>
    <w:rsid w:val="601A0A51"/>
    <w:rsid w:val="601C6864"/>
    <w:rsid w:val="60200102"/>
    <w:rsid w:val="60213E7A"/>
    <w:rsid w:val="6022031E"/>
    <w:rsid w:val="60234096"/>
    <w:rsid w:val="6023688D"/>
    <w:rsid w:val="60247E3E"/>
    <w:rsid w:val="60250717"/>
    <w:rsid w:val="60251BBC"/>
    <w:rsid w:val="6025396A"/>
    <w:rsid w:val="60254689"/>
    <w:rsid w:val="60261490"/>
    <w:rsid w:val="602639AA"/>
    <w:rsid w:val="6028345A"/>
    <w:rsid w:val="602844F0"/>
    <w:rsid w:val="602970B6"/>
    <w:rsid w:val="602A0546"/>
    <w:rsid w:val="602B08B8"/>
    <w:rsid w:val="602B45A7"/>
    <w:rsid w:val="602C2F4B"/>
    <w:rsid w:val="602C4CF9"/>
    <w:rsid w:val="602D090F"/>
    <w:rsid w:val="602D1FF5"/>
    <w:rsid w:val="602D5594"/>
    <w:rsid w:val="602E1D57"/>
    <w:rsid w:val="602E2EF8"/>
    <w:rsid w:val="602F6597"/>
    <w:rsid w:val="603040BD"/>
    <w:rsid w:val="60326D64"/>
    <w:rsid w:val="603315F8"/>
    <w:rsid w:val="60335F4C"/>
    <w:rsid w:val="60343BAD"/>
    <w:rsid w:val="60346B3A"/>
    <w:rsid w:val="603545F2"/>
    <w:rsid w:val="603575EB"/>
    <w:rsid w:val="60365B77"/>
    <w:rsid w:val="60370316"/>
    <w:rsid w:val="6037369D"/>
    <w:rsid w:val="60374383"/>
    <w:rsid w:val="603808F4"/>
    <w:rsid w:val="603911C4"/>
    <w:rsid w:val="60397415"/>
    <w:rsid w:val="603B13E0"/>
    <w:rsid w:val="603B4F3C"/>
    <w:rsid w:val="603D16F8"/>
    <w:rsid w:val="603E2DBB"/>
    <w:rsid w:val="603E4A2C"/>
    <w:rsid w:val="60413BFC"/>
    <w:rsid w:val="60416664"/>
    <w:rsid w:val="6042276E"/>
    <w:rsid w:val="60430294"/>
    <w:rsid w:val="604364E6"/>
    <w:rsid w:val="60436DBD"/>
    <w:rsid w:val="6045671D"/>
    <w:rsid w:val="6047388D"/>
    <w:rsid w:val="60476021"/>
    <w:rsid w:val="604777F7"/>
    <w:rsid w:val="60477A6E"/>
    <w:rsid w:val="60483ACF"/>
    <w:rsid w:val="60484ED2"/>
    <w:rsid w:val="60487659"/>
    <w:rsid w:val="604A225A"/>
    <w:rsid w:val="604A63EF"/>
    <w:rsid w:val="604B44D1"/>
    <w:rsid w:val="604C0EF7"/>
    <w:rsid w:val="604C124A"/>
    <w:rsid w:val="604C539B"/>
    <w:rsid w:val="604E1113"/>
    <w:rsid w:val="604F05EC"/>
    <w:rsid w:val="604F07E6"/>
    <w:rsid w:val="604F09E7"/>
    <w:rsid w:val="604F3361"/>
    <w:rsid w:val="604F7C19"/>
    <w:rsid w:val="605129B1"/>
    <w:rsid w:val="6051757C"/>
    <w:rsid w:val="605204D7"/>
    <w:rsid w:val="60522285"/>
    <w:rsid w:val="6054424F"/>
    <w:rsid w:val="60545FFD"/>
    <w:rsid w:val="605514B9"/>
    <w:rsid w:val="60564992"/>
    <w:rsid w:val="60567FC7"/>
    <w:rsid w:val="60575AEE"/>
    <w:rsid w:val="60583D40"/>
    <w:rsid w:val="6058575B"/>
    <w:rsid w:val="60586BB3"/>
    <w:rsid w:val="60593614"/>
    <w:rsid w:val="60597AB8"/>
    <w:rsid w:val="605A694F"/>
    <w:rsid w:val="605B3830"/>
    <w:rsid w:val="605B3B34"/>
    <w:rsid w:val="605B55DE"/>
    <w:rsid w:val="605D1356"/>
    <w:rsid w:val="605D615C"/>
    <w:rsid w:val="605E1725"/>
    <w:rsid w:val="605E1C9B"/>
    <w:rsid w:val="605E28AF"/>
    <w:rsid w:val="605F2313"/>
    <w:rsid w:val="605F5AB2"/>
    <w:rsid w:val="606017E0"/>
    <w:rsid w:val="60604CF3"/>
    <w:rsid w:val="606131E6"/>
    <w:rsid w:val="60627247"/>
    <w:rsid w:val="606340E6"/>
    <w:rsid w:val="60636240"/>
    <w:rsid w:val="60643359"/>
    <w:rsid w:val="6065020A"/>
    <w:rsid w:val="60651FB9"/>
    <w:rsid w:val="60654232"/>
    <w:rsid w:val="60661BBD"/>
    <w:rsid w:val="606621B4"/>
    <w:rsid w:val="60675D31"/>
    <w:rsid w:val="60681AA9"/>
    <w:rsid w:val="60684C24"/>
    <w:rsid w:val="60687BC6"/>
    <w:rsid w:val="60687CFB"/>
    <w:rsid w:val="606A26FC"/>
    <w:rsid w:val="606A3A73"/>
    <w:rsid w:val="606C1599"/>
    <w:rsid w:val="606C7440"/>
    <w:rsid w:val="606D435A"/>
    <w:rsid w:val="606E301F"/>
    <w:rsid w:val="606F4BE5"/>
    <w:rsid w:val="606F51D8"/>
    <w:rsid w:val="606F72DB"/>
    <w:rsid w:val="6070010A"/>
    <w:rsid w:val="60701C39"/>
    <w:rsid w:val="60705CBB"/>
    <w:rsid w:val="6071095D"/>
    <w:rsid w:val="60716BAF"/>
    <w:rsid w:val="607241F9"/>
    <w:rsid w:val="60724A56"/>
    <w:rsid w:val="60730B79"/>
    <w:rsid w:val="6074044E"/>
    <w:rsid w:val="60752AEC"/>
    <w:rsid w:val="607602AB"/>
    <w:rsid w:val="60765F74"/>
    <w:rsid w:val="60783C66"/>
    <w:rsid w:val="60786190"/>
    <w:rsid w:val="607A0411"/>
    <w:rsid w:val="607A5728"/>
    <w:rsid w:val="607B4870"/>
    <w:rsid w:val="607D004F"/>
    <w:rsid w:val="607D3E4F"/>
    <w:rsid w:val="607E6A28"/>
    <w:rsid w:val="60805DB4"/>
    <w:rsid w:val="60806DF2"/>
    <w:rsid w:val="60824919"/>
    <w:rsid w:val="6083281C"/>
    <w:rsid w:val="608368E3"/>
    <w:rsid w:val="60844B35"/>
    <w:rsid w:val="6085265B"/>
    <w:rsid w:val="608531FB"/>
    <w:rsid w:val="608656F5"/>
    <w:rsid w:val="6087600F"/>
    <w:rsid w:val="60881580"/>
    <w:rsid w:val="60885CA7"/>
    <w:rsid w:val="608A3882"/>
    <w:rsid w:val="608A4105"/>
    <w:rsid w:val="608A5EC3"/>
    <w:rsid w:val="608B2917"/>
    <w:rsid w:val="608C1C3B"/>
    <w:rsid w:val="608C5797"/>
    <w:rsid w:val="608D150F"/>
    <w:rsid w:val="608E59B3"/>
    <w:rsid w:val="608E7761"/>
    <w:rsid w:val="608F34D9"/>
    <w:rsid w:val="608F5287"/>
    <w:rsid w:val="608F6263"/>
    <w:rsid w:val="608F7035"/>
    <w:rsid w:val="60906C21"/>
    <w:rsid w:val="60911000"/>
    <w:rsid w:val="60932FCA"/>
    <w:rsid w:val="60933C0D"/>
    <w:rsid w:val="60942615"/>
    <w:rsid w:val="60946B24"/>
    <w:rsid w:val="60947504"/>
    <w:rsid w:val="609502BA"/>
    <w:rsid w:val="60950994"/>
    <w:rsid w:val="60956D42"/>
    <w:rsid w:val="609603C4"/>
    <w:rsid w:val="60964868"/>
    <w:rsid w:val="6096588E"/>
    <w:rsid w:val="60966C20"/>
    <w:rsid w:val="60980A56"/>
    <w:rsid w:val="6098413C"/>
    <w:rsid w:val="609B3C2C"/>
    <w:rsid w:val="609C39D9"/>
    <w:rsid w:val="609D79A4"/>
    <w:rsid w:val="609E371C"/>
    <w:rsid w:val="609F196E"/>
    <w:rsid w:val="609F5D58"/>
    <w:rsid w:val="609F63E4"/>
    <w:rsid w:val="60A01243"/>
    <w:rsid w:val="60A04667"/>
    <w:rsid w:val="60A05AA7"/>
    <w:rsid w:val="60A15F27"/>
    <w:rsid w:val="60A2401D"/>
    <w:rsid w:val="60A24FBB"/>
    <w:rsid w:val="60A30D33"/>
    <w:rsid w:val="60A3438D"/>
    <w:rsid w:val="60A46F85"/>
    <w:rsid w:val="60A50F0B"/>
    <w:rsid w:val="60A52CFD"/>
    <w:rsid w:val="60A57FBF"/>
    <w:rsid w:val="60A62FEE"/>
    <w:rsid w:val="60A65818"/>
    <w:rsid w:val="60A7597A"/>
    <w:rsid w:val="60A92278"/>
    <w:rsid w:val="60AA0313"/>
    <w:rsid w:val="60AB36BC"/>
    <w:rsid w:val="60AC578B"/>
    <w:rsid w:val="60AD570E"/>
    <w:rsid w:val="60AF32A5"/>
    <w:rsid w:val="60AF592A"/>
    <w:rsid w:val="60B13450"/>
    <w:rsid w:val="60B14804"/>
    <w:rsid w:val="60B30F76"/>
    <w:rsid w:val="60B41D44"/>
    <w:rsid w:val="60B66CB8"/>
    <w:rsid w:val="60B8035C"/>
    <w:rsid w:val="60B80BE9"/>
    <w:rsid w:val="60B8658C"/>
    <w:rsid w:val="60B92304"/>
    <w:rsid w:val="60BA67A8"/>
    <w:rsid w:val="60BB2ED0"/>
    <w:rsid w:val="60BB40D5"/>
    <w:rsid w:val="60BB7E2A"/>
    <w:rsid w:val="60BC5280"/>
    <w:rsid w:val="60BD0AD9"/>
    <w:rsid w:val="60BD26C3"/>
    <w:rsid w:val="60BE0074"/>
    <w:rsid w:val="60BF3DBF"/>
    <w:rsid w:val="60C018E5"/>
    <w:rsid w:val="60C049D6"/>
    <w:rsid w:val="60C04DBB"/>
    <w:rsid w:val="60C07B37"/>
    <w:rsid w:val="60C16521"/>
    <w:rsid w:val="60C211B9"/>
    <w:rsid w:val="60C25AD7"/>
    <w:rsid w:val="60C260B1"/>
    <w:rsid w:val="60C30678"/>
    <w:rsid w:val="60C676E5"/>
    <w:rsid w:val="60C72C73"/>
    <w:rsid w:val="60C74A21"/>
    <w:rsid w:val="60C815EB"/>
    <w:rsid w:val="60C82547"/>
    <w:rsid w:val="60C90799"/>
    <w:rsid w:val="60CA6112"/>
    <w:rsid w:val="60CA62C0"/>
    <w:rsid w:val="60CC028A"/>
    <w:rsid w:val="60CC2038"/>
    <w:rsid w:val="60CC7193"/>
    <w:rsid w:val="60CD44B0"/>
    <w:rsid w:val="60CD7695"/>
    <w:rsid w:val="60CE2266"/>
    <w:rsid w:val="60CE4002"/>
    <w:rsid w:val="60CE7B5E"/>
    <w:rsid w:val="60CF1B28"/>
    <w:rsid w:val="60D040EA"/>
    <w:rsid w:val="60D07D7A"/>
    <w:rsid w:val="60D13AEE"/>
    <w:rsid w:val="60D3786A"/>
    <w:rsid w:val="60D41DC6"/>
    <w:rsid w:val="60D44997"/>
    <w:rsid w:val="60D4713E"/>
    <w:rsid w:val="60D672B7"/>
    <w:rsid w:val="60DA0809"/>
    <w:rsid w:val="60DA29A7"/>
    <w:rsid w:val="60DB04CD"/>
    <w:rsid w:val="60DB1ABB"/>
    <w:rsid w:val="60DB1C99"/>
    <w:rsid w:val="60DD0876"/>
    <w:rsid w:val="60DD20E3"/>
    <w:rsid w:val="60DE7CD2"/>
    <w:rsid w:val="60DF7FBD"/>
    <w:rsid w:val="60E03D35"/>
    <w:rsid w:val="60E07891"/>
    <w:rsid w:val="60E11F1C"/>
    <w:rsid w:val="60E2185B"/>
    <w:rsid w:val="60E43825"/>
    <w:rsid w:val="60E47381"/>
    <w:rsid w:val="60E5134B"/>
    <w:rsid w:val="60E6188A"/>
    <w:rsid w:val="60E816CC"/>
    <w:rsid w:val="60E83CC0"/>
    <w:rsid w:val="60E90E3C"/>
    <w:rsid w:val="60E94998"/>
    <w:rsid w:val="60EB4BB4"/>
    <w:rsid w:val="60EC26DA"/>
    <w:rsid w:val="60EE010F"/>
    <w:rsid w:val="60EE0200"/>
    <w:rsid w:val="60EE0D47"/>
    <w:rsid w:val="60EE1ECE"/>
    <w:rsid w:val="60EE1FAE"/>
    <w:rsid w:val="60EF444F"/>
    <w:rsid w:val="60F021CA"/>
    <w:rsid w:val="60F17CF0"/>
    <w:rsid w:val="60F220DD"/>
    <w:rsid w:val="60F33A68"/>
    <w:rsid w:val="60F375C4"/>
    <w:rsid w:val="60F4333C"/>
    <w:rsid w:val="60F65306"/>
    <w:rsid w:val="60F82E2D"/>
    <w:rsid w:val="60F95222"/>
    <w:rsid w:val="60F9741C"/>
    <w:rsid w:val="60FD6695"/>
    <w:rsid w:val="60FD6DA5"/>
    <w:rsid w:val="60FF065F"/>
    <w:rsid w:val="61006E1E"/>
    <w:rsid w:val="61007F33"/>
    <w:rsid w:val="610139B4"/>
    <w:rsid w:val="61016185"/>
    <w:rsid w:val="61021EFD"/>
    <w:rsid w:val="6105554A"/>
    <w:rsid w:val="610572F8"/>
    <w:rsid w:val="610619ED"/>
    <w:rsid w:val="61064678"/>
    <w:rsid w:val="610712C2"/>
    <w:rsid w:val="61073070"/>
    <w:rsid w:val="61077514"/>
    <w:rsid w:val="61077826"/>
    <w:rsid w:val="6108665C"/>
    <w:rsid w:val="610A61A7"/>
    <w:rsid w:val="610B3AC7"/>
    <w:rsid w:val="610B7004"/>
    <w:rsid w:val="610C0686"/>
    <w:rsid w:val="610D01AE"/>
    <w:rsid w:val="610D180E"/>
    <w:rsid w:val="610E2650"/>
    <w:rsid w:val="610E43FE"/>
    <w:rsid w:val="610F01A4"/>
    <w:rsid w:val="610F0B89"/>
    <w:rsid w:val="61101AC6"/>
    <w:rsid w:val="611063C8"/>
    <w:rsid w:val="61110F56"/>
    <w:rsid w:val="61112140"/>
    <w:rsid w:val="61120392"/>
    <w:rsid w:val="61122998"/>
    <w:rsid w:val="61135EB8"/>
    <w:rsid w:val="6114070F"/>
    <w:rsid w:val="61143BF4"/>
    <w:rsid w:val="61151C31"/>
    <w:rsid w:val="611539DF"/>
    <w:rsid w:val="6115634F"/>
    <w:rsid w:val="6116474A"/>
    <w:rsid w:val="61167757"/>
    <w:rsid w:val="61170BD6"/>
    <w:rsid w:val="611759A9"/>
    <w:rsid w:val="6117616E"/>
    <w:rsid w:val="61187778"/>
    <w:rsid w:val="611930CB"/>
    <w:rsid w:val="61197DFD"/>
    <w:rsid w:val="611B4D6D"/>
    <w:rsid w:val="611B6B1B"/>
    <w:rsid w:val="611D2893"/>
    <w:rsid w:val="611D6D37"/>
    <w:rsid w:val="611E30B6"/>
    <w:rsid w:val="611E3188"/>
    <w:rsid w:val="611E6D1B"/>
    <w:rsid w:val="611F03B9"/>
    <w:rsid w:val="611F172B"/>
    <w:rsid w:val="611F2AAF"/>
    <w:rsid w:val="611F485D"/>
    <w:rsid w:val="61202383"/>
    <w:rsid w:val="61205831"/>
    <w:rsid w:val="612260FC"/>
    <w:rsid w:val="6123293C"/>
    <w:rsid w:val="612400C6"/>
    <w:rsid w:val="6124372F"/>
    <w:rsid w:val="61251748"/>
    <w:rsid w:val="61252DAF"/>
    <w:rsid w:val="61264040"/>
    <w:rsid w:val="61264E94"/>
    <w:rsid w:val="61291238"/>
    <w:rsid w:val="61295689"/>
    <w:rsid w:val="612B1454"/>
    <w:rsid w:val="612B3202"/>
    <w:rsid w:val="612B4FB0"/>
    <w:rsid w:val="612B6A31"/>
    <w:rsid w:val="612C6F7A"/>
    <w:rsid w:val="612F1F73"/>
    <w:rsid w:val="612F51B7"/>
    <w:rsid w:val="61300088"/>
    <w:rsid w:val="61302E43"/>
    <w:rsid w:val="61306A6A"/>
    <w:rsid w:val="61314591"/>
    <w:rsid w:val="61316332"/>
    <w:rsid w:val="6131633F"/>
    <w:rsid w:val="61326ED7"/>
    <w:rsid w:val="61330309"/>
    <w:rsid w:val="61333E65"/>
    <w:rsid w:val="61347CD3"/>
    <w:rsid w:val="61355E2F"/>
    <w:rsid w:val="61357BDD"/>
    <w:rsid w:val="61363955"/>
    <w:rsid w:val="6137675A"/>
    <w:rsid w:val="61380253"/>
    <w:rsid w:val="6138591F"/>
    <w:rsid w:val="613A3445"/>
    <w:rsid w:val="613B0F6B"/>
    <w:rsid w:val="613D2006"/>
    <w:rsid w:val="613D270C"/>
    <w:rsid w:val="613E6FFE"/>
    <w:rsid w:val="613F280A"/>
    <w:rsid w:val="614054D0"/>
    <w:rsid w:val="61406582"/>
    <w:rsid w:val="61412A26"/>
    <w:rsid w:val="61442516"/>
    <w:rsid w:val="6146003C"/>
    <w:rsid w:val="61461DEA"/>
    <w:rsid w:val="61475B62"/>
    <w:rsid w:val="614918DA"/>
    <w:rsid w:val="61492034"/>
    <w:rsid w:val="614B0A0E"/>
    <w:rsid w:val="614B38A4"/>
    <w:rsid w:val="614B4ACA"/>
    <w:rsid w:val="614C3178"/>
    <w:rsid w:val="614C4F26"/>
    <w:rsid w:val="614C5323"/>
    <w:rsid w:val="614C5F5A"/>
    <w:rsid w:val="614D3EAC"/>
    <w:rsid w:val="614E344B"/>
    <w:rsid w:val="614F49E2"/>
    <w:rsid w:val="614F7DF6"/>
    <w:rsid w:val="61500EBB"/>
    <w:rsid w:val="61504A17"/>
    <w:rsid w:val="6150546D"/>
    <w:rsid w:val="6151078F"/>
    <w:rsid w:val="615362B5"/>
    <w:rsid w:val="61546C1E"/>
    <w:rsid w:val="6155027F"/>
    <w:rsid w:val="6155202D"/>
    <w:rsid w:val="61565DA5"/>
    <w:rsid w:val="6157155D"/>
    <w:rsid w:val="61572C72"/>
    <w:rsid w:val="615838CB"/>
    <w:rsid w:val="615A10A4"/>
    <w:rsid w:val="615A5895"/>
    <w:rsid w:val="615C0620"/>
    <w:rsid w:val="615C0C4D"/>
    <w:rsid w:val="615C7BF7"/>
    <w:rsid w:val="615D0EE2"/>
    <w:rsid w:val="615D5386"/>
    <w:rsid w:val="615D7085"/>
    <w:rsid w:val="615D7134"/>
    <w:rsid w:val="615E2F29"/>
    <w:rsid w:val="615F2EAC"/>
    <w:rsid w:val="615F4C5A"/>
    <w:rsid w:val="6162474A"/>
    <w:rsid w:val="61630BEE"/>
    <w:rsid w:val="61630D3C"/>
    <w:rsid w:val="61632D51"/>
    <w:rsid w:val="61655E91"/>
    <w:rsid w:val="6166248C"/>
    <w:rsid w:val="61663720"/>
    <w:rsid w:val="6166423A"/>
    <w:rsid w:val="6166616A"/>
    <w:rsid w:val="61677FB2"/>
    <w:rsid w:val="616A69D6"/>
    <w:rsid w:val="616B40B4"/>
    <w:rsid w:val="616C05B2"/>
    <w:rsid w:val="616C2967"/>
    <w:rsid w:val="616C4DE5"/>
    <w:rsid w:val="616D381B"/>
    <w:rsid w:val="616D4BA1"/>
    <w:rsid w:val="616E1341"/>
    <w:rsid w:val="616F3B4D"/>
    <w:rsid w:val="61700D72"/>
    <w:rsid w:val="61702679"/>
    <w:rsid w:val="61712C70"/>
    <w:rsid w:val="61715464"/>
    <w:rsid w:val="6171689E"/>
    <w:rsid w:val="61734BA9"/>
    <w:rsid w:val="6174316B"/>
    <w:rsid w:val="617526CF"/>
    <w:rsid w:val="617552A3"/>
    <w:rsid w:val="617668F9"/>
    <w:rsid w:val="61774699"/>
    <w:rsid w:val="61775A66"/>
    <w:rsid w:val="617821BF"/>
    <w:rsid w:val="61783F6D"/>
    <w:rsid w:val="61785574"/>
    <w:rsid w:val="617924AD"/>
    <w:rsid w:val="617A0990"/>
    <w:rsid w:val="617A1018"/>
    <w:rsid w:val="617B0AF9"/>
    <w:rsid w:val="617D3332"/>
    <w:rsid w:val="617F70AA"/>
    <w:rsid w:val="61823FF6"/>
    <w:rsid w:val="6183303E"/>
    <w:rsid w:val="61842912"/>
    <w:rsid w:val="6184626B"/>
    <w:rsid w:val="61860438"/>
    <w:rsid w:val="618741B1"/>
    <w:rsid w:val="61882403"/>
    <w:rsid w:val="618943CD"/>
    <w:rsid w:val="618A78DD"/>
    <w:rsid w:val="618B1EF3"/>
    <w:rsid w:val="618B6F35"/>
    <w:rsid w:val="618C17C7"/>
    <w:rsid w:val="618D5C6B"/>
    <w:rsid w:val="618E3791"/>
    <w:rsid w:val="618F442A"/>
    <w:rsid w:val="619012B7"/>
    <w:rsid w:val="61907509"/>
    <w:rsid w:val="61907706"/>
    <w:rsid w:val="61923281"/>
    <w:rsid w:val="619306EF"/>
    <w:rsid w:val="61932F49"/>
    <w:rsid w:val="61941B7F"/>
    <w:rsid w:val="61956646"/>
    <w:rsid w:val="61957157"/>
    <w:rsid w:val="6196434A"/>
    <w:rsid w:val="61970475"/>
    <w:rsid w:val="61970898"/>
    <w:rsid w:val="6198016C"/>
    <w:rsid w:val="619A0388"/>
    <w:rsid w:val="619A2136"/>
    <w:rsid w:val="619B094E"/>
    <w:rsid w:val="619B10D4"/>
    <w:rsid w:val="619B5579"/>
    <w:rsid w:val="619B5976"/>
    <w:rsid w:val="619C1A0A"/>
    <w:rsid w:val="619C4100"/>
    <w:rsid w:val="619C7C5C"/>
    <w:rsid w:val="619D4372"/>
    <w:rsid w:val="619E2264"/>
    <w:rsid w:val="619E4AD8"/>
    <w:rsid w:val="619E7FBB"/>
    <w:rsid w:val="619F24BE"/>
    <w:rsid w:val="619F772F"/>
    <w:rsid w:val="619F774C"/>
    <w:rsid w:val="61A00967"/>
    <w:rsid w:val="61A0267E"/>
    <w:rsid w:val="61A30FEA"/>
    <w:rsid w:val="61A36339"/>
    <w:rsid w:val="61A3723C"/>
    <w:rsid w:val="61A41674"/>
    <w:rsid w:val="61A44D62"/>
    <w:rsid w:val="61A501DD"/>
    <w:rsid w:val="61A5152A"/>
    <w:rsid w:val="61A526F1"/>
    <w:rsid w:val="61A52B04"/>
    <w:rsid w:val="61A61FFB"/>
    <w:rsid w:val="61A75E00"/>
    <w:rsid w:val="61A84056"/>
    <w:rsid w:val="61AB1EA8"/>
    <w:rsid w:val="61AB4343"/>
    <w:rsid w:val="61AB6BC5"/>
    <w:rsid w:val="61AC45FE"/>
    <w:rsid w:val="61AD00BB"/>
    <w:rsid w:val="61AD242D"/>
    <w:rsid w:val="61AD3C17"/>
    <w:rsid w:val="61AE5BE1"/>
    <w:rsid w:val="61AF3E33"/>
    <w:rsid w:val="61B01959"/>
    <w:rsid w:val="61B033A5"/>
    <w:rsid w:val="61B05063"/>
    <w:rsid w:val="61B17361"/>
    <w:rsid w:val="61B25108"/>
    <w:rsid w:val="61B256D1"/>
    <w:rsid w:val="61B2747F"/>
    <w:rsid w:val="61B34FA6"/>
    <w:rsid w:val="61B425F9"/>
    <w:rsid w:val="61B431F8"/>
    <w:rsid w:val="61B43A9B"/>
    <w:rsid w:val="61B52ACC"/>
    <w:rsid w:val="61B5339A"/>
    <w:rsid w:val="61B56F70"/>
    <w:rsid w:val="61B6461C"/>
    <w:rsid w:val="61B75247"/>
    <w:rsid w:val="61BA6334"/>
    <w:rsid w:val="61BA7F0E"/>
    <w:rsid w:val="61BB78FB"/>
    <w:rsid w:val="61BC02FE"/>
    <w:rsid w:val="61BD7BD2"/>
    <w:rsid w:val="61BE18D7"/>
    <w:rsid w:val="61BE5E24"/>
    <w:rsid w:val="61BF25D2"/>
    <w:rsid w:val="61C04EAC"/>
    <w:rsid w:val="61C06A6D"/>
    <w:rsid w:val="61C11051"/>
    <w:rsid w:val="61C13B66"/>
    <w:rsid w:val="61C15914"/>
    <w:rsid w:val="61C176C2"/>
    <w:rsid w:val="61C17796"/>
    <w:rsid w:val="61C22F65"/>
    <w:rsid w:val="61C22FCC"/>
    <w:rsid w:val="61C23389"/>
    <w:rsid w:val="61C55405"/>
    <w:rsid w:val="61C827FF"/>
    <w:rsid w:val="61C83B57"/>
    <w:rsid w:val="61C947C9"/>
    <w:rsid w:val="61C97FB1"/>
    <w:rsid w:val="61CA2A1B"/>
    <w:rsid w:val="61CA6B5B"/>
    <w:rsid w:val="61CB4814"/>
    <w:rsid w:val="61CB6793"/>
    <w:rsid w:val="61CB77F4"/>
    <w:rsid w:val="61CC0880"/>
    <w:rsid w:val="61CD60BE"/>
    <w:rsid w:val="61CD611B"/>
    <w:rsid w:val="61CE5D71"/>
    <w:rsid w:val="61D01CF8"/>
    <w:rsid w:val="61D03DA9"/>
    <w:rsid w:val="61D05B58"/>
    <w:rsid w:val="61D13262"/>
    <w:rsid w:val="61D26E59"/>
    <w:rsid w:val="61D513C0"/>
    <w:rsid w:val="61D54F1C"/>
    <w:rsid w:val="61D6058F"/>
    <w:rsid w:val="61D64494"/>
    <w:rsid w:val="61D70AA1"/>
    <w:rsid w:val="61D724D7"/>
    <w:rsid w:val="61D76EE6"/>
    <w:rsid w:val="61D81BC4"/>
    <w:rsid w:val="61D82B1A"/>
    <w:rsid w:val="61D92C5E"/>
    <w:rsid w:val="61D9367B"/>
    <w:rsid w:val="61D94A0C"/>
    <w:rsid w:val="61D96045"/>
    <w:rsid w:val="61D971A1"/>
    <w:rsid w:val="61DA5A55"/>
    <w:rsid w:val="61DB1015"/>
    <w:rsid w:val="61DB57A4"/>
    <w:rsid w:val="61DC1BA0"/>
    <w:rsid w:val="61DC274E"/>
    <w:rsid w:val="61DC44FC"/>
    <w:rsid w:val="61DC62AA"/>
    <w:rsid w:val="61DF4125"/>
    <w:rsid w:val="61E1749E"/>
    <w:rsid w:val="61E2123F"/>
    <w:rsid w:val="61E31B53"/>
    <w:rsid w:val="61E3588B"/>
    <w:rsid w:val="61E43337"/>
    <w:rsid w:val="61E558B7"/>
    <w:rsid w:val="61E635CD"/>
    <w:rsid w:val="61E6537B"/>
    <w:rsid w:val="61E909C7"/>
    <w:rsid w:val="61E91312"/>
    <w:rsid w:val="61E95EDF"/>
    <w:rsid w:val="61EB3135"/>
    <w:rsid w:val="61EC23D1"/>
    <w:rsid w:val="61EE47A6"/>
    <w:rsid w:val="61F07923"/>
    <w:rsid w:val="61F22D04"/>
    <w:rsid w:val="61F23D20"/>
    <w:rsid w:val="61F24382"/>
    <w:rsid w:val="61F31DDA"/>
    <w:rsid w:val="61F330CF"/>
    <w:rsid w:val="61F46C53"/>
    <w:rsid w:val="61F47A8C"/>
    <w:rsid w:val="61F545BE"/>
    <w:rsid w:val="61F545EC"/>
    <w:rsid w:val="61F5736C"/>
    <w:rsid w:val="61F62B9D"/>
    <w:rsid w:val="61F71336"/>
    <w:rsid w:val="61F74F7D"/>
    <w:rsid w:val="61F93300"/>
    <w:rsid w:val="61F96E5C"/>
    <w:rsid w:val="61FA4982"/>
    <w:rsid w:val="61FC503D"/>
    <w:rsid w:val="61FD4083"/>
    <w:rsid w:val="61FD74FD"/>
    <w:rsid w:val="61FE0B3E"/>
    <w:rsid w:val="61FE227F"/>
    <w:rsid w:val="61FF01EB"/>
    <w:rsid w:val="61FF3DCD"/>
    <w:rsid w:val="61FF7DD8"/>
    <w:rsid w:val="6200643D"/>
    <w:rsid w:val="620121B5"/>
    <w:rsid w:val="62022090"/>
    <w:rsid w:val="6202752C"/>
    <w:rsid w:val="62037172"/>
    <w:rsid w:val="62037CDB"/>
    <w:rsid w:val="620403F9"/>
    <w:rsid w:val="62053A53"/>
    <w:rsid w:val="6205701C"/>
    <w:rsid w:val="62061198"/>
    <w:rsid w:val="62063593"/>
    <w:rsid w:val="62065379"/>
    <w:rsid w:val="62066081"/>
    <w:rsid w:val="620852F1"/>
    <w:rsid w:val="62092E18"/>
    <w:rsid w:val="620972BD"/>
    <w:rsid w:val="620A1069"/>
    <w:rsid w:val="620B1CB1"/>
    <w:rsid w:val="620B3141"/>
    <w:rsid w:val="620C4F07"/>
    <w:rsid w:val="620C5D12"/>
    <w:rsid w:val="620D0B5A"/>
    <w:rsid w:val="620E111F"/>
    <w:rsid w:val="620E3F5D"/>
    <w:rsid w:val="620F48D2"/>
    <w:rsid w:val="620F6680"/>
    <w:rsid w:val="6211323E"/>
    <w:rsid w:val="62127F1E"/>
    <w:rsid w:val="62133014"/>
    <w:rsid w:val="621359DC"/>
    <w:rsid w:val="62135E9B"/>
    <w:rsid w:val="62140B91"/>
    <w:rsid w:val="621517BC"/>
    <w:rsid w:val="621707F6"/>
    <w:rsid w:val="621719D8"/>
    <w:rsid w:val="62182854"/>
    <w:rsid w:val="621912AD"/>
    <w:rsid w:val="62195745"/>
    <w:rsid w:val="62195750"/>
    <w:rsid w:val="621B4F3C"/>
    <w:rsid w:val="621C3CEA"/>
    <w:rsid w:val="621E0127"/>
    <w:rsid w:val="621E76E6"/>
    <w:rsid w:val="621F19E4"/>
    <w:rsid w:val="621F2448"/>
    <w:rsid w:val="621F43E9"/>
    <w:rsid w:val="622017FD"/>
    <w:rsid w:val="62210005"/>
    <w:rsid w:val="6222429B"/>
    <w:rsid w:val="622267A9"/>
    <w:rsid w:val="62227F38"/>
    <w:rsid w:val="62230D10"/>
    <w:rsid w:val="62242F34"/>
    <w:rsid w:val="62257906"/>
    <w:rsid w:val="62261C1B"/>
    <w:rsid w:val="62274D59"/>
    <w:rsid w:val="6228049E"/>
    <w:rsid w:val="622A0F4D"/>
    <w:rsid w:val="622A34BA"/>
    <w:rsid w:val="622A3878"/>
    <w:rsid w:val="622B69F5"/>
    <w:rsid w:val="622D4D58"/>
    <w:rsid w:val="622F6D22"/>
    <w:rsid w:val="623065F6"/>
    <w:rsid w:val="62314FF2"/>
    <w:rsid w:val="6231530B"/>
    <w:rsid w:val="623460E6"/>
    <w:rsid w:val="62346A68"/>
    <w:rsid w:val="62353C0D"/>
    <w:rsid w:val="62361C0C"/>
    <w:rsid w:val="623712E2"/>
    <w:rsid w:val="62376778"/>
    <w:rsid w:val="6238389F"/>
    <w:rsid w:val="6238435F"/>
    <w:rsid w:val="62385432"/>
    <w:rsid w:val="6239194F"/>
    <w:rsid w:val="623954AB"/>
    <w:rsid w:val="623A61BF"/>
    <w:rsid w:val="623A794B"/>
    <w:rsid w:val="623B3425"/>
    <w:rsid w:val="623B7475"/>
    <w:rsid w:val="623C1CB7"/>
    <w:rsid w:val="623C31ED"/>
    <w:rsid w:val="623C4F9B"/>
    <w:rsid w:val="623D1B7C"/>
    <w:rsid w:val="623D2945"/>
    <w:rsid w:val="623D5CA9"/>
    <w:rsid w:val="623D6281"/>
    <w:rsid w:val="623E513D"/>
    <w:rsid w:val="623F1255"/>
    <w:rsid w:val="624004A9"/>
    <w:rsid w:val="62404A8B"/>
    <w:rsid w:val="62404AB1"/>
    <w:rsid w:val="624058E7"/>
    <w:rsid w:val="62406DE0"/>
    <w:rsid w:val="62410803"/>
    <w:rsid w:val="624125B1"/>
    <w:rsid w:val="62426A55"/>
    <w:rsid w:val="624350F9"/>
    <w:rsid w:val="62436329"/>
    <w:rsid w:val="62443AAF"/>
    <w:rsid w:val="624502F4"/>
    <w:rsid w:val="62465E1A"/>
    <w:rsid w:val="624815C8"/>
    <w:rsid w:val="62483940"/>
    <w:rsid w:val="62494824"/>
    <w:rsid w:val="624A0FC2"/>
    <w:rsid w:val="624A3B5C"/>
    <w:rsid w:val="624D0527"/>
    <w:rsid w:val="624D4635"/>
    <w:rsid w:val="624E7206"/>
    <w:rsid w:val="624F1172"/>
    <w:rsid w:val="62502908"/>
    <w:rsid w:val="62514446"/>
    <w:rsid w:val="62514EEA"/>
    <w:rsid w:val="625247BE"/>
    <w:rsid w:val="625422E5"/>
    <w:rsid w:val="62554079"/>
    <w:rsid w:val="625614D2"/>
    <w:rsid w:val="625642AF"/>
    <w:rsid w:val="625658F1"/>
    <w:rsid w:val="6256749B"/>
    <w:rsid w:val="62567B78"/>
    <w:rsid w:val="62580981"/>
    <w:rsid w:val="62583769"/>
    <w:rsid w:val="62586279"/>
    <w:rsid w:val="62595B4D"/>
    <w:rsid w:val="62595D00"/>
    <w:rsid w:val="625C5701"/>
    <w:rsid w:val="625C73EB"/>
    <w:rsid w:val="625E12A9"/>
    <w:rsid w:val="625E2CFC"/>
    <w:rsid w:val="625E3163"/>
    <w:rsid w:val="62600C89"/>
    <w:rsid w:val="62606EDB"/>
    <w:rsid w:val="62612C54"/>
    <w:rsid w:val="6263077A"/>
    <w:rsid w:val="6263278A"/>
    <w:rsid w:val="626426E9"/>
    <w:rsid w:val="62651F71"/>
    <w:rsid w:val="62652744"/>
    <w:rsid w:val="6267026A"/>
    <w:rsid w:val="62682234"/>
    <w:rsid w:val="62683FE2"/>
    <w:rsid w:val="626A1B08"/>
    <w:rsid w:val="626A25DE"/>
    <w:rsid w:val="626A5FAC"/>
    <w:rsid w:val="626B1666"/>
    <w:rsid w:val="626B74C5"/>
    <w:rsid w:val="626C104E"/>
    <w:rsid w:val="626C652F"/>
    <w:rsid w:val="626D784A"/>
    <w:rsid w:val="626F35C2"/>
    <w:rsid w:val="627110E9"/>
    <w:rsid w:val="6271270B"/>
    <w:rsid w:val="6271393A"/>
    <w:rsid w:val="62715661"/>
    <w:rsid w:val="62715FB9"/>
    <w:rsid w:val="62725DF9"/>
    <w:rsid w:val="62726C0F"/>
    <w:rsid w:val="62736350"/>
    <w:rsid w:val="62742987"/>
    <w:rsid w:val="62744735"/>
    <w:rsid w:val="627500D5"/>
    <w:rsid w:val="62750C70"/>
    <w:rsid w:val="62753841"/>
    <w:rsid w:val="62757533"/>
    <w:rsid w:val="627604AD"/>
    <w:rsid w:val="62760AAF"/>
    <w:rsid w:val="627666FF"/>
    <w:rsid w:val="627709B2"/>
    <w:rsid w:val="62774225"/>
    <w:rsid w:val="62775FD3"/>
    <w:rsid w:val="62791D4B"/>
    <w:rsid w:val="62791EFC"/>
    <w:rsid w:val="627939CF"/>
    <w:rsid w:val="62793D75"/>
    <w:rsid w:val="62797F9D"/>
    <w:rsid w:val="627A1A44"/>
    <w:rsid w:val="627A4AFB"/>
    <w:rsid w:val="627B1F67"/>
    <w:rsid w:val="627B3ABF"/>
    <w:rsid w:val="627D7A8D"/>
    <w:rsid w:val="627F49BB"/>
    <w:rsid w:val="6280757E"/>
    <w:rsid w:val="62810954"/>
    <w:rsid w:val="62813525"/>
    <w:rsid w:val="62815DED"/>
    <w:rsid w:val="628250A4"/>
    <w:rsid w:val="62834D4D"/>
    <w:rsid w:val="628400F2"/>
    <w:rsid w:val="6284060B"/>
    <w:rsid w:val="62841EA6"/>
    <w:rsid w:val="62847865"/>
    <w:rsid w:val="62856942"/>
    <w:rsid w:val="62857046"/>
    <w:rsid w:val="6285746B"/>
    <w:rsid w:val="6286206E"/>
    <w:rsid w:val="62864E98"/>
    <w:rsid w:val="628726BA"/>
    <w:rsid w:val="62876449"/>
    <w:rsid w:val="62877BD8"/>
    <w:rsid w:val="628801E0"/>
    <w:rsid w:val="62881996"/>
    <w:rsid w:val="628A2CAF"/>
    <w:rsid w:val="628A3147"/>
    <w:rsid w:val="628A3F58"/>
    <w:rsid w:val="628C6950"/>
    <w:rsid w:val="628C7CD0"/>
    <w:rsid w:val="628D2A9E"/>
    <w:rsid w:val="628D4E56"/>
    <w:rsid w:val="628E1C9B"/>
    <w:rsid w:val="628F5A13"/>
    <w:rsid w:val="628F5E41"/>
    <w:rsid w:val="62906FB9"/>
    <w:rsid w:val="62914838"/>
    <w:rsid w:val="62917095"/>
    <w:rsid w:val="6293593A"/>
    <w:rsid w:val="629372B1"/>
    <w:rsid w:val="62944DD7"/>
    <w:rsid w:val="62962D25"/>
    <w:rsid w:val="62966DA1"/>
    <w:rsid w:val="6296706C"/>
    <w:rsid w:val="62976675"/>
    <w:rsid w:val="62982DA0"/>
    <w:rsid w:val="6299063F"/>
    <w:rsid w:val="629B43B7"/>
    <w:rsid w:val="629B6165"/>
    <w:rsid w:val="629B764B"/>
    <w:rsid w:val="629B7F14"/>
    <w:rsid w:val="629C61EA"/>
    <w:rsid w:val="629C69EC"/>
    <w:rsid w:val="629C7F08"/>
    <w:rsid w:val="629D0130"/>
    <w:rsid w:val="629D1EDE"/>
    <w:rsid w:val="629D3C8C"/>
    <w:rsid w:val="629E55C5"/>
    <w:rsid w:val="629F47DC"/>
    <w:rsid w:val="62A0552A"/>
    <w:rsid w:val="62A120CB"/>
    <w:rsid w:val="62A209BA"/>
    <w:rsid w:val="62A212A2"/>
    <w:rsid w:val="62A27151"/>
    <w:rsid w:val="62A274F4"/>
    <w:rsid w:val="62A32E82"/>
    <w:rsid w:val="62A3501A"/>
    <w:rsid w:val="62A414BE"/>
    <w:rsid w:val="62A420D5"/>
    <w:rsid w:val="62A50D92"/>
    <w:rsid w:val="62A51693"/>
    <w:rsid w:val="62A52B40"/>
    <w:rsid w:val="62A7266F"/>
    <w:rsid w:val="62A72D5C"/>
    <w:rsid w:val="62A74B0A"/>
    <w:rsid w:val="62A841C1"/>
    <w:rsid w:val="62AA0157"/>
    <w:rsid w:val="62AA1363"/>
    <w:rsid w:val="62AA3E7E"/>
    <w:rsid w:val="62AB3FF6"/>
    <w:rsid w:val="62AB7BE6"/>
    <w:rsid w:val="62AC2121"/>
    <w:rsid w:val="62AD318D"/>
    <w:rsid w:val="62AE5E99"/>
    <w:rsid w:val="62AF1C11"/>
    <w:rsid w:val="62B03276"/>
    <w:rsid w:val="62B114E5"/>
    <w:rsid w:val="62B249B4"/>
    <w:rsid w:val="62B334AF"/>
    <w:rsid w:val="62B40FD5"/>
    <w:rsid w:val="62B45479"/>
    <w:rsid w:val="62B62F86"/>
    <w:rsid w:val="62B62F9F"/>
    <w:rsid w:val="62B64D4D"/>
    <w:rsid w:val="62B86BBF"/>
    <w:rsid w:val="62B86D17"/>
    <w:rsid w:val="62B92A90"/>
    <w:rsid w:val="62B9483E"/>
    <w:rsid w:val="62B965EC"/>
    <w:rsid w:val="62BB36B8"/>
    <w:rsid w:val="62BB6808"/>
    <w:rsid w:val="62BC7E8A"/>
    <w:rsid w:val="62BD432E"/>
    <w:rsid w:val="62BE120E"/>
    <w:rsid w:val="62BE2037"/>
    <w:rsid w:val="62BE7470"/>
    <w:rsid w:val="62BF00A6"/>
    <w:rsid w:val="62C03E1E"/>
    <w:rsid w:val="62C1431D"/>
    <w:rsid w:val="62C1505B"/>
    <w:rsid w:val="62C15DE7"/>
    <w:rsid w:val="62C16B6E"/>
    <w:rsid w:val="62C236F2"/>
    <w:rsid w:val="62C25C0C"/>
    <w:rsid w:val="62C31A1B"/>
    <w:rsid w:val="62C531E2"/>
    <w:rsid w:val="62C55BF8"/>
    <w:rsid w:val="62C65EC4"/>
    <w:rsid w:val="62C7242B"/>
    <w:rsid w:val="62C90F25"/>
    <w:rsid w:val="62C92CD3"/>
    <w:rsid w:val="62CA1AD5"/>
    <w:rsid w:val="62CA6A4B"/>
    <w:rsid w:val="62CC15A8"/>
    <w:rsid w:val="62CC46C6"/>
    <w:rsid w:val="62CF4061"/>
    <w:rsid w:val="62CF5E0F"/>
    <w:rsid w:val="62CF7E75"/>
    <w:rsid w:val="62D022B3"/>
    <w:rsid w:val="62D11B87"/>
    <w:rsid w:val="62D13F91"/>
    <w:rsid w:val="62D15192"/>
    <w:rsid w:val="62D201FC"/>
    <w:rsid w:val="62D33B51"/>
    <w:rsid w:val="62D376AD"/>
    <w:rsid w:val="62D41677"/>
    <w:rsid w:val="62D43425"/>
    <w:rsid w:val="62D45454"/>
    <w:rsid w:val="62D50ADE"/>
    <w:rsid w:val="62D55284"/>
    <w:rsid w:val="62D55321"/>
    <w:rsid w:val="62D578C9"/>
    <w:rsid w:val="62D60F4C"/>
    <w:rsid w:val="62D653F0"/>
    <w:rsid w:val="62D66B7D"/>
    <w:rsid w:val="62D6719E"/>
    <w:rsid w:val="62D7000D"/>
    <w:rsid w:val="62D701C0"/>
    <w:rsid w:val="62D81168"/>
    <w:rsid w:val="62D82CBA"/>
    <w:rsid w:val="62D82F16"/>
    <w:rsid w:val="62D83818"/>
    <w:rsid w:val="62D84CC4"/>
    <w:rsid w:val="62DA00CF"/>
    <w:rsid w:val="62DB04BF"/>
    <w:rsid w:val="62DB155F"/>
    <w:rsid w:val="62DB19C4"/>
    <w:rsid w:val="62DC55C0"/>
    <w:rsid w:val="62DC6C2D"/>
    <w:rsid w:val="62DC72A3"/>
    <w:rsid w:val="62DD22DA"/>
    <w:rsid w:val="62DD26CE"/>
    <w:rsid w:val="62DD677E"/>
    <w:rsid w:val="62DE4FB6"/>
    <w:rsid w:val="62DE58F9"/>
    <w:rsid w:val="62DF2BC6"/>
    <w:rsid w:val="62DF37A3"/>
    <w:rsid w:val="62E13C90"/>
    <w:rsid w:val="62E278F0"/>
    <w:rsid w:val="62E31181"/>
    <w:rsid w:val="62E328C2"/>
    <w:rsid w:val="62E418BB"/>
    <w:rsid w:val="62E47B0C"/>
    <w:rsid w:val="62E519C1"/>
    <w:rsid w:val="62E62AFE"/>
    <w:rsid w:val="62E713AB"/>
    <w:rsid w:val="62E726D3"/>
    <w:rsid w:val="62E73159"/>
    <w:rsid w:val="62E775FD"/>
    <w:rsid w:val="62E80C7F"/>
    <w:rsid w:val="62E90012"/>
    <w:rsid w:val="62E95123"/>
    <w:rsid w:val="62EA2C49"/>
    <w:rsid w:val="62EC69C1"/>
    <w:rsid w:val="62EC7E90"/>
    <w:rsid w:val="62ED32DE"/>
    <w:rsid w:val="62EE124E"/>
    <w:rsid w:val="62EE44E7"/>
    <w:rsid w:val="62EF159C"/>
    <w:rsid w:val="62EF200D"/>
    <w:rsid w:val="62F12229"/>
    <w:rsid w:val="62F13654"/>
    <w:rsid w:val="62F13FD7"/>
    <w:rsid w:val="62F15D85"/>
    <w:rsid w:val="62F31AFE"/>
    <w:rsid w:val="62F34AE7"/>
    <w:rsid w:val="62F42106"/>
    <w:rsid w:val="62F51D1A"/>
    <w:rsid w:val="62F54CD7"/>
    <w:rsid w:val="62F62311"/>
    <w:rsid w:val="62F64193"/>
    <w:rsid w:val="62F70F11"/>
    <w:rsid w:val="62F75C05"/>
    <w:rsid w:val="62F77578"/>
    <w:rsid w:val="62F85366"/>
    <w:rsid w:val="62F95FDE"/>
    <w:rsid w:val="62FA7330"/>
    <w:rsid w:val="62FB30A8"/>
    <w:rsid w:val="62FB4E56"/>
    <w:rsid w:val="62FB6C04"/>
    <w:rsid w:val="62FD2CC5"/>
    <w:rsid w:val="62FD472A"/>
    <w:rsid w:val="62FE04A2"/>
    <w:rsid w:val="62FF4946"/>
    <w:rsid w:val="62FF7219"/>
    <w:rsid w:val="6300161E"/>
    <w:rsid w:val="6300246C"/>
    <w:rsid w:val="630261E5"/>
    <w:rsid w:val="630263D7"/>
    <w:rsid w:val="63027F93"/>
    <w:rsid w:val="6303495E"/>
    <w:rsid w:val="63054A29"/>
    <w:rsid w:val="63057A83"/>
    <w:rsid w:val="630662E3"/>
    <w:rsid w:val="6307057C"/>
    <w:rsid w:val="63071A4D"/>
    <w:rsid w:val="6307369F"/>
    <w:rsid w:val="630755A9"/>
    <w:rsid w:val="63091321"/>
    <w:rsid w:val="630930CF"/>
    <w:rsid w:val="63094A1A"/>
    <w:rsid w:val="630A200C"/>
    <w:rsid w:val="630A21A8"/>
    <w:rsid w:val="630A432C"/>
    <w:rsid w:val="630A5099"/>
    <w:rsid w:val="630B0BDF"/>
    <w:rsid w:val="630B32EB"/>
    <w:rsid w:val="630B33E7"/>
    <w:rsid w:val="630B6593"/>
    <w:rsid w:val="630E22BF"/>
    <w:rsid w:val="630E4B89"/>
    <w:rsid w:val="630E7E62"/>
    <w:rsid w:val="630F26B0"/>
    <w:rsid w:val="630F445E"/>
    <w:rsid w:val="630F5060"/>
    <w:rsid w:val="63100901"/>
    <w:rsid w:val="6310591B"/>
    <w:rsid w:val="63114A0C"/>
    <w:rsid w:val="63155F18"/>
    <w:rsid w:val="6316175D"/>
    <w:rsid w:val="63162A59"/>
    <w:rsid w:val="63163A3E"/>
    <w:rsid w:val="631730A5"/>
    <w:rsid w:val="63175BC3"/>
    <w:rsid w:val="63185A08"/>
    <w:rsid w:val="631A52DC"/>
    <w:rsid w:val="631B1054"/>
    <w:rsid w:val="631B2E0E"/>
    <w:rsid w:val="631B677D"/>
    <w:rsid w:val="631B72A6"/>
    <w:rsid w:val="631D301E"/>
    <w:rsid w:val="631D4DCC"/>
    <w:rsid w:val="631F0012"/>
    <w:rsid w:val="631F0B45"/>
    <w:rsid w:val="631F6803"/>
    <w:rsid w:val="6320615C"/>
    <w:rsid w:val="63212B0F"/>
    <w:rsid w:val="63220635"/>
    <w:rsid w:val="632223E3"/>
    <w:rsid w:val="63224191"/>
    <w:rsid w:val="63233FE8"/>
    <w:rsid w:val="632403C9"/>
    <w:rsid w:val="632443AD"/>
    <w:rsid w:val="63247F09"/>
    <w:rsid w:val="63250F34"/>
    <w:rsid w:val="63253C81"/>
    <w:rsid w:val="63267BA3"/>
    <w:rsid w:val="632717A7"/>
    <w:rsid w:val="63274F95"/>
    <w:rsid w:val="6327656B"/>
    <w:rsid w:val="63276B75"/>
    <w:rsid w:val="63280929"/>
    <w:rsid w:val="63280FF6"/>
    <w:rsid w:val="63282527"/>
    <w:rsid w:val="63285608"/>
    <w:rsid w:val="6328568C"/>
    <w:rsid w:val="632919C3"/>
    <w:rsid w:val="63293771"/>
    <w:rsid w:val="6329551F"/>
    <w:rsid w:val="632A3916"/>
    <w:rsid w:val="632B301F"/>
    <w:rsid w:val="632B64E7"/>
    <w:rsid w:val="632B74E9"/>
    <w:rsid w:val="632C4F63"/>
    <w:rsid w:val="632D2E90"/>
    <w:rsid w:val="632E2B36"/>
    <w:rsid w:val="632E547F"/>
    <w:rsid w:val="632E7C88"/>
    <w:rsid w:val="63304B00"/>
    <w:rsid w:val="63310878"/>
    <w:rsid w:val="633345F0"/>
    <w:rsid w:val="63347599"/>
    <w:rsid w:val="633635FA"/>
    <w:rsid w:val="633659F6"/>
    <w:rsid w:val="63367C3C"/>
    <w:rsid w:val="63376FD5"/>
    <w:rsid w:val="633838C4"/>
    <w:rsid w:val="633873AA"/>
    <w:rsid w:val="63387E58"/>
    <w:rsid w:val="633A597E"/>
    <w:rsid w:val="633B34A5"/>
    <w:rsid w:val="633B52E6"/>
    <w:rsid w:val="633C08FC"/>
    <w:rsid w:val="633C3B77"/>
    <w:rsid w:val="633D0FCB"/>
    <w:rsid w:val="633D1BA0"/>
    <w:rsid w:val="633D1D8C"/>
    <w:rsid w:val="633D4D52"/>
    <w:rsid w:val="633D721D"/>
    <w:rsid w:val="63400ABB"/>
    <w:rsid w:val="63405211"/>
    <w:rsid w:val="63405F54"/>
    <w:rsid w:val="63413B8A"/>
    <w:rsid w:val="63414F5F"/>
    <w:rsid w:val="63416268"/>
    <w:rsid w:val="63416D0D"/>
    <w:rsid w:val="63422A85"/>
    <w:rsid w:val="63424833"/>
    <w:rsid w:val="634265E1"/>
    <w:rsid w:val="63454C0E"/>
    <w:rsid w:val="634650DB"/>
    <w:rsid w:val="634652DF"/>
    <w:rsid w:val="6347009B"/>
    <w:rsid w:val="63473BF7"/>
    <w:rsid w:val="63475A0F"/>
    <w:rsid w:val="6347654B"/>
    <w:rsid w:val="63486902"/>
    <w:rsid w:val="6349032F"/>
    <w:rsid w:val="634A03F0"/>
    <w:rsid w:val="634A5CBE"/>
    <w:rsid w:val="634B514E"/>
    <w:rsid w:val="634C03F1"/>
    <w:rsid w:val="634C239A"/>
    <w:rsid w:val="634C49D0"/>
    <w:rsid w:val="634E142A"/>
    <w:rsid w:val="634E31D8"/>
    <w:rsid w:val="6350137D"/>
    <w:rsid w:val="635051A2"/>
    <w:rsid w:val="63520C0D"/>
    <w:rsid w:val="63520F1A"/>
    <w:rsid w:val="6353259C"/>
    <w:rsid w:val="635356F3"/>
    <w:rsid w:val="635602DE"/>
    <w:rsid w:val="6356208C"/>
    <w:rsid w:val="6357208B"/>
    <w:rsid w:val="63576530"/>
    <w:rsid w:val="635822A8"/>
    <w:rsid w:val="635A1B7D"/>
    <w:rsid w:val="635D3C7D"/>
    <w:rsid w:val="635D3DB0"/>
    <w:rsid w:val="635E18A4"/>
    <w:rsid w:val="635F1C73"/>
    <w:rsid w:val="635F3637"/>
    <w:rsid w:val="635F755B"/>
    <w:rsid w:val="635F7FDB"/>
    <w:rsid w:val="63611A91"/>
    <w:rsid w:val="63614331"/>
    <w:rsid w:val="63621163"/>
    <w:rsid w:val="63624ED5"/>
    <w:rsid w:val="63633AA7"/>
    <w:rsid w:val="636447A9"/>
    <w:rsid w:val="63651C04"/>
    <w:rsid w:val="63660521"/>
    <w:rsid w:val="636649C5"/>
    <w:rsid w:val="63676048"/>
    <w:rsid w:val="63685240"/>
    <w:rsid w:val="63691DC0"/>
    <w:rsid w:val="636B296D"/>
    <w:rsid w:val="636B7A36"/>
    <w:rsid w:val="636C18B0"/>
    <w:rsid w:val="636C365E"/>
    <w:rsid w:val="636C7DAE"/>
    <w:rsid w:val="636D7CFA"/>
    <w:rsid w:val="636E73D6"/>
    <w:rsid w:val="6370314E"/>
    <w:rsid w:val="637075F2"/>
    <w:rsid w:val="63716B6A"/>
    <w:rsid w:val="63732C3E"/>
    <w:rsid w:val="63734EA7"/>
    <w:rsid w:val="63740259"/>
    <w:rsid w:val="63744554"/>
    <w:rsid w:val="63750765"/>
    <w:rsid w:val="63753E6F"/>
    <w:rsid w:val="637613DC"/>
    <w:rsid w:val="637644DD"/>
    <w:rsid w:val="637846F9"/>
    <w:rsid w:val="6378546F"/>
    <w:rsid w:val="63787DF3"/>
    <w:rsid w:val="63794C36"/>
    <w:rsid w:val="637A089E"/>
    <w:rsid w:val="637B1AF3"/>
    <w:rsid w:val="637B3DDE"/>
    <w:rsid w:val="637B780A"/>
    <w:rsid w:val="637C5F97"/>
    <w:rsid w:val="637D1D0F"/>
    <w:rsid w:val="637D2268"/>
    <w:rsid w:val="637E1A26"/>
    <w:rsid w:val="637F3391"/>
    <w:rsid w:val="637F6472"/>
    <w:rsid w:val="637F7835"/>
    <w:rsid w:val="6381535B"/>
    <w:rsid w:val="6382127C"/>
    <w:rsid w:val="638324AA"/>
    <w:rsid w:val="63840AAD"/>
    <w:rsid w:val="638509E7"/>
    <w:rsid w:val="63862972"/>
    <w:rsid w:val="63864720"/>
    <w:rsid w:val="638766EA"/>
    <w:rsid w:val="63884F6B"/>
    <w:rsid w:val="638906B4"/>
    <w:rsid w:val="638A57D4"/>
    <w:rsid w:val="638B46E2"/>
    <w:rsid w:val="638B61DA"/>
    <w:rsid w:val="638B7F88"/>
    <w:rsid w:val="638C2CB2"/>
    <w:rsid w:val="638C4D76"/>
    <w:rsid w:val="638C7755"/>
    <w:rsid w:val="638E5D64"/>
    <w:rsid w:val="638F71D4"/>
    <w:rsid w:val="63902A29"/>
    <w:rsid w:val="63902AC3"/>
    <w:rsid w:val="639257BA"/>
    <w:rsid w:val="63927568"/>
    <w:rsid w:val="63931232"/>
    <w:rsid w:val="63931E47"/>
    <w:rsid w:val="6393508F"/>
    <w:rsid w:val="639425E7"/>
    <w:rsid w:val="63944015"/>
    <w:rsid w:val="63950E07"/>
    <w:rsid w:val="63952BB5"/>
    <w:rsid w:val="63953320"/>
    <w:rsid w:val="63955CD5"/>
    <w:rsid w:val="63957417"/>
    <w:rsid w:val="63960FE7"/>
    <w:rsid w:val="63977DC5"/>
    <w:rsid w:val="63984453"/>
    <w:rsid w:val="6399385A"/>
    <w:rsid w:val="639A4388"/>
    <w:rsid w:val="639C2195"/>
    <w:rsid w:val="639C3F43"/>
    <w:rsid w:val="639D642F"/>
    <w:rsid w:val="639E5706"/>
    <w:rsid w:val="639F4510"/>
    <w:rsid w:val="639F79E7"/>
    <w:rsid w:val="63A04400"/>
    <w:rsid w:val="63A14C17"/>
    <w:rsid w:val="63A23524"/>
    <w:rsid w:val="63A23D72"/>
    <w:rsid w:val="63A266A3"/>
    <w:rsid w:val="63A26C03"/>
    <w:rsid w:val="63A27AA9"/>
    <w:rsid w:val="63A31776"/>
    <w:rsid w:val="63A32AEB"/>
    <w:rsid w:val="63A36368"/>
    <w:rsid w:val="63A707BD"/>
    <w:rsid w:val="63A86D8C"/>
    <w:rsid w:val="63A931D0"/>
    <w:rsid w:val="63AB23D8"/>
    <w:rsid w:val="63AB2A01"/>
    <w:rsid w:val="63AB4186"/>
    <w:rsid w:val="63AB4587"/>
    <w:rsid w:val="63AB687C"/>
    <w:rsid w:val="63AB7F6F"/>
    <w:rsid w:val="63AC0B5B"/>
    <w:rsid w:val="63AC3C5F"/>
    <w:rsid w:val="63AE1EC8"/>
    <w:rsid w:val="63AE3C76"/>
    <w:rsid w:val="63AF3EC4"/>
    <w:rsid w:val="63AF6375"/>
    <w:rsid w:val="63B04762"/>
    <w:rsid w:val="63B079EF"/>
    <w:rsid w:val="63B21468"/>
    <w:rsid w:val="63B24AF1"/>
    <w:rsid w:val="63B2759E"/>
    <w:rsid w:val="63B3128D"/>
    <w:rsid w:val="63B31766"/>
    <w:rsid w:val="63B372CD"/>
    <w:rsid w:val="63B55005"/>
    <w:rsid w:val="63B67016"/>
    <w:rsid w:val="63B7592D"/>
    <w:rsid w:val="63B76FCF"/>
    <w:rsid w:val="63B773AF"/>
    <w:rsid w:val="63B86D37"/>
    <w:rsid w:val="63B951DE"/>
    <w:rsid w:val="63BA261B"/>
    <w:rsid w:val="63BA6A4B"/>
    <w:rsid w:val="63BB6C8A"/>
    <w:rsid w:val="63BC0650"/>
    <w:rsid w:val="63BC2837"/>
    <w:rsid w:val="63BC4AA1"/>
    <w:rsid w:val="63BC6393"/>
    <w:rsid w:val="63BF40D6"/>
    <w:rsid w:val="63BF5E84"/>
    <w:rsid w:val="63C1012D"/>
    <w:rsid w:val="63C17E4E"/>
    <w:rsid w:val="63C35974"/>
    <w:rsid w:val="63C43933"/>
    <w:rsid w:val="63C45757"/>
    <w:rsid w:val="63C55EBE"/>
    <w:rsid w:val="63C67212"/>
    <w:rsid w:val="63C74D38"/>
    <w:rsid w:val="63C94F54"/>
    <w:rsid w:val="63C96D02"/>
    <w:rsid w:val="63CB65D6"/>
    <w:rsid w:val="63CD5F4E"/>
    <w:rsid w:val="63CD67F3"/>
    <w:rsid w:val="63CD6D32"/>
    <w:rsid w:val="63CE4319"/>
    <w:rsid w:val="63CF1AEB"/>
    <w:rsid w:val="63CF256B"/>
    <w:rsid w:val="63CF3A4E"/>
    <w:rsid w:val="63D00091"/>
    <w:rsid w:val="63D009C6"/>
    <w:rsid w:val="63D13A87"/>
    <w:rsid w:val="63D23FB7"/>
    <w:rsid w:val="63D25BB7"/>
    <w:rsid w:val="63D26DE9"/>
    <w:rsid w:val="63D3141F"/>
    <w:rsid w:val="63D3192F"/>
    <w:rsid w:val="63D35447"/>
    <w:rsid w:val="63D41DF9"/>
    <w:rsid w:val="63D450B1"/>
    <w:rsid w:val="63D532B0"/>
    <w:rsid w:val="63D56FFD"/>
    <w:rsid w:val="63D57455"/>
    <w:rsid w:val="63D80CF3"/>
    <w:rsid w:val="63D83C3E"/>
    <w:rsid w:val="63D86F45"/>
    <w:rsid w:val="63D95197"/>
    <w:rsid w:val="63DA1622"/>
    <w:rsid w:val="63DA2CBD"/>
    <w:rsid w:val="63DC1C35"/>
    <w:rsid w:val="63DC29E0"/>
    <w:rsid w:val="63DC4C88"/>
    <w:rsid w:val="63DC6A36"/>
    <w:rsid w:val="63DD0B9D"/>
    <w:rsid w:val="63DD630A"/>
    <w:rsid w:val="63DE27AE"/>
    <w:rsid w:val="63DE4E6F"/>
    <w:rsid w:val="63DF2082"/>
    <w:rsid w:val="63DF6526"/>
    <w:rsid w:val="63E05A87"/>
    <w:rsid w:val="63E27C85"/>
    <w:rsid w:val="63E31696"/>
    <w:rsid w:val="63E31B72"/>
    <w:rsid w:val="63E37DC4"/>
    <w:rsid w:val="63E458EA"/>
    <w:rsid w:val="63E5044E"/>
    <w:rsid w:val="63E52918"/>
    <w:rsid w:val="63E553E6"/>
    <w:rsid w:val="63E55D34"/>
    <w:rsid w:val="63E670D2"/>
    <w:rsid w:val="63E678B4"/>
    <w:rsid w:val="63E80515"/>
    <w:rsid w:val="63E8362C"/>
    <w:rsid w:val="63E91153"/>
    <w:rsid w:val="63E92F01"/>
    <w:rsid w:val="63EB0A27"/>
    <w:rsid w:val="63EB4ECB"/>
    <w:rsid w:val="63EB6C79"/>
    <w:rsid w:val="63EC71C0"/>
    <w:rsid w:val="63ED29F1"/>
    <w:rsid w:val="63ED479F"/>
    <w:rsid w:val="63EE0517"/>
    <w:rsid w:val="63EE34DF"/>
    <w:rsid w:val="63EE4213"/>
    <w:rsid w:val="63EE476B"/>
    <w:rsid w:val="63EE6769"/>
    <w:rsid w:val="63F02585"/>
    <w:rsid w:val="63F03E84"/>
    <w:rsid w:val="63F04FE2"/>
    <w:rsid w:val="63F109D0"/>
    <w:rsid w:val="63F2041F"/>
    <w:rsid w:val="63F21DB5"/>
    <w:rsid w:val="63F26259"/>
    <w:rsid w:val="63F332F0"/>
    <w:rsid w:val="63F507E1"/>
    <w:rsid w:val="63F518A5"/>
    <w:rsid w:val="63F5485E"/>
    <w:rsid w:val="63F55D49"/>
    <w:rsid w:val="63F7386F"/>
    <w:rsid w:val="63F7532D"/>
    <w:rsid w:val="63F7561D"/>
    <w:rsid w:val="63F865DC"/>
    <w:rsid w:val="63F91937"/>
    <w:rsid w:val="63F975E8"/>
    <w:rsid w:val="63FB313F"/>
    <w:rsid w:val="63FC2C34"/>
    <w:rsid w:val="63FE3A6A"/>
    <w:rsid w:val="63FE3F6F"/>
    <w:rsid w:val="63FE776F"/>
    <w:rsid w:val="63FF1B7B"/>
    <w:rsid w:val="63FF2724"/>
    <w:rsid w:val="63FF4D9E"/>
    <w:rsid w:val="64004658"/>
    <w:rsid w:val="6401024A"/>
    <w:rsid w:val="64010668"/>
    <w:rsid w:val="6401192F"/>
    <w:rsid w:val="640146EE"/>
    <w:rsid w:val="64017900"/>
    <w:rsid w:val="64020214"/>
    <w:rsid w:val="64025D70"/>
    <w:rsid w:val="64030141"/>
    <w:rsid w:val="6403757A"/>
    <w:rsid w:val="64063AB3"/>
    <w:rsid w:val="64065861"/>
    <w:rsid w:val="64067F0D"/>
    <w:rsid w:val="640830C4"/>
    <w:rsid w:val="640904DE"/>
    <w:rsid w:val="640956AE"/>
    <w:rsid w:val="640970FF"/>
    <w:rsid w:val="640A1216"/>
    <w:rsid w:val="640B10C9"/>
    <w:rsid w:val="640D62B2"/>
    <w:rsid w:val="640F4B4E"/>
    <w:rsid w:val="640F6956"/>
    <w:rsid w:val="641018D5"/>
    <w:rsid w:val="64102818"/>
    <w:rsid w:val="64122457"/>
    <w:rsid w:val="64135213"/>
    <w:rsid w:val="641461CF"/>
    <w:rsid w:val="64151F48"/>
    <w:rsid w:val="64155AA4"/>
    <w:rsid w:val="6416019A"/>
    <w:rsid w:val="6416073B"/>
    <w:rsid w:val="6417181C"/>
    <w:rsid w:val="641757EE"/>
    <w:rsid w:val="64176F85"/>
    <w:rsid w:val="641937E6"/>
    <w:rsid w:val="64194BE3"/>
    <w:rsid w:val="64195594"/>
    <w:rsid w:val="641A130C"/>
    <w:rsid w:val="641A2528"/>
    <w:rsid w:val="641A5121"/>
    <w:rsid w:val="641A55BD"/>
    <w:rsid w:val="641A755E"/>
    <w:rsid w:val="641B57B0"/>
    <w:rsid w:val="641B58CE"/>
    <w:rsid w:val="641D0273"/>
    <w:rsid w:val="641E63C8"/>
    <w:rsid w:val="641E704E"/>
    <w:rsid w:val="641F52B0"/>
    <w:rsid w:val="641F57D1"/>
    <w:rsid w:val="641F5BD9"/>
    <w:rsid w:val="642024A4"/>
    <w:rsid w:val="6420374D"/>
    <w:rsid w:val="64216B3E"/>
    <w:rsid w:val="64264155"/>
    <w:rsid w:val="64265F03"/>
    <w:rsid w:val="6428129E"/>
    <w:rsid w:val="64287ECD"/>
    <w:rsid w:val="64296F6B"/>
    <w:rsid w:val="642A16BC"/>
    <w:rsid w:val="642A5605"/>
    <w:rsid w:val="642A59F3"/>
    <w:rsid w:val="642A6AC0"/>
    <w:rsid w:val="642B176B"/>
    <w:rsid w:val="642B1FF1"/>
    <w:rsid w:val="642B3519"/>
    <w:rsid w:val="642B52C7"/>
    <w:rsid w:val="642C1952"/>
    <w:rsid w:val="642C2FFF"/>
    <w:rsid w:val="642D4911"/>
    <w:rsid w:val="642D54CF"/>
    <w:rsid w:val="642D54E3"/>
    <w:rsid w:val="642D6263"/>
    <w:rsid w:val="642D7291"/>
    <w:rsid w:val="642F4DB7"/>
    <w:rsid w:val="643028DD"/>
    <w:rsid w:val="64306D81"/>
    <w:rsid w:val="643272F3"/>
    <w:rsid w:val="643423CE"/>
    <w:rsid w:val="64343FFE"/>
    <w:rsid w:val="64362FE7"/>
    <w:rsid w:val="64370110"/>
    <w:rsid w:val="64371EBE"/>
    <w:rsid w:val="6437345D"/>
    <w:rsid w:val="643949D6"/>
    <w:rsid w:val="643A26F7"/>
    <w:rsid w:val="643A375C"/>
    <w:rsid w:val="643A5574"/>
    <w:rsid w:val="643A6F15"/>
    <w:rsid w:val="643B2165"/>
    <w:rsid w:val="643B38D8"/>
    <w:rsid w:val="643B43E5"/>
    <w:rsid w:val="643C1282"/>
    <w:rsid w:val="643C2F76"/>
    <w:rsid w:val="643D5D70"/>
    <w:rsid w:val="643E149E"/>
    <w:rsid w:val="643E5896"/>
    <w:rsid w:val="64410F8F"/>
    <w:rsid w:val="64414AEB"/>
    <w:rsid w:val="6442219E"/>
    <w:rsid w:val="644233A7"/>
    <w:rsid w:val="64430863"/>
    <w:rsid w:val="64433359"/>
    <w:rsid w:val="64444E34"/>
    <w:rsid w:val="64446389"/>
    <w:rsid w:val="64460353"/>
    <w:rsid w:val="64463978"/>
    <w:rsid w:val="644665A5"/>
    <w:rsid w:val="6447116E"/>
    <w:rsid w:val="64486578"/>
    <w:rsid w:val="64490695"/>
    <w:rsid w:val="6449399F"/>
    <w:rsid w:val="644B49AC"/>
    <w:rsid w:val="644B5969"/>
    <w:rsid w:val="644B7717"/>
    <w:rsid w:val="644D348F"/>
    <w:rsid w:val="644D6288"/>
    <w:rsid w:val="644E687F"/>
    <w:rsid w:val="644E6E76"/>
    <w:rsid w:val="64502F80"/>
    <w:rsid w:val="64504D2E"/>
    <w:rsid w:val="64526CF8"/>
    <w:rsid w:val="64533E77"/>
    <w:rsid w:val="64542A70"/>
    <w:rsid w:val="64556D80"/>
    <w:rsid w:val="64564FAD"/>
    <w:rsid w:val="645667E8"/>
    <w:rsid w:val="64572560"/>
    <w:rsid w:val="6457430E"/>
    <w:rsid w:val="645760BC"/>
    <w:rsid w:val="645962D8"/>
    <w:rsid w:val="645A5BAC"/>
    <w:rsid w:val="645A795A"/>
    <w:rsid w:val="645B2050"/>
    <w:rsid w:val="645C0625"/>
    <w:rsid w:val="645C36D2"/>
    <w:rsid w:val="645C6629"/>
    <w:rsid w:val="645E744B"/>
    <w:rsid w:val="645E7808"/>
    <w:rsid w:val="645F08EC"/>
    <w:rsid w:val="645F6310"/>
    <w:rsid w:val="64602371"/>
    <w:rsid w:val="646031C3"/>
    <w:rsid w:val="64612135"/>
    <w:rsid w:val="64616F3B"/>
    <w:rsid w:val="64627FA0"/>
    <w:rsid w:val="64637862"/>
    <w:rsid w:val="646507D9"/>
    <w:rsid w:val="64654C7D"/>
    <w:rsid w:val="646627A3"/>
    <w:rsid w:val="64676529"/>
    <w:rsid w:val="646802C9"/>
    <w:rsid w:val="64682077"/>
    <w:rsid w:val="6468651B"/>
    <w:rsid w:val="646A2293"/>
    <w:rsid w:val="646A4C99"/>
    <w:rsid w:val="646A4F87"/>
    <w:rsid w:val="646A5DEF"/>
    <w:rsid w:val="646A7A7C"/>
    <w:rsid w:val="646B1B68"/>
    <w:rsid w:val="646C4AE4"/>
    <w:rsid w:val="646D1D84"/>
    <w:rsid w:val="646D58E0"/>
    <w:rsid w:val="64706817"/>
    <w:rsid w:val="647139E1"/>
    <w:rsid w:val="647145FF"/>
    <w:rsid w:val="647153D0"/>
    <w:rsid w:val="64724786"/>
    <w:rsid w:val="647307E7"/>
    <w:rsid w:val="64741C77"/>
    <w:rsid w:val="64743CB1"/>
    <w:rsid w:val="64744EC0"/>
    <w:rsid w:val="64746C6E"/>
    <w:rsid w:val="64751FFC"/>
    <w:rsid w:val="6475454A"/>
    <w:rsid w:val="64754794"/>
    <w:rsid w:val="64772E3A"/>
    <w:rsid w:val="64785766"/>
    <w:rsid w:val="64793BAB"/>
    <w:rsid w:val="64794534"/>
    <w:rsid w:val="647B3576"/>
    <w:rsid w:val="647B5838"/>
    <w:rsid w:val="647B624F"/>
    <w:rsid w:val="647C1FC7"/>
    <w:rsid w:val="647C5B23"/>
    <w:rsid w:val="647E189B"/>
    <w:rsid w:val="647E7622"/>
    <w:rsid w:val="647E7AED"/>
    <w:rsid w:val="64801AB7"/>
    <w:rsid w:val="6481138B"/>
    <w:rsid w:val="64833355"/>
    <w:rsid w:val="64837248"/>
    <w:rsid w:val="648570CD"/>
    <w:rsid w:val="6486074F"/>
    <w:rsid w:val="64872E45"/>
    <w:rsid w:val="6487649E"/>
    <w:rsid w:val="64882A58"/>
    <w:rsid w:val="648844C8"/>
    <w:rsid w:val="648869AC"/>
    <w:rsid w:val="648928D7"/>
    <w:rsid w:val="648968D5"/>
    <w:rsid w:val="648974DC"/>
    <w:rsid w:val="648A0240"/>
    <w:rsid w:val="648A3E9D"/>
    <w:rsid w:val="648A6492"/>
    <w:rsid w:val="648B7B2F"/>
    <w:rsid w:val="648C045C"/>
    <w:rsid w:val="648C220A"/>
    <w:rsid w:val="648D3011"/>
    <w:rsid w:val="64901331"/>
    <w:rsid w:val="649015CE"/>
    <w:rsid w:val="6491553F"/>
    <w:rsid w:val="64917820"/>
    <w:rsid w:val="64921504"/>
    <w:rsid w:val="64923598"/>
    <w:rsid w:val="649249F2"/>
    <w:rsid w:val="649410BE"/>
    <w:rsid w:val="64950819"/>
    <w:rsid w:val="64970BAF"/>
    <w:rsid w:val="6497295D"/>
    <w:rsid w:val="649738D0"/>
    <w:rsid w:val="649843C3"/>
    <w:rsid w:val="64986E00"/>
    <w:rsid w:val="64994927"/>
    <w:rsid w:val="64996A3D"/>
    <w:rsid w:val="649B069F"/>
    <w:rsid w:val="649C33B9"/>
    <w:rsid w:val="649C7F73"/>
    <w:rsid w:val="649D6BF7"/>
    <w:rsid w:val="649E0BD2"/>
    <w:rsid w:val="649E595D"/>
    <w:rsid w:val="64A01811"/>
    <w:rsid w:val="64A03B0F"/>
    <w:rsid w:val="64A05CB5"/>
    <w:rsid w:val="64A15589"/>
    <w:rsid w:val="64A15C74"/>
    <w:rsid w:val="64A32CD9"/>
    <w:rsid w:val="64A37553"/>
    <w:rsid w:val="64A532CB"/>
    <w:rsid w:val="64A53FA6"/>
    <w:rsid w:val="64A757E7"/>
    <w:rsid w:val="64A77044"/>
    <w:rsid w:val="64A82DBC"/>
    <w:rsid w:val="64A84B6A"/>
    <w:rsid w:val="64AA08E2"/>
    <w:rsid w:val="64AA2690"/>
    <w:rsid w:val="64AC31D6"/>
    <w:rsid w:val="64AC465A"/>
    <w:rsid w:val="64AC5FD1"/>
    <w:rsid w:val="64AC6408"/>
    <w:rsid w:val="64AD71CF"/>
    <w:rsid w:val="64AE31AA"/>
    <w:rsid w:val="64AE73A0"/>
    <w:rsid w:val="64AF0AEC"/>
    <w:rsid w:val="64AF414A"/>
    <w:rsid w:val="64B05BB8"/>
    <w:rsid w:val="64B13A1E"/>
    <w:rsid w:val="64B27796"/>
    <w:rsid w:val="64B41760"/>
    <w:rsid w:val="64B51049"/>
    <w:rsid w:val="64B60A0D"/>
    <w:rsid w:val="64B654D9"/>
    <w:rsid w:val="64B713E7"/>
    <w:rsid w:val="64B74DAD"/>
    <w:rsid w:val="64B81776"/>
    <w:rsid w:val="64B8279A"/>
    <w:rsid w:val="64B82FFF"/>
    <w:rsid w:val="64B90B25"/>
    <w:rsid w:val="64B91166"/>
    <w:rsid w:val="64BA590A"/>
    <w:rsid w:val="64BB489D"/>
    <w:rsid w:val="64BB70BD"/>
    <w:rsid w:val="64BC23C3"/>
    <w:rsid w:val="64BD1B5B"/>
    <w:rsid w:val="64BE01BC"/>
    <w:rsid w:val="64BE25DF"/>
    <w:rsid w:val="64BE3ED7"/>
    <w:rsid w:val="64BF68B6"/>
    <w:rsid w:val="64C02B74"/>
    <w:rsid w:val="64C061E0"/>
    <w:rsid w:val="64C3118C"/>
    <w:rsid w:val="64C32919"/>
    <w:rsid w:val="64C33752"/>
    <w:rsid w:val="64C37BF6"/>
    <w:rsid w:val="64C41C71"/>
    <w:rsid w:val="64C51278"/>
    <w:rsid w:val="64C556CD"/>
    <w:rsid w:val="64C572FA"/>
    <w:rsid w:val="64C574CA"/>
    <w:rsid w:val="64C64FF0"/>
    <w:rsid w:val="64C71494"/>
    <w:rsid w:val="64C80088"/>
    <w:rsid w:val="64C96A10"/>
    <w:rsid w:val="64CC2606"/>
    <w:rsid w:val="64CC5D83"/>
    <w:rsid w:val="64CD125C"/>
    <w:rsid w:val="64CE2822"/>
    <w:rsid w:val="64CE2842"/>
    <w:rsid w:val="64CF20F6"/>
    <w:rsid w:val="64CF4182"/>
    <w:rsid w:val="64D15E6F"/>
    <w:rsid w:val="64D17D76"/>
    <w:rsid w:val="64D23995"/>
    <w:rsid w:val="64D3590C"/>
    <w:rsid w:val="64D4595F"/>
    <w:rsid w:val="64D502BE"/>
    <w:rsid w:val="64D63485"/>
    <w:rsid w:val="64D67929"/>
    <w:rsid w:val="64D70FAB"/>
    <w:rsid w:val="64D771FD"/>
    <w:rsid w:val="64DB0A9B"/>
    <w:rsid w:val="64DB4EA9"/>
    <w:rsid w:val="64DC7109"/>
    <w:rsid w:val="64DD0CB7"/>
    <w:rsid w:val="64DE2339"/>
    <w:rsid w:val="64DE6065"/>
    <w:rsid w:val="64DF4A2F"/>
    <w:rsid w:val="64E04304"/>
    <w:rsid w:val="64E13A1C"/>
    <w:rsid w:val="64E275B7"/>
    <w:rsid w:val="64E33DF4"/>
    <w:rsid w:val="64E8140A"/>
    <w:rsid w:val="64EA5182"/>
    <w:rsid w:val="64EA6A8F"/>
    <w:rsid w:val="64EB2552"/>
    <w:rsid w:val="64EC153B"/>
    <w:rsid w:val="64EC2CA8"/>
    <w:rsid w:val="64EC323A"/>
    <w:rsid w:val="64EF09EB"/>
    <w:rsid w:val="64EF4547"/>
    <w:rsid w:val="64F102BF"/>
    <w:rsid w:val="64F1206D"/>
    <w:rsid w:val="64F14763"/>
    <w:rsid w:val="64F270AC"/>
    <w:rsid w:val="64F34037"/>
    <w:rsid w:val="64F44300"/>
    <w:rsid w:val="64F46001"/>
    <w:rsid w:val="64F46EF4"/>
    <w:rsid w:val="64F52E5B"/>
    <w:rsid w:val="64F8164D"/>
    <w:rsid w:val="64F855B5"/>
    <w:rsid w:val="64F8789F"/>
    <w:rsid w:val="64F97173"/>
    <w:rsid w:val="64FA5345"/>
    <w:rsid w:val="64FA606F"/>
    <w:rsid w:val="64FB113D"/>
    <w:rsid w:val="64FB189E"/>
    <w:rsid w:val="64FB2EEB"/>
    <w:rsid w:val="64FB3541"/>
    <w:rsid w:val="64FB3A00"/>
    <w:rsid w:val="64FD2EE3"/>
    <w:rsid w:val="64FD3107"/>
    <w:rsid w:val="64FD4EB5"/>
    <w:rsid w:val="64FE021F"/>
    <w:rsid w:val="64FE0438"/>
    <w:rsid w:val="64FF12F8"/>
    <w:rsid w:val="64FF6BAD"/>
    <w:rsid w:val="65003A97"/>
    <w:rsid w:val="65004F70"/>
    <w:rsid w:val="650055AF"/>
    <w:rsid w:val="650113FE"/>
    <w:rsid w:val="65037FF2"/>
    <w:rsid w:val="65042DB8"/>
    <w:rsid w:val="65042F03"/>
    <w:rsid w:val="650504B3"/>
    <w:rsid w:val="65055521"/>
    <w:rsid w:val="65060EC8"/>
    <w:rsid w:val="6506448B"/>
    <w:rsid w:val="65066AFD"/>
    <w:rsid w:val="65076A56"/>
    <w:rsid w:val="6508133D"/>
    <w:rsid w:val="650A1D8C"/>
    <w:rsid w:val="650A5824"/>
    <w:rsid w:val="650A5AEE"/>
    <w:rsid w:val="650A5F27"/>
    <w:rsid w:val="650A62EE"/>
    <w:rsid w:val="650A6E49"/>
    <w:rsid w:val="650A75D2"/>
    <w:rsid w:val="650D2C1F"/>
    <w:rsid w:val="650E70C3"/>
    <w:rsid w:val="650F715A"/>
    <w:rsid w:val="65102E3B"/>
    <w:rsid w:val="65110961"/>
    <w:rsid w:val="6511270F"/>
    <w:rsid w:val="65130235"/>
    <w:rsid w:val="65133BB9"/>
    <w:rsid w:val="65136B22"/>
    <w:rsid w:val="65137B67"/>
    <w:rsid w:val="651444C6"/>
    <w:rsid w:val="651466E4"/>
    <w:rsid w:val="65147874"/>
    <w:rsid w:val="65150D04"/>
    <w:rsid w:val="65156226"/>
    <w:rsid w:val="65165F77"/>
    <w:rsid w:val="65167D25"/>
    <w:rsid w:val="65174AEA"/>
    <w:rsid w:val="6519273E"/>
    <w:rsid w:val="65195110"/>
    <w:rsid w:val="651A2A3B"/>
    <w:rsid w:val="651B17E0"/>
    <w:rsid w:val="651B358E"/>
    <w:rsid w:val="651B5C6C"/>
    <w:rsid w:val="651D10B4"/>
    <w:rsid w:val="651D468F"/>
    <w:rsid w:val="651E63D3"/>
    <w:rsid w:val="651F2757"/>
    <w:rsid w:val="651F60C8"/>
    <w:rsid w:val="652200F3"/>
    <w:rsid w:val="652341F0"/>
    <w:rsid w:val="65241F3A"/>
    <w:rsid w:val="65243CEA"/>
    <w:rsid w:val="652561BA"/>
    <w:rsid w:val="65261425"/>
    <w:rsid w:val="65274410"/>
    <w:rsid w:val="65286D86"/>
    <w:rsid w:val="652D2EDB"/>
    <w:rsid w:val="652D6F8B"/>
    <w:rsid w:val="652E6CD9"/>
    <w:rsid w:val="652E737F"/>
    <w:rsid w:val="652F1D8E"/>
    <w:rsid w:val="652F2B95"/>
    <w:rsid w:val="652F61ED"/>
    <w:rsid w:val="6530598F"/>
    <w:rsid w:val="6530704D"/>
    <w:rsid w:val="653130D0"/>
    <w:rsid w:val="6532279F"/>
    <w:rsid w:val="65324D23"/>
    <w:rsid w:val="65336B29"/>
    <w:rsid w:val="65351E6C"/>
    <w:rsid w:val="65362175"/>
    <w:rsid w:val="65372C0E"/>
    <w:rsid w:val="653757DF"/>
    <w:rsid w:val="65385EEE"/>
    <w:rsid w:val="65387C9C"/>
    <w:rsid w:val="65387DC1"/>
    <w:rsid w:val="653A49E3"/>
    <w:rsid w:val="653A7EB8"/>
    <w:rsid w:val="653B778C"/>
    <w:rsid w:val="653D04DD"/>
    <w:rsid w:val="653D2227"/>
    <w:rsid w:val="653D3504"/>
    <w:rsid w:val="653F727C"/>
    <w:rsid w:val="6540216E"/>
    <w:rsid w:val="65402FF4"/>
    <w:rsid w:val="65423E64"/>
    <w:rsid w:val="654241CF"/>
    <w:rsid w:val="65433F44"/>
    <w:rsid w:val="654523B9"/>
    <w:rsid w:val="65460142"/>
    <w:rsid w:val="654608F8"/>
    <w:rsid w:val="65464CE2"/>
    <w:rsid w:val="654716F9"/>
    <w:rsid w:val="65485390"/>
    <w:rsid w:val="654900FB"/>
    <w:rsid w:val="654C1999"/>
    <w:rsid w:val="654C3747"/>
    <w:rsid w:val="654D7CEA"/>
    <w:rsid w:val="654F3237"/>
    <w:rsid w:val="65507504"/>
    <w:rsid w:val="65515201"/>
    <w:rsid w:val="655223E7"/>
    <w:rsid w:val="6554084E"/>
    <w:rsid w:val="65554CF2"/>
    <w:rsid w:val="65560D68"/>
    <w:rsid w:val="65562818"/>
    <w:rsid w:val="65566374"/>
    <w:rsid w:val="6557674D"/>
    <w:rsid w:val="65584B18"/>
    <w:rsid w:val="65586590"/>
    <w:rsid w:val="655A40B6"/>
    <w:rsid w:val="655B2009"/>
    <w:rsid w:val="655B7E2E"/>
    <w:rsid w:val="655C606A"/>
    <w:rsid w:val="655D5954"/>
    <w:rsid w:val="655F791E"/>
    <w:rsid w:val="65604A93"/>
    <w:rsid w:val="656071F2"/>
    <w:rsid w:val="65610A4C"/>
    <w:rsid w:val="65615E7B"/>
    <w:rsid w:val="6562079B"/>
    <w:rsid w:val="656211BC"/>
    <w:rsid w:val="656352A3"/>
    <w:rsid w:val="6565273B"/>
    <w:rsid w:val="6565364A"/>
    <w:rsid w:val="65654809"/>
    <w:rsid w:val="65655057"/>
    <w:rsid w:val="65660CAD"/>
    <w:rsid w:val="65670581"/>
    <w:rsid w:val="656767D3"/>
    <w:rsid w:val="65685D4E"/>
    <w:rsid w:val="656942F9"/>
    <w:rsid w:val="656960A7"/>
    <w:rsid w:val="656B62C3"/>
    <w:rsid w:val="656C203B"/>
    <w:rsid w:val="656C5B97"/>
    <w:rsid w:val="656D3547"/>
    <w:rsid w:val="656E047F"/>
    <w:rsid w:val="656E3972"/>
    <w:rsid w:val="656E7B61"/>
    <w:rsid w:val="656F3CFB"/>
    <w:rsid w:val="656F48EB"/>
    <w:rsid w:val="657131AE"/>
    <w:rsid w:val="65735178"/>
    <w:rsid w:val="657478B8"/>
    <w:rsid w:val="65750EF0"/>
    <w:rsid w:val="65752C9E"/>
    <w:rsid w:val="65757142"/>
    <w:rsid w:val="657607C4"/>
    <w:rsid w:val="65762DC7"/>
    <w:rsid w:val="65777A76"/>
    <w:rsid w:val="65784910"/>
    <w:rsid w:val="657874A5"/>
    <w:rsid w:val="657966D3"/>
    <w:rsid w:val="657A4758"/>
    <w:rsid w:val="657B2242"/>
    <w:rsid w:val="657B5DDA"/>
    <w:rsid w:val="657C227E"/>
    <w:rsid w:val="657C4E76"/>
    <w:rsid w:val="657C5654"/>
    <w:rsid w:val="657D1B52"/>
    <w:rsid w:val="657D53A3"/>
    <w:rsid w:val="657D5FF6"/>
    <w:rsid w:val="657E4040"/>
    <w:rsid w:val="657F1404"/>
    <w:rsid w:val="657F1D6E"/>
    <w:rsid w:val="657F3B1C"/>
    <w:rsid w:val="65803FD5"/>
    <w:rsid w:val="658057EC"/>
    <w:rsid w:val="658119E0"/>
    <w:rsid w:val="65821261"/>
    <w:rsid w:val="6582412A"/>
    <w:rsid w:val="65827169"/>
    <w:rsid w:val="65870C23"/>
    <w:rsid w:val="658729D1"/>
    <w:rsid w:val="6588091E"/>
    <w:rsid w:val="658911AC"/>
    <w:rsid w:val="658A290A"/>
    <w:rsid w:val="658A426F"/>
    <w:rsid w:val="658A78AB"/>
    <w:rsid w:val="658E5B0E"/>
    <w:rsid w:val="658E5C27"/>
    <w:rsid w:val="65901886"/>
    <w:rsid w:val="65907AD8"/>
    <w:rsid w:val="65913850"/>
    <w:rsid w:val="65915D69"/>
    <w:rsid w:val="65920774"/>
    <w:rsid w:val="6592092B"/>
    <w:rsid w:val="65924F60"/>
    <w:rsid w:val="659375C8"/>
    <w:rsid w:val="65941EEE"/>
    <w:rsid w:val="65942F18"/>
    <w:rsid w:val="659528A0"/>
    <w:rsid w:val="65953340"/>
    <w:rsid w:val="659539A6"/>
    <w:rsid w:val="6595496B"/>
    <w:rsid w:val="65956E9C"/>
    <w:rsid w:val="65960E66"/>
    <w:rsid w:val="65962C14"/>
    <w:rsid w:val="659704FB"/>
    <w:rsid w:val="65970B1B"/>
    <w:rsid w:val="65985D4B"/>
    <w:rsid w:val="6599343B"/>
    <w:rsid w:val="65997CE9"/>
    <w:rsid w:val="659A27D4"/>
    <w:rsid w:val="659B022A"/>
    <w:rsid w:val="659B56F5"/>
    <w:rsid w:val="659C34FD"/>
    <w:rsid w:val="659C7519"/>
    <w:rsid w:val="659D21F5"/>
    <w:rsid w:val="659D3FA3"/>
    <w:rsid w:val="659E230B"/>
    <w:rsid w:val="659F41BF"/>
    <w:rsid w:val="659F5F6D"/>
    <w:rsid w:val="659F7D1B"/>
    <w:rsid w:val="65A11CE5"/>
    <w:rsid w:val="65A17F37"/>
    <w:rsid w:val="65A25A5D"/>
    <w:rsid w:val="65A35A3C"/>
    <w:rsid w:val="65A4122E"/>
    <w:rsid w:val="65A64E22"/>
    <w:rsid w:val="65A66CDF"/>
    <w:rsid w:val="65A74E21"/>
    <w:rsid w:val="65A75A3F"/>
    <w:rsid w:val="65A820E8"/>
    <w:rsid w:val="65A842A2"/>
    <w:rsid w:val="65A92947"/>
    <w:rsid w:val="65AA22BF"/>
    <w:rsid w:val="65AB4911"/>
    <w:rsid w:val="65AD441D"/>
    <w:rsid w:val="65AE7F5E"/>
    <w:rsid w:val="65AF6E4B"/>
    <w:rsid w:val="65B0017A"/>
    <w:rsid w:val="65B03CD6"/>
    <w:rsid w:val="65B1042B"/>
    <w:rsid w:val="65B2623E"/>
    <w:rsid w:val="65B36CF4"/>
    <w:rsid w:val="65B437F8"/>
    <w:rsid w:val="65B445FF"/>
    <w:rsid w:val="65B55790"/>
    <w:rsid w:val="65B56BA7"/>
    <w:rsid w:val="65B71508"/>
    <w:rsid w:val="65B759C2"/>
    <w:rsid w:val="65B75B89"/>
    <w:rsid w:val="65B773A7"/>
    <w:rsid w:val="65B85280"/>
    <w:rsid w:val="65B859EC"/>
    <w:rsid w:val="65B8702E"/>
    <w:rsid w:val="65BC08CD"/>
    <w:rsid w:val="65BD2836"/>
    <w:rsid w:val="65BD2897"/>
    <w:rsid w:val="65BD4645"/>
    <w:rsid w:val="65BE3A7A"/>
    <w:rsid w:val="65BE5407"/>
    <w:rsid w:val="65BF03BD"/>
    <w:rsid w:val="65BF1DFB"/>
    <w:rsid w:val="65C041E2"/>
    <w:rsid w:val="65C07C91"/>
    <w:rsid w:val="65C21C5B"/>
    <w:rsid w:val="65C321BE"/>
    <w:rsid w:val="65C37EAD"/>
    <w:rsid w:val="65C4057C"/>
    <w:rsid w:val="65C43737"/>
    <w:rsid w:val="65C459D3"/>
    <w:rsid w:val="65C47B38"/>
    <w:rsid w:val="65C634F9"/>
    <w:rsid w:val="65C75051"/>
    <w:rsid w:val="65C8108A"/>
    <w:rsid w:val="65C81D45"/>
    <w:rsid w:val="65CB0B10"/>
    <w:rsid w:val="65CD346F"/>
    <w:rsid w:val="65CD6046"/>
    <w:rsid w:val="65CD6833"/>
    <w:rsid w:val="65CE305E"/>
    <w:rsid w:val="65CE6852"/>
    <w:rsid w:val="65D023D2"/>
    <w:rsid w:val="65D06126"/>
    <w:rsid w:val="65D24D0D"/>
    <w:rsid w:val="65D33BEF"/>
    <w:rsid w:val="65D33E68"/>
    <w:rsid w:val="65D348FA"/>
    <w:rsid w:val="65D35307"/>
    <w:rsid w:val="65D5198D"/>
    <w:rsid w:val="65D676FC"/>
    <w:rsid w:val="65D7216C"/>
    <w:rsid w:val="65D75707"/>
    <w:rsid w:val="65D774B5"/>
    <w:rsid w:val="65D8322D"/>
    <w:rsid w:val="65D8743E"/>
    <w:rsid w:val="65DA07E9"/>
    <w:rsid w:val="65DA349F"/>
    <w:rsid w:val="65DC2D1D"/>
    <w:rsid w:val="65DC5DBF"/>
    <w:rsid w:val="65DE4CE7"/>
    <w:rsid w:val="65DF0A5F"/>
    <w:rsid w:val="65DF280D"/>
    <w:rsid w:val="65E10BD0"/>
    <w:rsid w:val="65E16AA2"/>
    <w:rsid w:val="65E240AB"/>
    <w:rsid w:val="65E252B4"/>
    <w:rsid w:val="65E25E59"/>
    <w:rsid w:val="65E35C92"/>
    <w:rsid w:val="65E47E23"/>
    <w:rsid w:val="65E505B2"/>
    <w:rsid w:val="65E6594A"/>
    <w:rsid w:val="65E73470"/>
    <w:rsid w:val="65E816C2"/>
    <w:rsid w:val="65E862A2"/>
    <w:rsid w:val="65E9543A"/>
    <w:rsid w:val="65E971E8"/>
    <w:rsid w:val="65EA5992"/>
    <w:rsid w:val="65EB2F60"/>
    <w:rsid w:val="65EB46C2"/>
    <w:rsid w:val="65EB7404"/>
    <w:rsid w:val="65ED4F2A"/>
    <w:rsid w:val="65EE0CA2"/>
    <w:rsid w:val="65EE47FE"/>
    <w:rsid w:val="65F00576"/>
    <w:rsid w:val="65F04A1A"/>
    <w:rsid w:val="65F16E9A"/>
    <w:rsid w:val="65F20792"/>
    <w:rsid w:val="65F242EE"/>
    <w:rsid w:val="65F261C5"/>
    <w:rsid w:val="65F36B14"/>
    <w:rsid w:val="65F41746"/>
    <w:rsid w:val="65F52031"/>
    <w:rsid w:val="65F56FAE"/>
    <w:rsid w:val="65F63ADC"/>
    <w:rsid w:val="65F73438"/>
    <w:rsid w:val="65F97DE0"/>
    <w:rsid w:val="65FA13F5"/>
    <w:rsid w:val="65FB3F19"/>
    <w:rsid w:val="65FC6F1B"/>
    <w:rsid w:val="65FC7F22"/>
    <w:rsid w:val="65FE2B84"/>
    <w:rsid w:val="65FE2E65"/>
    <w:rsid w:val="65FF14AB"/>
    <w:rsid w:val="65FF3D2A"/>
    <w:rsid w:val="65FF6A0B"/>
    <w:rsid w:val="660109D5"/>
    <w:rsid w:val="66012783"/>
    <w:rsid w:val="66012B89"/>
    <w:rsid w:val="660202AA"/>
    <w:rsid w:val="660364FC"/>
    <w:rsid w:val="66046B55"/>
    <w:rsid w:val="66051B9E"/>
    <w:rsid w:val="66061B48"/>
    <w:rsid w:val="66065FEC"/>
    <w:rsid w:val="660724BC"/>
    <w:rsid w:val="660758C0"/>
    <w:rsid w:val="66081122"/>
    <w:rsid w:val="66090303"/>
    <w:rsid w:val="66095D10"/>
    <w:rsid w:val="660A6170"/>
    <w:rsid w:val="660A7ADE"/>
    <w:rsid w:val="660B2A3D"/>
    <w:rsid w:val="660B3602"/>
    <w:rsid w:val="660C4E9E"/>
    <w:rsid w:val="660C5B63"/>
    <w:rsid w:val="660D1128"/>
    <w:rsid w:val="660D2ED6"/>
    <w:rsid w:val="660E0C4E"/>
    <w:rsid w:val="660E238F"/>
    <w:rsid w:val="660E4A3F"/>
    <w:rsid w:val="66110D10"/>
    <w:rsid w:val="6612061A"/>
    <w:rsid w:val="66123504"/>
    <w:rsid w:val="661324B7"/>
    <w:rsid w:val="66134265"/>
    <w:rsid w:val="66140709"/>
    <w:rsid w:val="661415F4"/>
    <w:rsid w:val="66154481"/>
    <w:rsid w:val="6615622F"/>
    <w:rsid w:val="66186012"/>
    <w:rsid w:val="6619249D"/>
    <w:rsid w:val="661A0932"/>
    <w:rsid w:val="661A55F3"/>
    <w:rsid w:val="661B2455"/>
    <w:rsid w:val="661C04A5"/>
    <w:rsid w:val="661C75BD"/>
    <w:rsid w:val="661C75DF"/>
    <w:rsid w:val="661F2C0A"/>
    <w:rsid w:val="66202B8F"/>
    <w:rsid w:val="66214BD4"/>
    <w:rsid w:val="6622673E"/>
    <w:rsid w:val="662326FA"/>
    <w:rsid w:val="66233125"/>
    <w:rsid w:val="66236052"/>
    <w:rsid w:val="66236B9E"/>
    <w:rsid w:val="66240220"/>
    <w:rsid w:val="662446C4"/>
    <w:rsid w:val="66245845"/>
    <w:rsid w:val="6626043C"/>
    <w:rsid w:val="662817F5"/>
    <w:rsid w:val="66291CDA"/>
    <w:rsid w:val="662A1F26"/>
    <w:rsid w:val="662B2963"/>
    <w:rsid w:val="662C0ABA"/>
    <w:rsid w:val="662C20CA"/>
    <w:rsid w:val="662C2D47"/>
    <w:rsid w:val="662D17CA"/>
    <w:rsid w:val="662D4136"/>
    <w:rsid w:val="662D76D4"/>
    <w:rsid w:val="662E109F"/>
    <w:rsid w:val="662F3BCD"/>
    <w:rsid w:val="6631405C"/>
    <w:rsid w:val="66315729"/>
    <w:rsid w:val="6632293D"/>
    <w:rsid w:val="663568D1"/>
    <w:rsid w:val="66372649"/>
    <w:rsid w:val="663743F7"/>
    <w:rsid w:val="66377F53"/>
    <w:rsid w:val="6638261C"/>
    <w:rsid w:val="66383CCB"/>
    <w:rsid w:val="66383E57"/>
    <w:rsid w:val="66391F1D"/>
    <w:rsid w:val="663955FE"/>
    <w:rsid w:val="663971AB"/>
    <w:rsid w:val="663A3EE7"/>
    <w:rsid w:val="663B1F75"/>
    <w:rsid w:val="663C37BC"/>
    <w:rsid w:val="663C74B6"/>
    <w:rsid w:val="663D12E2"/>
    <w:rsid w:val="663D2D40"/>
    <w:rsid w:val="663D3CCC"/>
    <w:rsid w:val="663E5D43"/>
    <w:rsid w:val="663F0B12"/>
    <w:rsid w:val="663F14FE"/>
    <w:rsid w:val="66415276"/>
    <w:rsid w:val="664209A3"/>
    <w:rsid w:val="664219D3"/>
    <w:rsid w:val="66424BC6"/>
    <w:rsid w:val="664309B7"/>
    <w:rsid w:val="66434B4A"/>
    <w:rsid w:val="664378A7"/>
    <w:rsid w:val="66442670"/>
    <w:rsid w:val="6644408C"/>
    <w:rsid w:val="66456B14"/>
    <w:rsid w:val="6646288C"/>
    <w:rsid w:val="6646463A"/>
    <w:rsid w:val="66475F7E"/>
    <w:rsid w:val="66482160"/>
    <w:rsid w:val="66493ACD"/>
    <w:rsid w:val="66494E66"/>
    <w:rsid w:val="66495ED8"/>
    <w:rsid w:val="66496440"/>
    <w:rsid w:val="664A237C"/>
    <w:rsid w:val="664B1C51"/>
    <w:rsid w:val="664B2BE1"/>
    <w:rsid w:val="664B7EA3"/>
    <w:rsid w:val="664D656D"/>
    <w:rsid w:val="664E34EF"/>
    <w:rsid w:val="664F7993"/>
    <w:rsid w:val="66501015"/>
    <w:rsid w:val="6650370B"/>
    <w:rsid w:val="665054B9"/>
    <w:rsid w:val="66505726"/>
    <w:rsid w:val="6650587B"/>
    <w:rsid w:val="66521231"/>
    <w:rsid w:val="6653074D"/>
    <w:rsid w:val="66540B05"/>
    <w:rsid w:val="66544FA9"/>
    <w:rsid w:val="66546D57"/>
    <w:rsid w:val="66547EA1"/>
    <w:rsid w:val="66552ACF"/>
    <w:rsid w:val="66565F5B"/>
    <w:rsid w:val="6656652C"/>
    <w:rsid w:val="66573387"/>
    <w:rsid w:val="66575D03"/>
    <w:rsid w:val="66576211"/>
    <w:rsid w:val="66576847"/>
    <w:rsid w:val="665779AE"/>
    <w:rsid w:val="66581B5A"/>
    <w:rsid w:val="665925BF"/>
    <w:rsid w:val="66594662"/>
    <w:rsid w:val="6659677A"/>
    <w:rsid w:val="665A1E94"/>
    <w:rsid w:val="665A306C"/>
    <w:rsid w:val="665B0080"/>
    <w:rsid w:val="665C267F"/>
    <w:rsid w:val="665C5C0C"/>
    <w:rsid w:val="665E7BD6"/>
    <w:rsid w:val="665F56FC"/>
    <w:rsid w:val="665F74AA"/>
    <w:rsid w:val="6660394E"/>
    <w:rsid w:val="66604799"/>
    <w:rsid w:val="6660552E"/>
    <w:rsid w:val="66611474"/>
    <w:rsid w:val="66613222"/>
    <w:rsid w:val="66616D3B"/>
    <w:rsid w:val="666176C6"/>
    <w:rsid w:val="6663343E"/>
    <w:rsid w:val="66633CE5"/>
    <w:rsid w:val="66634C86"/>
    <w:rsid w:val="66650667"/>
    <w:rsid w:val="66650F64"/>
    <w:rsid w:val="66664CDC"/>
    <w:rsid w:val="6666618F"/>
    <w:rsid w:val="666765DA"/>
    <w:rsid w:val="66676EF2"/>
    <w:rsid w:val="66676F39"/>
    <w:rsid w:val="66680A54"/>
    <w:rsid w:val="66682803"/>
    <w:rsid w:val="666845B1"/>
    <w:rsid w:val="666920D7"/>
    <w:rsid w:val="66692CE9"/>
    <w:rsid w:val="666F0032"/>
    <w:rsid w:val="666F5074"/>
    <w:rsid w:val="666F593F"/>
    <w:rsid w:val="667016B7"/>
    <w:rsid w:val="6672542F"/>
    <w:rsid w:val="667361B1"/>
    <w:rsid w:val="66754F1F"/>
    <w:rsid w:val="66756CCD"/>
    <w:rsid w:val="66757ADA"/>
    <w:rsid w:val="66763171"/>
    <w:rsid w:val="66770072"/>
    <w:rsid w:val="667763FF"/>
    <w:rsid w:val="6679056C"/>
    <w:rsid w:val="667B5426"/>
    <w:rsid w:val="667B683E"/>
    <w:rsid w:val="667C1E0A"/>
    <w:rsid w:val="667C5132"/>
    <w:rsid w:val="667C62AE"/>
    <w:rsid w:val="667C7CCE"/>
    <w:rsid w:val="667D4B39"/>
    <w:rsid w:val="66801629"/>
    <w:rsid w:val="66807B4C"/>
    <w:rsid w:val="66811B16"/>
    <w:rsid w:val="668179D1"/>
    <w:rsid w:val="66822A7F"/>
    <w:rsid w:val="66844E72"/>
    <w:rsid w:val="66855163"/>
    <w:rsid w:val="66887F18"/>
    <w:rsid w:val="668A09CB"/>
    <w:rsid w:val="668B029F"/>
    <w:rsid w:val="668B199B"/>
    <w:rsid w:val="668B2627"/>
    <w:rsid w:val="668B64F1"/>
    <w:rsid w:val="668C4743"/>
    <w:rsid w:val="668C6082"/>
    <w:rsid w:val="668D2269"/>
    <w:rsid w:val="668D50C8"/>
    <w:rsid w:val="668E3AB2"/>
    <w:rsid w:val="669021AE"/>
    <w:rsid w:val="6692162D"/>
    <w:rsid w:val="66933343"/>
    <w:rsid w:val="66933384"/>
    <w:rsid w:val="6693422C"/>
    <w:rsid w:val="669435F8"/>
    <w:rsid w:val="66950875"/>
    <w:rsid w:val="66957B63"/>
    <w:rsid w:val="669606A3"/>
    <w:rsid w:val="66963446"/>
    <w:rsid w:val="66964FCC"/>
    <w:rsid w:val="66974E96"/>
    <w:rsid w:val="66977D61"/>
    <w:rsid w:val="669827C7"/>
    <w:rsid w:val="66990C0E"/>
    <w:rsid w:val="66996E60"/>
    <w:rsid w:val="669A52F6"/>
    <w:rsid w:val="669B4986"/>
    <w:rsid w:val="669C06FE"/>
    <w:rsid w:val="669C1802"/>
    <w:rsid w:val="669E0A56"/>
    <w:rsid w:val="669E4476"/>
    <w:rsid w:val="669E4EAC"/>
    <w:rsid w:val="669F44F8"/>
    <w:rsid w:val="66A001EE"/>
    <w:rsid w:val="66A00680"/>
    <w:rsid w:val="66A110F8"/>
    <w:rsid w:val="66A12257"/>
    <w:rsid w:val="66A15D14"/>
    <w:rsid w:val="66A3383B"/>
    <w:rsid w:val="66A3404C"/>
    <w:rsid w:val="66A46651"/>
    <w:rsid w:val="66A55805"/>
    <w:rsid w:val="66A66497"/>
    <w:rsid w:val="66A82BFF"/>
    <w:rsid w:val="66AC566C"/>
    <w:rsid w:val="66AC6B93"/>
    <w:rsid w:val="66AC74D4"/>
    <w:rsid w:val="66AD290B"/>
    <w:rsid w:val="66AD6AFC"/>
    <w:rsid w:val="66AE0D11"/>
    <w:rsid w:val="66B07E75"/>
    <w:rsid w:val="66B15F58"/>
    <w:rsid w:val="66B21CD0"/>
    <w:rsid w:val="66B311FB"/>
    <w:rsid w:val="66B45A48"/>
    <w:rsid w:val="66B551ED"/>
    <w:rsid w:val="66B617C0"/>
    <w:rsid w:val="66B772E6"/>
    <w:rsid w:val="66B912B0"/>
    <w:rsid w:val="66B94E0C"/>
    <w:rsid w:val="66B9542F"/>
    <w:rsid w:val="66BC0157"/>
    <w:rsid w:val="66BC7DEC"/>
    <w:rsid w:val="66BD35E9"/>
    <w:rsid w:val="66BD51C4"/>
    <w:rsid w:val="66BE0674"/>
    <w:rsid w:val="66BF00F7"/>
    <w:rsid w:val="66BF2FFA"/>
    <w:rsid w:val="66BF5BA5"/>
    <w:rsid w:val="66BF7F33"/>
    <w:rsid w:val="66C0263F"/>
    <w:rsid w:val="66C14CC1"/>
    <w:rsid w:val="66C22B28"/>
    <w:rsid w:val="66C24D07"/>
    <w:rsid w:val="66C31C8D"/>
    <w:rsid w:val="66C37A39"/>
    <w:rsid w:val="66C51A03"/>
    <w:rsid w:val="66C54FE2"/>
    <w:rsid w:val="66C739CD"/>
    <w:rsid w:val="66CA526B"/>
    <w:rsid w:val="66CA7019"/>
    <w:rsid w:val="66CB4B3F"/>
    <w:rsid w:val="66CC2AA0"/>
    <w:rsid w:val="66CD49A5"/>
    <w:rsid w:val="66CD6B09"/>
    <w:rsid w:val="66CE157E"/>
    <w:rsid w:val="66CE1928"/>
    <w:rsid w:val="66CF1D69"/>
    <w:rsid w:val="66CF4630"/>
    <w:rsid w:val="66D024FC"/>
    <w:rsid w:val="66D03326"/>
    <w:rsid w:val="66D159A9"/>
    <w:rsid w:val="66D165FA"/>
    <w:rsid w:val="66D333E8"/>
    <w:rsid w:val="66D41C46"/>
    <w:rsid w:val="66D4213A"/>
    <w:rsid w:val="66D440B9"/>
    <w:rsid w:val="66D47E98"/>
    <w:rsid w:val="66D659BE"/>
    <w:rsid w:val="66D6776C"/>
    <w:rsid w:val="66D71736"/>
    <w:rsid w:val="66D71D69"/>
    <w:rsid w:val="66D71E37"/>
    <w:rsid w:val="66D94689"/>
    <w:rsid w:val="66DA4257"/>
    <w:rsid w:val="66DC5DEE"/>
    <w:rsid w:val="66DC6D4D"/>
    <w:rsid w:val="66DD4F9F"/>
    <w:rsid w:val="66DE4873"/>
    <w:rsid w:val="66DE7EAE"/>
    <w:rsid w:val="66E0203A"/>
    <w:rsid w:val="66E05D87"/>
    <w:rsid w:val="66E27B57"/>
    <w:rsid w:val="66E31E89"/>
    <w:rsid w:val="66E33C60"/>
    <w:rsid w:val="66E3534D"/>
    <w:rsid w:val="66E37B12"/>
    <w:rsid w:val="66E53E53"/>
    <w:rsid w:val="66E70F79"/>
    <w:rsid w:val="66E75E1D"/>
    <w:rsid w:val="66E856F1"/>
    <w:rsid w:val="66EA1469"/>
    <w:rsid w:val="66EB6240"/>
    <w:rsid w:val="66EC10AB"/>
    <w:rsid w:val="66EC3434"/>
    <w:rsid w:val="66EC3879"/>
    <w:rsid w:val="66EC6F90"/>
    <w:rsid w:val="66ED2D08"/>
    <w:rsid w:val="66EF4CD2"/>
    <w:rsid w:val="66F10A4A"/>
    <w:rsid w:val="66F127F8"/>
    <w:rsid w:val="66F24A2D"/>
    <w:rsid w:val="66F26570"/>
    <w:rsid w:val="66F347C2"/>
    <w:rsid w:val="66F37636"/>
    <w:rsid w:val="66F44C74"/>
    <w:rsid w:val="66F53BB1"/>
    <w:rsid w:val="66F61BBC"/>
    <w:rsid w:val="66F61D60"/>
    <w:rsid w:val="66F70A93"/>
    <w:rsid w:val="66F81DD8"/>
    <w:rsid w:val="66F83B86"/>
    <w:rsid w:val="66F916AD"/>
    <w:rsid w:val="66FD119D"/>
    <w:rsid w:val="66FD2E77"/>
    <w:rsid w:val="66FE3167"/>
    <w:rsid w:val="66FE4F14"/>
    <w:rsid w:val="66FF1811"/>
    <w:rsid w:val="66FF579F"/>
    <w:rsid w:val="670026EA"/>
    <w:rsid w:val="67002A3B"/>
    <w:rsid w:val="6703077D"/>
    <w:rsid w:val="6703252B"/>
    <w:rsid w:val="67034CE0"/>
    <w:rsid w:val="67053426"/>
    <w:rsid w:val="670552BC"/>
    <w:rsid w:val="670600CD"/>
    <w:rsid w:val="670818F0"/>
    <w:rsid w:val="67084EFB"/>
    <w:rsid w:val="6708566B"/>
    <w:rsid w:val="67087B42"/>
    <w:rsid w:val="67095D94"/>
    <w:rsid w:val="670A5668"/>
    <w:rsid w:val="670B0883"/>
    <w:rsid w:val="670C13E0"/>
    <w:rsid w:val="670D3411"/>
    <w:rsid w:val="670D6F06"/>
    <w:rsid w:val="670E1A3D"/>
    <w:rsid w:val="670E32C8"/>
    <w:rsid w:val="670F317A"/>
    <w:rsid w:val="670F7F24"/>
    <w:rsid w:val="671001D4"/>
    <w:rsid w:val="6711247B"/>
    <w:rsid w:val="671169F6"/>
    <w:rsid w:val="6712451C"/>
    <w:rsid w:val="67136C12"/>
    <w:rsid w:val="67144738"/>
    <w:rsid w:val="6715670C"/>
    <w:rsid w:val="67184229"/>
    <w:rsid w:val="67191D4F"/>
    <w:rsid w:val="671958AB"/>
    <w:rsid w:val="671A62EE"/>
    <w:rsid w:val="671B5AC7"/>
    <w:rsid w:val="671B7875"/>
    <w:rsid w:val="671D6871"/>
    <w:rsid w:val="67202610"/>
    <w:rsid w:val="672030DD"/>
    <w:rsid w:val="67211B83"/>
    <w:rsid w:val="672158C0"/>
    <w:rsid w:val="67220C03"/>
    <w:rsid w:val="672229B1"/>
    <w:rsid w:val="672328FF"/>
    <w:rsid w:val="6723497B"/>
    <w:rsid w:val="67236729"/>
    <w:rsid w:val="67241CA1"/>
    <w:rsid w:val="672506F4"/>
    <w:rsid w:val="672524A2"/>
    <w:rsid w:val="67254250"/>
    <w:rsid w:val="672745A0"/>
    <w:rsid w:val="6727621A"/>
    <w:rsid w:val="67277DA6"/>
    <w:rsid w:val="672905D0"/>
    <w:rsid w:val="67290D6D"/>
    <w:rsid w:val="67297ED0"/>
    <w:rsid w:val="672A348A"/>
    <w:rsid w:val="672A3641"/>
    <w:rsid w:val="672A3684"/>
    <w:rsid w:val="672A7AB8"/>
    <w:rsid w:val="672B6D3E"/>
    <w:rsid w:val="672C12EE"/>
    <w:rsid w:val="672C1A82"/>
    <w:rsid w:val="672C3830"/>
    <w:rsid w:val="672C55DE"/>
    <w:rsid w:val="672C7CD4"/>
    <w:rsid w:val="672D03C8"/>
    <w:rsid w:val="672D101A"/>
    <w:rsid w:val="672D6CEC"/>
    <w:rsid w:val="672E75A8"/>
    <w:rsid w:val="672F43AB"/>
    <w:rsid w:val="672F50CE"/>
    <w:rsid w:val="67310D3D"/>
    <w:rsid w:val="673152EA"/>
    <w:rsid w:val="67320AA5"/>
    <w:rsid w:val="673226C3"/>
    <w:rsid w:val="67325FF1"/>
    <w:rsid w:val="6732696D"/>
    <w:rsid w:val="67335294"/>
    <w:rsid w:val="673646AF"/>
    <w:rsid w:val="67383A08"/>
    <w:rsid w:val="67386679"/>
    <w:rsid w:val="673877AE"/>
    <w:rsid w:val="67391443"/>
    <w:rsid w:val="6739308C"/>
    <w:rsid w:val="67395F4D"/>
    <w:rsid w:val="673B33C9"/>
    <w:rsid w:val="673B3A73"/>
    <w:rsid w:val="673C2122"/>
    <w:rsid w:val="673E3563"/>
    <w:rsid w:val="673E5311"/>
    <w:rsid w:val="673F17B5"/>
    <w:rsid w:val="673F502F"/>
    <w:rsid w:val="673F5550"/>
    <w:rsid w:val="67401089"/>
    <w:rsid w:val="674072DB"/>
    <w:rsid w:val="67410D28"/>
    <w:rsid w:val="67412046"/>
    <w:rsid w:val="67416230"/>
    <w:rsid w:val="674212A6"/>
    <w:rsid w:val="67423054"/>
    <w:rsid w:val="67424E02"/>
    <w:rsid w:val="67444AD8"/>
    <w:rsid w:val="6744501E"/>
    <w:rsid w:val="67451A69"/>
    <w:rsid w:val="674566A0"/>
    <w:rsid w:val="67461FC9"/>
    <w:rsid w:val="674731D8"/>
    <w:rsid w:val="6747674B"/>
    <w:rsid w:val="6748492F"/>
    <w:rsid w:val="67493A9D"/>
    <w:rsid w:val="674A0B92"/>
    <w:rsid w:val="674A63AC"/>
    <w:rsid w:val="674B19B4"/>
    <w:rsid w:val="674B5BB6"/>
    <w:rsid w:val="674C59CA"/>
    <w:rsid w:val="674C5E3B"/>
    <w:rsid w:val="674D72CB"/>
    <w:rsid w:val="674E2359"/>
    <w:rsid w:val="674E72EB"/>
    <w:rsid w:val="674E7C4A"/>
    <w:rsid w:val="674F47BC"/>
    <w:rsid w:val="675170EE"/>
    <w:rsid w:val="67521CAD"/>
    <w:rsid w:val="67534662"/>
    <w:rsid w:val="67544B35"/>
    <w:rsid w:val="67545241"/>
    <w:rsid w:val="67546FD8"/>
    <w:rsid w:val="67550FD9"/>
    <w:rsid w:val="6756774D"/>
    <w:rsid w:val="67567E64"/>
    <w:rsid w:val="67582691"/>
    <w:rsid w:val="67582FC1"/>
    <w:rsid w:val="6759039D"/>
    <w:rsid w:val="6759586E"/>
    <w:rsid w:val="675C1FE9"/>
    <w:rsid w:val="675C5B0C"/>
    <w:rsid w:val="675D09EB"/>
    <w:rsid w:val="675D21D4"/>
    <w:rsid w:val="675D5BD6"/>
    <w:rsid w:val="675D60DF"/>
    <w:rsid w:val="675E2898"/>
    <w:rsid w:val="675F4B6D"/>
    <w:rsid w:val="6760797E"/>
    <w:rsid w:val="67610CEF"/>
    <w:rsid w:val="676245A1"/>
    <w:rsid w:val="676254A4"/>
    <w:rsid w:val="67627252"/>
    <w:rsid w:val="67635706"/>
    <w:rsid w:val="67656D42"/>
    <w:rsid w:val="67662894"/>
    <w:rsid w:val="67670D0C"/>
    <w:rsid w:val="67680CC1"/>
    <w:rsid w:val="676905E0"/>
    <w:rsid w:val="67694F1E"/>
    <w:rsid w:val="676A0257"/>
    <w:rsid w:val="676A1438"/>
    <w:rsid w:val="676B07FC"/>
    <w:rsid w:val="676C00D0"/>
    <w:rsid w:val="676E209B"/>
    <w:rsid w:val="676F196F"/>
    <w:rsid w:val="67705E13"/>
    <w:rsid w:val="677117DE"/>
    <w:rsid w:val="677201AD"/>
    <w:rsid w:val="67723325"/>
    <w:rsid w:val="6773145F"/>
    <w:rsid w:val="67732727"/>
    <w:rsid w:val="67742476"/>
    <w:rsid w:val="67750529"/>
    <w:rsid w:val="67750BFD"/>
    <w:rsid w:val="6775534A"/>
    <w:rsid w:val="67770DF7"/>
    <w:rsid w:val="67772538"/>
    <w:rsid w:val="677740F1"/>
    <w:rsid w:val="6778433B"/>
    <w:rsid w:val="67786A7B"/>
    <w:rsid w:val="67790DC0"/>
    <w:rsid w:val="6779459B"/>
    <w:rsid w:val="67797A29"/>
    <w:rsid w:val="677A0A3F"/>
    <w:rsid w:val="677A0EB9"/>
    <w:rsid w:val="677A4ED2"/>
    <w:rsid w:val="677A5E8B"/>
    <w:rsid w:val="677B2349"/>
    <w:rsid w:val="677B7778"/>
    <w:rsid w:val="677D408C"/>
    <w:rsid w:val="677D63AA"/>
    <w:rsid w:val="677F7E04"/>
    <w:rsid w:val="67813B5D"/>
    <w:rsid w:val="67822461"/>
    <w:rsid w:val="678278F4"/>
    <w:rsid w:val="67830ADB"/>
    <w:rsid w:val="67833A39"/>
    <w:rsid w:val="67836C0D"/>
    <w:rsid w:val="678533E6"/>
    <w:rsid w:val="678673E4"/>
    <w:rsid w:val="678710AA"/>
    <w:rsid w:val="67875AB5"/>
    <w:rsid w:val="67880EF4"/>
    <w:rsid w:val="67881D7C"/>
    <w:rsid w:val="67892A30"/>
    <w:rsid w:val="67894663"/>
    <w:rsid w:val="678A0557"/>
    <w:rsid w:val="678A67A9"/>
    <w:rsid w:val="678B3F82"/>
    <w:rsid w:val="678B49FB"/>
    <w:rsid w:val="678C182A"/>
    <w:rsid w:val="678C30B5"/>
    <w:rsid w:val="678C42CF"/>
    <w:rsid w:val="678C6E86"/>
    <w:rsid w:val="678D2A70"/>
    <w:rsid w:val="678E0047"/>
    <w:rsid w:val="678E04D5"/>
    <w:rsid w:val="678E44EB"/>
    <w:rsid w:val="678E4B82"/>
    <w:rsid w:val="678E6299"/>
    <w:rsid w:val="67900263"/>
    <w:rsid w:val="67901FA1"/>
    <w:rsid w:val="67910402"/>
    <w:rsid w:val="679118E5"/>
    <w:rsid w:val="6792321C"/>
    <w:rsid w:val="67925216"/>
    <w:rsid w:val="679259FF"/>
    <w:rsid w:val="6793565D"/>
    <w:rsid w:val="679604BE"/>
    <w:rsid w:val="6796514D"/>
    <w:rsid w:val="679715F1"/>
    <w:rsid w:val="6798419B"/>
    <w:rsid w:val="679A2E90"/>
    <w:rsid w:val="679A4C07"/>
    <w:rsid w:val="679A4C3E"/>
    <w:rsid w:val="679A69EC"/>
    <w:rsid w:val="679B01F2"/>
    <w:rsid w:val="679B09B6"/>
    <w:rsid w:val="679B3EEB"/>
    <w:rsid w:val="679B7614"/>
    <w:rsid w:val="679F04A6"/>
    <w:rsid w:val="679F2254"/>
    <w:rsid w:val="679F4002"/>
    <w:rsid w:val="67A00AF3"/>
    <w:rsid w:val="67A05409"/>
    <w:rsid w:val="67A12526"/>
    <w:rsid w:val="67A21D44"/>
    <w:rsid w:val="67A4786A"/>
    <w:rsid w:val="67A55390"/>
    <w:rsid w:val="67A5598E"/>
    <w:rsid w:val="67A6239B"/>
    <w:rsid w:val="67A91325"/>
    <w:rsid w:val="67A97C05"/>
    <w:rsid w:val="67AA6857"/>
    <w:rsid w:val="67AB6E4B"/>
    <w:rsid w:val="67AC671F"/>
    <w:rsid w:val="67AD298A"/>
    <w:rsid w:val="67AE06E9"/>
    <w:rsid w:val="67AE693B"/>
    <w:rsid w:val="67AF7FBD"/>
    <w:rsid w:val="67B0563A"/>
    <w:rsid w:val="67B13D35"/>
    <w:rsid w:val="67B22635"/>
    <w:rsid w:val="67B25BC5"/>
    <w:rsid w:val="67B33F51"/>
    <w:rsid w:val="67B35CFF"/>
    <w:rsid w:val="67B37AAD"/>
    <w:rsid w:val="67B55803"/>
    <w:rsid w:val="67B6134C"/>
    <w:rsid w:val="67B72646"/>
    <w:rsid w:val="67B75C50"/>
    <w:rsid w:val="67B9006A"/>
    <w:rsid w:val="67B922EB"/>
    <w:rsid w:val="67BA52E0"/>
    <w:rsid w:val="67BA708E"/>
    <w:rsid w:val="67BC1D30"/>
    <w:rsid w:val="67BC2E06"/>
    <w:rsid w:val="67BD4F86"/>
    <w:rsid w:val="67BD5F22"/>
    <w:rsid w:val="67BD6B7E"/>
    <w:rsid w:val="67BE48AD"/>
    <w:rsid w:val="67BF28F6"/>
    <w:rsid w:val="67BF46A4"/>
    <w:rsid w:val="67BF4A1C"/>
    <w:rsid w:val="67BF6452"/>
    <w:rsid w:val="67C01E6B"/>
    <w:rsid w:val="67C24194"/>
    <w:rsid w:val="67C27CF0"/>
    <w:rsid w:val="67C41CBB"/>
    <w:rsid w:val="67C43A69"/>
    <w:rsid w:val="67C472DA"/>
    <w:rsid w:val="67C577E1"/>
    <w:rsid w:val="67C63C85"/>
    <w:rsid w:val="67C717AB"/>
    <w:rsid w:val="67C73559"/>
    <w:rsid w:val="67C9107F"/>
    <w:rsid w:val="67C95523"/>
    <w:rsid w:val="67C972D1"/>
    <w:rsid w:val="67CA0A9D"/>
    <w:rsid w:val="67CB02EF"/>
    <w:rsid w:val="67CC0B6F"/>
    <w:rsid w:val="67CC6DC1"/>
    <w:rsid w:val="67CD1BF1"/>
    <w:rsid w:val="67CD3358"/>
    <w:rsid w:val="67CD5013"/>
    <w:rsid w:val="67CE0D8B"/>
    <w:rsid w:val="67CE48E7"/>
    <w:rsid w:val="67CF572D"/>
    <w:rsid w:val="67CF6087"/>
    <w:rsid w:val="67D0240D"/>
    <w:rsid w:val="67D16185"/>
    <w:rsid w:val="67D30150"/>
    <w:rsid w:val="67D34322"/>
    <w:rsid w:val="67D43879"/>
    <w:rsid w:val="67D5211A"/>
    <w:rsid w:val="67D57A24"/>
    <w:rsid w:val="67D62A65"/>
    <w:rsid w:val="67D6379C"/>
    <w:rsid w:val="67D839B8"/>
    <w:rsid w:val="67D841DD"/>
    <w:rsid w:val="67D85766"/>
    <w:rsid w:val="67DA14DE"/>
    <w:rsid w:val="67DA328C"/>
    <w:rsid w:val="67DA7730"/>
    <w:rsid w:val="67DB3517"/>
    <w:rsid w:val="67DB7F15"/>
    <w:rsid w:val="67DD2D7C"/>
    <w:rsid w:val="67DD5341"/>
    <w:rsid w:val="67DE2B76"/>
    <w:rsid w:val="67DF08A2"/>
    <w:rsid w:val="67E009D9"/>
    <w:rsid w:val="67E05DA8"/>
    <w:rsid w:val="67E10ABE"/>
    <w:rsid w:val="67E12EC9"/>
    <w:rsid w:val="67E16AD1"/>
    <w:rsid w:val="67E20393"/>
    <w:rsid w:val="67E22141"/>
    <w:rsid w:val="67E40DD3"/>
    <w:rsid w:val="67E4235D"/>
    <w:rsid w:val="67E460F1"/>
    <w:rsid w:val="67E5698D"/>
    <w:rsid w:val="67E61FB8"/>
    <w:rsid w:val="67E63ED9"/>
    <w:rsid w:val="67E65CFE"/>
    <w:rsid w:val="67E724CB"/>
    <w:rsid w:val="67E91721"/>
    <w:rsid w:val="67EB4E73"/>
    <w:rsid w:val="67EB52EB"/>
    <w:rsid w:val="67EC06DB"/>
    <w:rsid w:val="67ED117D"/>
    <w:rsid w:val="67ED1684"/>
    <w:rsid w:val="67EE0AE5"/>
    <w:rsid w:val="67EE4F89"/>
    <w:rsid w:val="67EF200D"/>
    <w:rsid w:val="67EF294E"/>
    <w:rsid w:val="67EF3AFA"/>
    <w:rsid w:val="67F02AB0"/>
    <w:rsid w:val="67F02E9E"/>
    <w:rsid w:val="67F03A9C"/>
    <w:rsid w:val="67F0485E"/>
    <w:rsid w:val="67F105D6"/>
    <w:rsid w:val="67F2402A"/>
    <w:rsid w:val="67F32B1F"/>
    <w:rsid w:val="67F3434E"/>
    <w:rsid w:val="67F4418A"/>
    <w:rsid w:val="67F464DC"/>
    <w:rsid w:val="67F46AED"/>
    <w:rsid w:val="67F72420"/>
    <w:rsid w:val="67F81964"/>
    <w:rsid w:val="67F84948"/>
    <w:rsid w:val="67F85E08"/>
    <w:rsid w:val="67FA3F71"/>
    <w:rsid w:val="67FA56DC"/>
    <w:rsid w:val="67FB442E"/>
    <w:rsid w:val="67FC76A6"/>
    <w:rsid w:val="67FD341E"/>
    <w:rsid w:val="67FD51CC"/>
    <w:rsid w:val="67FE6E48"/>
    <w:rsid w:val="680015F0"/>
    <w:rsid w:val="68014CBD"/>
    <w:rsid w:val="68016A6B"/>
    <w:rsid w:val="68040309"/>
    <w:rsid w:val="6804655B"/>
    <w:rsid w:val="68047E32"/>
    <w:rsid w:val="68057461"/>
    <w:rsid w:val="680622D3"/>
    <w:rsid w:val="68070280"/>
    <w:rsid w:val="68071BA7"/>
    <w:rsid w:val="68073211"/>
    <w:rsid w:val="68074B70"/>
    <w:rsid w:val="68083C11"/>
    <w:rsid w:val="6808778C"/>
    <w:rsid w:val="68091DC3"/>
    <w:rsid w:val="680B1B92"/>
    <w:rsid w:val="680B488E"/>
    <w:rsid w:val="680B5C16"/>
    <w:rsid w:val="680B78E9"/>
    <w:rsid w:val="680C5410"/>
    <w:rsid w:val="680E3314"/>
    <w:rsid w:val="680F0251"/>
    <w:rsid w:val="680F4E37"/>
    <w:rsid w:val="6811031F"/>
    <w:rsid w:val="68111833"/>
    <w:rsid w:val="68115791"/>
    <w:rsid w:val="681349F0"/>
    <w:rsid w:val="68150768"/>
    <w:rsid w:val="68152C79"/>
    <w:rsid w:val="68160749"/>
    <w:rsid w:val="68164837"/>
    <w:rsid w:val="6817003C"/>
    <w:rsid w:val="68173597"/>
    <w:rsid w:val="681744E0"/>
    <w:rsid w:val="6817628E"/>
    <w:rsid w:val="68181355"/>
    <w:rsid w:val="681875D4"/>
    <w:rsid w:val="681A18DB"/>
    <w:rsid w:val="681A5D7E"/>
    <w:rsid w:val="681B23A2"/>
    <w:rsid w:val="681C38A5"/>
    <w:rsid w:val="681C48F5"/>
    <w:rsid w:val="681C5653"/>
    <w:rsid w:val="681D13CB"/>
    <w:rsid w:val="681D3FA7"/>
    <w:rsid w:val="681D761D"/>
    <w:rsid w:val="681E1167"/>
    <w:rsid w:val="681E1391"/>
    <w:rsid w:val="681E52FE"/>
    <w:rsid w:val="681F5143"/>
    <w:rsid w:val="68212C69"/>
    <w:rsid w:val="68213DB8"/>
    <w:rsid w:val="68213F33"/>
    <w:rsid w:val="6821710D"/>
    <w:rsid w:val="68246FCC"/>
    <w:rsid w:val="68255C5C"/>
    <w:rsid w:val="68261C73"/>
    <w:rsid w:val="68262975"/>
    <w:rsid w:val="6826397D"/>
    <w:rsid w:val="68265A65"/>
    <w:rsid w:val="682664D1"/>
    <w:rsid w:val="6826679A"/>
    <w:rsid w:val="68272BD0"/>
    <w:rsid w:val="68272D86"/>
    <w:rsid w:val="68273FF7"/>
    <w:rsid w:val="68274FE1"/>
    <w:rsid w:val="6828049B"/>
    <w:rsid w:val="68281E23"/>
    <w:rsid w:val="682843BC"/>
    <w:rsid w:val="68294213"/>
    <w:rsid w:val="68296F42"/>
    <w:rsid w:val="682A21C6"/>
    <w:rsid w:val="682C0594"/>
    <w:rsid w:val="682C0C6D"/>
    <w:rsid w:val="682C160E"/>
    <w:rsid w:val="682D1978"/>
    <w:rsid w:val="682D3D04"/>
    <w:rsid w:val="682D7860"/>
    <w:rsid w:val="682E35D8"/>
    <w:rsid w:val="682E5386"/>
    <w:rsid w:val="682F1DA4"/>
    <w:rsid w:val="682F3033"/>
    <w:rsid w:val="682F7554"/>
    <w:rsid w:val="683010FE"/>
    <w:rsid w:val="683055A2"/>
    <w:rsid w:val="683170BF"/>
    <w:rsid w:val="68320213"/>
    <w:rsid w:val="683315AB"/>
    <w:rsid w:val="68356714"/>
    <w:rsid w:val="683706DE"/>
    <w:rsid w:val="68376930"/>
    <w:rsid w:val="6837771F"/>
    <w:rsid w:val="683A3D2B"/>
    <w:rsid w:val="683A5EDF"/>
    <w:rsid w:val="683B7530"/>
    <w:rsid w:val="683C0EBD"/>
    <w:rsid w:val="683C5CF5"/>
    <w:rsid w:val="683C711E"/>
    <w:rsid w:val="683C7AA3"/>
    <w:rsid w:val="683D381B"/>
    <w:rsid w:val="683F2746"/>
    <w:rsid w:val="683F2850"/>
    <w:rsid w:val="683F57E5"/>
    <w:rsid w:val="684072F6"/>
    <w:rsid w:val="684206B3"/>
    <w:rsid w:val="68420E31"/>
    <w:rsid w:val="6844104D"/>
    <w:rsid w:val="6846324C"/>
    <w:rsid w:val="68464DC5"/>
    <w:rsid w:val="68473C4C"/>
    <w:rsid w:val="684828EC"/>
    <w:rsid w:val="68482B8F"/>
    <w:rsid w:val="68490412"/>
    <w:rsid w:val="684921C0"/>
    <w:rsid w:val="68497F13"/>
    <w:rsid w:val="684A2231"/>
    <w:rsid w:val="684D3A5E"/>
    <w:rsid w:val="684E29DA"/>
    <w:rsid w:val="684E6973"/>
    <w:rsid w:val="685002C6"/>
    <w:rsid w:val="685017A0"/>
    <w:rsid w:val="68504C3B"/>
    <w:rsid w:val="68511442"/>
    <w:rsid w:val="68524327"/>
    <w:rsid w:val="6853303E"/>
    <w:rsid w:val="68534DEC"/>
    <w:rsid w:val="6854080E"/>
    <w:rsid w:val="68550B65"/>
    <w:rsid w:val="68561AD9"/>
    <w:rsid w:val="68563069"/>
    <w:rsid w:val="68567D69"/>
    <w:rsid w:val="68571834"/>
    <w:rsid w:val="68581629"/>
    <w:rsid w:val="68582403"/>
    <w:rsid w:val="6858797B"/>
    <w:rsid w:val="68587E50"/>
    <w:rsid w:val="68592BCE"/>
    <w:rsid w:val="68597581"/>
    <w:rsid w:val="685B6FF1"/>
    <w:rsid w:val="685C0145"/>
    <w:rsid w:val="685D1552"/>
    <w:rsid w:val="685E3D5A"/>
    <w:rsid w:val="685E3EBD"/>
    <w:rsid w:val="68603225"/>
    <w:rsid w:val="686139AD"/>
    <w:rsid w:val="6861575B"/>
    <w:rsid w:val="68622FEB"/>
    <w:rsid w:val="68630895"/>
    <w:rsid w:val="6863673C"/>
    <w:rsid w:val="68643499"/>
    <w:rsid w:val="686504A0"/>
    <w:rsid w:val="6865349E"/>
    <w:rsid w:val="68660FC4"/>
    <w:rsid w:val="68680898"/>
    <w:rsid w:val="6868145A"/>
    <w:rsid w:val="68686AEA"/>
    <w:rsid w:val="686A20A2"/>
    <w:rsid w:val="686A7DA1"/>
    <w:rsid w:val="686B0398"/>
    <w:rsid w:val="686B65DA"/>
    <w:rsid w:val="686B70CE"/>
    <w:rsid w:val="686C0F2F"/>
    <w:rsid w:val="686D3883"/>
    <w:rsid w:val="686D4100"/>
    <w:rsid w:val="686D44C4"/>
    <w:rsid w:val="686D5EAE"/>
    <w:rsid w:val="686E14A5"/>
    <w:rsid w:val="686E3FED"/>
    <w:rsid w:val="686F2762"/>
    <w:rsid w:val="686F60CA"/>
    <w:rsid w:val="68701E42"/>
    <w:rsid w:val="68703BF0"/>
    <w:rsid w:val="6870599E"/>
    <w:rsid w:val="6870764B"/>
    <w:rsid w:val="68713911"/>
    <w:rsid w:val="687150F2"/>
    <w:rsid w:val="687152A7"/>
    <w:rsid w:val="68715B33"/>
    <w:rsid w:val="687264E6"/>
    <w:rsid w:val="68730C77"/>
    <w:rsid w:val="687318F4"/>
    <w:rsid w:val="68745A3D"/>
    <w:rsid w:val="68763722"/>
    <w:rsid w:val="687731D1"/>
    <w:rsid w:val="68774F7F"/>
    <w:rsid w:val="68784C4A"/>
    <w:rsid w:val="68786042"/>
    <w:rsid w:val="68797D92"/>
    <w:rsid w:val="687A15D9"/>
    <w:rsid w:val="687A4A6F"/>
    <w:rsid w:val="687A681D"/>
    <w:rsid w:val="687C2595"/>
    <w:rsid w:val="687D3C28"/>
    <w:rsid w:val="687D72E3"/>
    <w:rsid w:val="687E00BB"/>
    <w:rsid w:val="687E05B8"/>
    <w:rsid w:val="687E455F"/>
    <w:rsid w:val="687F5BE1"/>
    <w:rsid w:val="68802FB0"/>
    <w:rsid w:val="688073A5"/>
    <w:rsid w:val="68815DFE"/>
    <w:rsid w:val="688349F7"/>
    <w:rsid w:val="688356D2"/>
    <w:rsid w:val="6883752D"/>
    <w:rsid w:val="688431F8"/>
    <w:rsid w:val="68845FAE"/>
    <w:rsid w:val="6885769C"/>
    <w:rsid w:val="68882CE8"/>
    <w:rsid w:val="68884841"/>
    <w:rsid w:val="68886FC7"/>
    <w:rsid w:val="6888718C"/>
    <w:rsid w:val="688969A1"/>
    <w:rsid w:val="688A4CB2"/>
    <w:rsid w:val="688B27D8"/>
    <w:rsid w:val="688D47A2"/>
    <w:rsid w:val="688D5D8F"/>
    <w:rsid w:val="688E20AC"/>
    <w:rsid w:val="688F051A"/>
    <w:rsid w:val="688F22C8"/>
    <w:rsid w:val="68914293"/>
    <w:rsid w:val="68916D37"/>
    <w:rsid w:val="68921DB9"/>
    <w:rsid w:val="68923B67"/>
    <w:rsid w:val="68924C3F"/>
    <w:rsid w:val="68937CCE"/>
    <w:rsid w:val="68945B31"/>
    <w:rsid w:val="68953657"/>
    <w:rsid w:val="68986ABC"/>
    <w:rsid w:val="68995944"/>
    <w:rsid w:val="68996CA3"/>
    <w:rsid w:val="689A0C6D"/>
    <w:rsid w:val="689B1739"/>
    <w:rsid w:val="689B6EBF"/>
    <w:rsid w:val="689D4368"/>
    <w:rsid w:val="689E00ED"/>
    <w:rsid w:val="689E075E"/>
    <w:rsid w:val="689E42BA"/>
    <w:rsid w:val="689E69AF"/>
    <w:rsid w:val="689F6284"/>
    <w:rsid w:val="68A044D6"/>
    <w:rsid w:val="68A075F3"/>
    <w:rsid w:val="68A11FFC"/>
    <w:rsid w:val="68A13DAA"/>
    <w:rsid w:val="68A33FC6"/>
    <w:rsid w:val="68A35D74"/>
    <w:rsid w:val="68A37B22"/>
    <w:rsid w:val="68A52B3F"/>
    <w:rsid w:val="68A52C1A"/>
    <w:rsid w:val="68A5389A"/>
    <w:rsid w:val="68A5651A"/>
    <w:rsid w:val="68A613C0"/>
    <w:rsid w:val="68A66109"/>
    <w:rsid w:val="68A67612"/>
    <w:rsid w:val="68A90D75"/>
    <w:rsid w:val="68A94512"/>
    <w:rsid w:val="68AA7102"/>
    <w:rsid w:val="68AB69D7"/>
    <w:rsid w:val="68AB7066"/>
    <w:rsid w:val="68AC0C4A"/>
    <w:rsid w:val="68AC2CF6"/>
    <w:rsid w:val="68AD6BF3"/>
    <w:rsid w:val="68AF64C7"/>
    <w:rsid w:val="68B0174A"/>
    <w:rsid w:val="68B10CE2"/>
    <w:rsid w:val="68B10FA5"/>
    <w:rsid w:val="68B24209"/>
    <w:rsid w:val="68B304AE"/>
    <w:rsid w:val="68B41D2F"/>
    <w:rsid w:val="68B47F81"/>
    <w:rsid w:val="68B503D0"/>
    <w:rsid w:val="68B561A4"/>
    <w:rsid w:val="68B57725"/>
    <w:rsid w:val="68B95DF5"/>
    <w:rsid w:val="68BA4257"/>
    <w:rsid w:val="68BB2F83"/>
    <w:rsid w:val="68BC5EB7"/>
    <w:rsid w:val="68BD3877"/>
    <w:rsid w:val="68BE2BAE"/>
    <w:rsid w:val="68BE670A"/>
    <w:rsid w:val="68BE7D5D"/>
    <w:rsid w:val="68BE7F21"/>
    <w:rsid w:val="68C06926"/>
    <w:rsid w:val="68C12039"/>
    <w:rsid w:val="68C1269E"/>
    <w:rsid w:val="68C34771"/>
    <w:rsid w:val="68C36416"/>
    <w:rsid w:val="68C55CE5"/>
    <w:rsid w:val="68C62302"/>
    <w:rsid w:val="68C66F69"/>
    <w:rsid w:val="68C77CB4"/>
    <w:rsid w:val="68C87588"/>
    <w:rsid w:val="68CA0ECD"/>
    <w:rsid w:val="68CA4BB9"/>
    <w:rsid w:val="68CA77A4"/>
    <w:rsid w:val="68CB0E27"/>
    <w:rsid w:val="68CB1734"/>
    <w:rsid w:val="68CB18F9"/>
    <w:rsid w:val="68CB7079"/>
    <w:rsid w:val="68CD4F2E"/>
    <w:rsid w:val="68CF43EA"/>
    <w:rsid w:val="68D128E1"/>
    <w:rsid w:val="68D221B5"/>
    <w:rsid w:val="68D423D1"/>
    <w:rsid w:val="68D555CE"/>
    <w:rsid w:val="68D57089"/>
    <w:rsid w:val="68D57760"/>
    <w:rsid w:val="68D67EF7"/>
    <w:rsid w:val="68D725FF"/>
    <w:rsid w:val="68D72731"/>
    <w:rsid w:val="68D75A1D"/>
    <w:rsid w:val="68D7726A"/>
    <w:rsid w:val="68D9202D"/>
    <w:rsid w:val="68D93544"/>
    <w:rsid w:val="68DB3760"/>
    <w:rsid w:val="68DB5223"/>
    <w:rsid w:val="68DB550E"/>
    <w:rsid w:val="68DC1286"/>
    <w:rsid w:val="68DC3034"/>
    <w:rsid w:val="68DC4DE2"/>
    <w:rsid w:val="68DD74D8"/>
    <w:rsid w:val="68DE0B5A"/>
    <w:rsid w:val="68DF2A56"/>
    <w:rsid w:val="68DF599C"/>
    <w:rsid w:val="68E048D2"/>
    <w:rsid w:val="68E1064A"/>
    <w:rsid w:val="68E2323E"/>
    <w:rsid w:val="68E24AEE"/>
    <w:rsid w:val="68E26742"/>
    <w:rsid w:val="68E31062"/>
    <w:rsid w:val="68E31D3F"/>
    <w:rsid w:val="68E32614"/>
    <w:rsid w:val="68E36170"/>
    <w:rsid w:val="68E46618"/>
    <w:rsid w:val="68E50A4F"/>
    <w:rsid w:val="68E51EE8"/>
    <w:rsid w:val="68E72104"/>
    <w:rsid w:val="68E819D9"/>
    <w:rsid w:val="68E83A44"/>
    <w:rsid w:val="68E875A7"/>
    <w:rsid w:val="68E92303"/>
    <w:rsid w:val="68EC117F"/>
    <w:rsid w:val="68ED3493"/>
    <w:rsid w:val="68ED5241"/>
    <w:rsid w:val="68EF0D46"/>
    <w:rsid w:val="68EF4B15"/>
    <w:rsid w:val="68EF7D28"/>
    <w:rsid w:val="68F00484"/>
    <w:rsid w:val="68F0088D"/>
    <w:rsid w:val="68F07C76"/>
    <w:rsid w:val="68F12417"/>
    <w:rsid w:val="68F13662"/>
    <w:rsid w:val="68F13DF3"/>
    <w:rsid w:val="68F20AA9"/>
    <w:rsid w:val="68F230CC"/>
    <w:rsid w:val="68F27327"/>
    <w:rsid w:val="68F348EB"/>
    <w:rsid w:val="68F41FE7"/>
    <w:rsid w:val="68F570FB"/>
    <w:rsid w:val="68F62348"/>
    <w:rsid w:val="68F64907"/>
    <w:rsid w:val="68F760C0"/>
    <w:rsid w:val="68F8293F"/>
    <w:rsid w:val="68F85132"/>
    <w:rsid w:val="68F87D9B"/>
    <w:rsid w:val="68F914A1"/>
    <w:rsid w:val="68FB170C"/>
    <w:rsid w:val="68FB795E"/>
    <w:rsid w:val="68FC3583"/>
    <w:rsid w:val="68FC7232"/>
    <w:rsid w:val="68FD36D6"/>
    <w:rsid w:val="68FE11FC"/>
    <w:rsid w:val="690031C6"/>
    <w:rsid w:val="69004F74"/>
    <w:rsid w:val="69006D22"/>
    <w:rsid w:val="69012A9A"/>
    <w:rsid w:val="690346C8"/>
    <w:rsid w:val="69036813"/>
    <w:rsid w:val="6904039B"/>
    <w:rsid w:val="6905258B"/>
    <w:rsid w:val="69052F6C"/>
    <w:rsid w:val="690600B1"/>
    <w:rsid w:val="690643FC"/>
    <w:rsid w:val="69064C5E"/>
    <w:rsid w:val="69074555"/>
    <w:rsid w:val="69076303"/>
    <w:rsid w:val="6908207B"/>
    <w:rsid w:val="69083F1F"/>
    <w:rsid w:val="690911E8"/>
    <w:rsid w:val="690B56C7"/>
    <w:rsid w:val="690B6DDE"/>
    <w:rsid w:val="690C6A99"/>
    <w:rsid w:val="690C73E6"/>
    <w:rsid w:val="690D33B0"/>
    <w:rsid w:val="690E58E3"/>
    <w:rsid w:val="690F6F65"/>
    <w:rsid w:val="69110F2F"/>
    <w:rsid w:val="691127D7"/>
    <w:rsid w:val="69112CDD"/>
    <w:rsid w:val="69124CA8"/>
    <w:rsid w:val="69143AF1"/>
    <w:rsid w:val="69147E90"/>
    <w:rsid w:val="69150006"/>
    <w:rsid w:val="69167590"/>
    <w:rsid w:val="69170197"/>
    <w:rsid w:val="691722BE"/>
    <w:rsid w:val="69180510"/>
    <w:rsid w:val="69196036"/>
    <w:rsid w:val="691B0000"/>
    <w:rsid w:val="691B1DAE"/>
    <w:rsid w:val="691B21AC"/>
    <w:rsid w:val="691B624D"/>
    <w:rsid w:val="691C78D4"/>
    <w:rsid w:val="691C7D63"/>
    <w:rsid w:val="691D5B26"/>
    <w:rsid w:val="691D640A"/>
    <w:rsid w:val="691E189E"/>
    <w:rsid w:val="691E364C"/>
    <w:rsid w:val="691F1759"/>
    <w:rsid w:val="69202CA9"/>
    <w:rsid w:val="69205616"/>
    <w:rsid w:val="6922313D"/>
    <w:rsid w:val="69230C63"/>
    <w:rsid w:val="692317E5"/>
    <w:rsid w:val="6923202D"/>
    <w:rsid w:val="69247985"/>
    <w:rsid w:val="692549DB"/>
    <w:rsid w:val="69254DEC"/>
    <w:rsid w:val="692769A5"/>
    <w:rsid w:val="69282E6D"/>
    <w:rsid w:val="69292367"/>
    <w:rsid w:val="692A0C69"/>
    <w:rsid w:val="692C7B17"/>
    <w:rsid w:val="692D0CE8"/>
    <w:rsid w:val="692D1AE1"/>
    <w:rsid w:val="692D2292"/>
    <w:rsid w:val="692D388F"/>
    <w:rsid w:val="692E081B"/>
    <w:rsid w:val="692F13B6"/>
    <w:rsid w:val="692F7608"/>
    <w:rsid w:val="693115D2"/>
    <w:rsid w:val="6931512E"/>
    <w:rsid w:val="69324FA7"/>
    <w:rsid w:val="69326EF5"/>
    <w:rsid w:val="693634DB"/>
    <w:rsid w:val="6937323D"/>
    <w:rsid w:val="69374FAB"/>
    <w:rsid w:val="6938470E"/>
    <w:rsid w:val="69392234"/>
    <w:rsid w:val="693966D8"/>
    <w:rsid w:val="693B2088"/>
    <w:rsid w:val="693B7D5A"/>
    <w:rsid w:val="693D1C6D"/>
    <w:rsid w:val="693D1D24"/>
    <w:rsid w:val="693D6EC8"/>
    <w:rsid w:val="693E5A9D"/>
    <w:rsid w:val="693E784B"/>
    <w:rsid w:val="694032B0"/>
    <w:rsid w:val="694035C3"/>
    <w:rsid w:val="694110E9"/>
    <w:rsid w:val="69421F2C"/>
    <w:rsid w:val="694245CE"/>
    <w:rsid w:val="6942733B"/>
    <w:rsid w:val="69431305"/>
    <w:rsid w:val="69432F0E"/>
    <w:rsid w:val="69434DEB"/>
    <w:rsid w:val="69435ADF"/>
    <w:rsid w:val="69447AF4"/>
    <w:rsid w:val="69470DF5"/>
    <w:rsid w:val="69471BAD"/>
    <w:rsid w:val="69472BA3"/>
    <w:rsid w:val="69472D1F"/>
    <w:rsid w:val="694744CB"/>
    <w:rsid w:val="694A15DD"/>
    <w:rsid w:val="694B2B30"/>
    <w:rsid w:val="694C29D9"/>
    <w:rsid w:val="694C640B"/>
    <w:rsid w:val="694C7AC8"/>
    <w:rsid w:val="694D2244"/>
    <w:rsid w:val="694D536D"/>
    <w:rsid w:val="694D6B91"/>
    <w:rsid w:val="694E4EE1"/>
    <w:rsid w:val="694F1A58"/>
    <w:rsid w:val="694F29BD"/>
    <w:rsid w:val="695120D6"/>
    <w:rsid w:val="69513F33"/>
    <w:rsid w:val="695157D0"/>
    <w:rsid w:val="695169A2"/>
    <w:rsid w:val="6951757E"/>
    <w:rsid w:val="69520B2D"/>
    <w:rsid w:val="6953090A"/>
    <w:rsid w:val="69531548"/>
    <w:rsid w:val="6953779A"/>
    <w:rsid w:val="69550D65"/>
    <w:rsid w:val="6956570B"/>
    <w:rsid w:val="69594684"/>
    <w:rsid w:val="695A0B28"/>
    <w:rsid w:val="695A1195"/>
    <w:rsid w:val="695B03FD"/>
    <w:rsid w:val="695D23C7"/>
    <w:rsid w:val="695D7E95"/>
    <w:rsid w:val="695D7FE9"/>
    <w:rsid w:val="69605A13"/>
    <w:rsid w:val="696151D3"/>
    <w:rsid w:val="69620B1A"/>
    <w:rsid w:val="6962178B"/>
    <w:rsid w:val="69623539"/>
    <w:rsid w:val="696324F7"/>
    <w:rsid w:val="69635503"/>
    <w:rsid w:val="69642246"/>
    <w:rsid w:val="69656162"/>
    <w:rsid w:val="696636A3"/>
    <w:rsid w:val="696645FD"/>
    <w:rsid w:val="69670B4F"/>
    <w:rsid w:val="69674FF3"/>
    <w:rsid w:val="69675B47"/>
    <w:rsid w:val="696763D3"/>
    <w:rsid w:val="6967673E"/>
    <w:rsid w:val="69683798"/>
    <w:rsid w:val="69690D6B"/>
    <w:rsid w:val="696A0C89"/>
    <w:rsid w:val="696A28ED"/>
    <w:rsid w:val="696B145D"/>
    <w:rsid w:val="696B4026"/>
    <w:rsid w:val="696C085C"/>
    <w:rsid w:val="696E0A9A"/>
    <w:rsid w:val="696E52E2"/>
    <w:rsid w:val="696F532F"/>
    <w:rsid w:val="697119CE"/>
    <w:rsid w:val="69715E72"/>
    <w:rsid w:val="6971708A"/>
    <w:rsid w:val="697353E2"/>
    <w:rsid w:val="697429C9"/>
    <w:rsid w:val="6974326C"/>
    <w:rsid w:val="69746CC5"/>
    <w:rsid w:val="69747710"/>
    <w:rsid w:val="697675C8"/>
    <w:rsid w:val="69787200"/>
    <w:rsid w:val="6979471D"/>
    <w:rsid w:val="697A0640"/>
    <w:rsid w:val="697A293F"/>
    <w:rsid w:val="697A2F79"/>
    <w:rsid w:val="697B0A9F"/>
    <w:rsid w:val="697B4613"/>
    <w:rsid w:val="697D0373"/>
    <w:rsid w:val="697E2F98"/>
    <w:rsid w:val="697E59BE"/>
    <w:rsid w:val="69800338"/>
    <w:rsid w:val="69806EB5"/>
    <w:rsid w:val="69823BDB"/>
    <w:rsid w:val="69825BBB"/>
    <w:rsid w:val="69826F10"/>
    <w:rsid w:val="69833A63"/>
    <w:rsid w:val="69847953"/>
    <w:rsid w:val="698536CB"/>
    <w:rsid w:val="69855479"/>
    <w:rsid w:val="69856F84"/>
    <w:rsid w:val="698571C6"/>
    <w:rsid w:val="698659F1"/>
    <w:rsid w:val="69881641"/>
    <w:rsid w:val="69886D18"/>
    <w:rsid w:val="6989238E"/>
    <w:rsid w:val="69892622"/>
    <w:rsid w:val="698931BC"/>
    <w:rsid w:val="698A2A90"/>
    <w:rsid w:val="698B43B0"/>
    <w:rsid w:val="698C2CAC"/>
    <w:rsid w:val="698C4A5A"/>
    <w:rsid w:val="698D0C0D"/>
    <w:rsid w:val="698E07D2"/>
    <w:rsid w:val="698E2580"/>
    <w:rsid w:val="698F00A6"/>
    <w:rsid w:val="698F48C0"/>
    <w:rsid w:val="698F62F8"/>
    <w:rsid w:val="699029A4"/>
    <w:rsid w:val="69907B62"/>
    <w:rsid w:val="699102C2"/>
    <w:rsid w:val="69914825"/>
    <w:rsid w:val="699211C8"/>
    <w:rsid w:val="69925493"/>
    <w:rsid w:val="69931E41"/>
    <w:rsid w:val="69934F73"/>
    <w:rsid w:val="69937B96"/>
    <w:rsid w:val="69944010"/>
    <w:rsid w:val="69953C45"/>
    <w:rsid w:val="69960B36"/>
    <w:rsid w:val="6998062A"/>
    <w:rsid w:val="69981136"/>
    <w:rsid w:val="69990F25"/>
    <w:rsid w:val="699A0434"/>
    <w:rsid w:val="699A7360"/>
    <w:rsid w:val="699D0A15"/>
    <w:rsid w:val="699D27C3"/>
    <w:rsid w:val="699D3B18"/>
    <w:rsid w:val="699D3F67"/>
    <w:rsid w:val="699D6C67"/>
    <w:rsid w:val="699E02E9"/>
    <w:rsid w:val="699E5E86"/>
    <w:rsid w:val="699F1D69"/>
    <w:rsid w:val="699F478D"/>
    <w:rsid w:val="699F6187"/>
    <w:rsid w:val="69A02CFF"/>
    <w:rsid w:val="69A04061"/>
    <w:rsid w:val="69A2398F"/>
    <w:rsid w:val="69A2602B"/>
    <w:rsid w:val="69A41DA4"/>
    <w:rsid w:val="69A46B2D"/>
    <w:rsid w:val="69A51678"/>
    <w:rsid w:val="69A71894"/>
    <w:rsid w:val="69A82E3B"/>
    <w:rsid w:val="69A91168"/>
    <w:rsid w:val="69A94C8C"/>
    <w:rsid w:val="69AA3132"/>
    <w:rsid w:val="69AA4EE0"/>
    <w:rsid w:val="69AC2A06"/>
    <w:rsid w:val="69AD2FCE"/>
    <w:rsid w:val="69AE2CDA"/>
    <w:rsid w:val="69AE5876"/>
    <w:rsid w:val="69AF2603"/>
    <w:rsid w:val="69AF2E79"/>
    <w:rsid w:val="69B064ED"/>
    <w:rsid w:val="69B144C0"/>
    <w:rsid w:val="69B1626F"/>
    <w:rsid w:val="69B27E3F"/>
    <w:rsid w:val="69B30239"/>
    <w:rsid w:val="69B471CE"/>
    <w:rsid w:val="69B47B0D"/>
    <w:rsid w:val="69B53EBC"/>
    <w:rsid w:val="69B63885"/>
    <w:rsid w:val="69B67D29"/>
    <w:rsid w:val="69B803E0"/>
    <w:rsid w:val="69B95123"/>
    <w:rsid w:val="69B9592A"/>
    <w:rsid w:val="69BC26F9"/>
    <w:rsid w:val="69BC74FD"/>
    <w:rsid w:val="69BD10B7"/>
    <w:rsid w:val="69BE2739"/>
    <w:rsid w:val="69BF098B"/>
    <w:rsid w:val="69BF1A0C"/>
    <w:rsid w:val="69C04704"/>
    <w:rsid w:val="69C2222A"/>
    <w:rsid w:val="69C276B1"/>
    <w:rsid w:val="69C340F2"/>
    <w:rsid w:val="69C35833"/>
    <w:rsid w:val="69C42446"/>
    <w:rsid w:val="69C44038"/>
    <w:rsid w:val="69C441F4"/>
    <w:rsid w:val="69C54857"/>
    <w:rsid w:val="69C60B52"/>
    <w:rsid w:val="69C67EBF"/>
    <w:rsid w:val="69C77840"/>
    <w:rsid w:val="69C849E9"/>
    <w:rsid w:val="69C84F01"/>
    <w:rsid w:val="69C93005"/>
    <w:rsid w:val="69C97A5C"/>
    <w:rsid w:val="69CA6C22"/>
    <w:rsid w:val="69CA7330"/>
    <w:rsid w:val="69CB5E3B"/>
    <w:rsid w:val="69CB7E06"/>
    <w:rsid w:val="69CC03FD"/>
    <w:rsid w:val="69CC12FA"/>
    <w:rsid w:val="69CC657A"/>
    <w:rsid w:val="69CE5072"/>
    <w:rsid w:val="69CF4947"/>
    <w:rsid w:val="69D16911"/>
    <w:rsid w:val="69D33BE7"/>
    <w:rsid w:val="69D33F68"/>
    <w:rsid w:val="69D348B8"/>
    <w:rsid w:val="69D501AF"/>
    <w:rsid w:val="69D56401"/>
    <w:rsid w:val="69D57C48"/>
    <w:rsid w:val="69D60BF7"/>
    <w:rsid w:val="69D75001"/>
    <w:rsid w:val="69D75139"/>
    <w:rsid w:val="69D83407"/>
    <w:rsid w:val="69DA4608"/>
    <w:rsid w:val="69DA57C5"/>
    <w:rsid w:val="69DA7573"/>
    <w:rsid w:val="69DB150E"/>
    <w:rsid w:val="69DC26BE"/>
    <w:rsid w:val="69DC3021"/>
    <w:rsid w:val="69DD2031"/>
    <w:rsid w:val="69DE03C0"/>
    <w:rsid w:val="69DF2DDC"/>
    <w:rsid w:val="69DF4B8A"/>
    <w:rsid w:val="69E06B54"/>
    <w:rsid w:val="69E14DA6"/>
    <w:rsid w:val="69E228CC"/>
    <w:rsid w:val="69E2467A"/>
    <w:rsid w:val="69E403F2"/>
    <w:rsid w:val="69E623BC"/>
    <w:rsid w:val="69E71C90"/>
    <w:rsid w:val="69E76134"/>
    <w:rsid w:val="69E91EAC"/>
    <w:rsid w:val="69EA3460"/>
    <w:rsid w:val="69EB3395"/>
    <w:rsid w:val="69EB35C4"/>
    <w:rsid w:val="69EC1B71"/>
    <w:rsid w:val="69EC374B"/>
    <w:rsid w:val="69EC54F9"/>
    <w:rsid w:val="69EC5B58"/>
    <w:rsid w:val="69EE07EF"/>
    <w:rsid w:val="69EE301F"/>
    <w:rsid w:val="69EF79FE"/>
    <w:rsid w:val="69F0373D"/>
    <w:rsid w:val="69F04FE9"/>
    <w:rsid w:val="69F06324"/>
    <w:rsid w:val="69F14CBF"/>
    <w:rsid w:val="69F223CE"/>
    <w:rsid w:val="69F22D7B"/>
    <w:rsid w:val="69F30635"/>
    <w:rsid w:val="69F337AA"/>
    <w:rsid w:val="69F34AD9"/>
    <w:rsid w:val="69F460FE"/>
    <w:rsid w:val="69F60125"/>
    <w:rsid w:val="69F62FE8"/>
    <w:rsid w:val="69F66377"/>
    <w:rsid w:val="69F8615D"/>
    <w:rsid w:val="69FA0370"/>
    <w:rsid w:val="69FA04D3"/>
    <w:rsid w:val="69FA5E67"/>
    <w:rsid w:val="69FA73ED"/>
    <w:rsid w:val="69FA7C16"/>
    <w:rsid w:val="69FC398E"/>
    <w:rsid w:val="69FD24A2"/>
    <w:rsid w:val="69FD6E54"/>
    <w:rsid w:val="69FF3DA6"/>
    <w:rsid w:val="69FF522C"/>
    <w:rsid w:val="6A002C04"/>
    <w:rsid w:val="6A002D52"/>
    <w:rsid w:val="6A005C4D"/>
    <w:rsid w:val="6A010FA4"/>
    <w:rsid w:val="6A022F6E"/>
    <w:rsid w:val="6A033A48"/>
    <w:rsid w:val="6A040A94"/>
    <w:rsid w:val="6A0445F0"/>
    <w:rsid w:val="6A0516C0"/>
    <w:rsid w:val="6A06480C"/>
    <w:rsid w:val="6A085B34"/>
    <w:rsid w:val="6A0953F7"/>
    <w:rsid w:val="6A0960AB"/>
    <w:rsid w:val="6A096B38"/>
    <w:rsid w:val="6A0A183B"/>
    <w:rsid w:val="6A0B12BC"/>
    <w:rsid w:val="6A0C7949"/>
    <w:rsid w:val="6A0E1F59"/>
    <w:rsid w:val="6A0E3997"/>
    <w:rsid w:val="6A0F1269"/>
    <w:rsid w:val="6A0F796B"/>
    <w:rsid w:val="6A1011E7"/>
    <w:rsid w:val="6A102F95"/>
    <w:rsid w:val="6A104C8E"/>
    <w:rsid w:val="6A107439"/>
    <w:rsid w:val="6A107AA3"/>
    <w:rsid w:val="6A114F5F"/>
    <w:rsid w:val="6A115F93"/>
    <w:rsid w:val="6A121DA7"/>
    <w:rsid w:val="6A122A93"/>
    <w:rsid w:val="6A130CD7"/>
    <w:rsid w:val="6A136D67"/>
    <w:rsid w:val="6A136F29"/>
    <w:rsid w:val="6A141F42"/>
    <w:rsid w:val="6A151116"/>
    <w:rsid w:val="6A1521B5"/>
    <w:rsid w:val="6A1567FD"/>
    <w:rsid w:val="6A161408"/>
    <w:rsid w:val="6A164324"/>
    <w:rsid w:val="6A166419"/>
    <w:rsid w:val="6A17572B"/>
    <w:rsid w:val="6A182BB4"/>
    <w:rsid w:val="6A1A3E14"/>
    <w:rsid w:val="6A1B23DD"/>
    <w:rsid w:val="6A1B6F16"/>
    <w:rsid w:val="6A1C62CD"/>
    <w:rsid w:val="6A1D1E93"/>
    <w:rsid w:val="6A1E5528"/>
    <w:rsid w:val="6A1F58CE"/>
    <w:rsid w:val="6A20004C"/>
    <w:rsid w:val="6A203160"/>
    <w:rsid w:val="6A20797B"/>
    <w:rsid w:val="6A2121A4"/>
    <w:rsid w:val="6A2133F4"/>
    <w:rsid w:val="6A2151A2"/>
    <w:rsid w:val="6A21624F"/>
    <w:rsid w:val="6A222BD7"/>
    <w:rsid w:val="6A222CC8"/>
    <w:rsid w:val="6A22716C"/>
    <w:rsid w:val="6A244106"/>
    <w:rsid w:val="6A2473ED"/>
    <w:rsid w:val="6A260884"/>
    <w:rsid w:val="6A26208A"/>
    <w:rsid w:val="6A267DAE"/>
    <w:rsid w:val="6A276531"/>
    <w:rsid w:val="6A2829D5"/>
    <w:rsid w:val="6A295AE0"/>
    <w:rsid w:val="6A2A1307"/>
    <w:rsid w:val="6A2B6021"/>
    <w:rsid w:val="6A2B7301"/>
    <w:rsid w:val="6A2C1D99"/>
    <w:rsid w:val="6A2C5CD8"/>
    <w:rsid w:val="6A2E2F3A"/>
    <w:rsid w:val="6A2F18CC"/>
    <w:rsid w:val="6A301889"/>
    <w:rsid w:val="6A306A8E"/>
    <w:rsid w:val="6A30768E"/>
    <w:rsid w:val="6A315D44"/>
    <w:rsid w:val="6A3166CB"/>
    <w:rsid w:val="6A3209D6"/>
    <w:rsid w:val="6A3246E1"/>
    <w:rsid w:val="6A330664"/>
    <w:rsid w:val="6A331379"/>
    <w:rsid w:val="6A333127"/>
    <w:rsid w:val="6A333703"/>
    <w:rsid w:val="6A334ED5"/>
    <w:rsid w:val="6A350C4E"/>
    <w:rsid w:val="6A364619"/>
    <w:rsid w:val="6A366774"/>
    <w:rsid w:val="6A367FCE"/>
    <w:rsid w:val="6A3824EC"/>
    <w:rsid w:val="6A386990"/>
    <w:rsid w:val="6A392E07"/>
    <w:rsid w:val="6A3A2708"/>
    <w:rsid w:val="6A3A4995"/>
    <w:rsid w:val="6A3A4EA4"/>
    <w:rsid w:val="6A3A6264"/>
    <w:rsid w:val="6A3C022E"/>
    <w:rsid w:val="6A3C3AC4"/>
    <w:rsid w:val="6A3C6480"/>
    <w:rsid w:val="6A3D13DC"/>
    <w:rsid w:val="6A3D3FA6"/>
    <w:rsid w:val="6A3E1053"/>
    <w:rsid w:val="6A3F0732"/>
    <w:rsid w:val="6A3F35DF"/>
    <w:rsid w:val="6A3F7D1E"/>
    <w:rsid w:val="6A4103AE"/>
    <w:rsid w:val="6A414371"/>
    <w:rsid w:val="6A4175F2"/>
    <w:rsid w:val="6A417613"/>
    <w:rsid w:val="6A42336B"/>
    <w:rsid w:val="6A425119"/>
    <w:rsid w:val="6A435FF0"/>
    <w:rsid w:val="6A436A18"/>
    <w:rsid w:val="6A445335"/>
    <w:rsid w:val="6A4610AD"/>
    <w:rsid w:val="6A4626EF"/>
    <w:rsid w:val="6A462E5B"/>
    <w:rsid w:val="6A464C09"/>
    <w:rsid w:val="6A467F43"/>
    <w:rsid w:val="6A4841E8"/>
    <w:rsid w:val="6A4B221F"/>
    <w:rsid w:val="6A4B68EB"/>
    <w:rsid w:val="6A4D269B"/>
    <w:rsid w:val="6A4E4A0A"/>
    <w:rsid w:val="6A4E7F61"/>
    <w:rsid w:val="6A4F36E8"/>
    <w:rsid w:val="6A505A87"/>
    <w:rsid w:val="6A514364"/>
    <w:rsid w:val="6A5167FE"/>
    <w:rsid w:val="6A520D7C"/>
    <w:rsid w:val="6A520DCA"/>
    <w:rsid w:val="6A52507D"/>
    <w:rsid w:val="6A531ADF"/>
    <w:rsid w:val="6A535578"/>
    <w:rsid w:val="6A537326"/>
    <w:rsid w:val="6A5437CA"/>
    <w:rsid w:val="6A550E2D"/>
    <w:rsid w:val="6A550E5C"/>
    <w:rsid w:val="6A55309E"/>
    <w:rsid w:val="6A554E4C"/>
    <w:rsid w:val="6A555281"/>
    <w:rsid w:val="6A575068"/>
    <w:rsid w:val="6A582B8E"/>
    <w:rsid w:val="6A586114"/>
    <w:rsid w:val="6A5A4B58"/>
    <w:rsid w:val="6A5D1F52"/>
    <w:rsid w:val="6A5D244C"/>
    <w:rsid w:val="6A5E4D61"/>
    <w:rsid w:val="6A5F52CE"/>
    <w:rsid w:val="6A5F5814"/>
    <w:rsid w:val="6A5F5CCB"/>
    <w:rsid w:val="6A60064B"/>
    <w:rsid w:val="6A610B11"/>
    <w:rsid w:val="6A611A43"/>
    <w:rsid w:val="6A615EE7"/>
    <w:rsid w:val="6A627569"/>
    <w:rsid w:val="6A633A0D"/>
    <w:rsid w:val="6A6362C3"/>
    <w:rsid w:val="6A640604"/>
    <w:rsid w:val="6A65484E"/>
    <w:rsid w:val="6A6634FD"/>
    <w:rsid w:val="6A681023"/>
    <w:rsid w:val="6A682DD1"/>
    <w:rsid w:val="6A68311E"/>
    <w:rsid w:val="6A6859D7"/>
    <w:rsid w:val="6A6908F7"/>
    <w:rsid w:val="6A6B0B13"/>
    <w:rsid w:val="6A6B466F"/>
    <w:rsid w:val="6A6D6639"/>
    <w:rsid w:val="6A6D7DB8"/>
    <w:rsid w:val="6A6E6CFE"/>
    <w:rsid w:val="6A704FD0"/>
    <w:rsid w:val="6A707176"/>
    <w:rsid w:val="6A707ED8"/>
    <w:rsid w:val="6A71051E"/>
    <w:rsid w:val="6A712F2B"/>
    <w:rsid w:val="6A7221C4"/>
    <w:rsid w:val="6A7318FB"/>
    <w:rsid w:val="6A733717"/>
    <w:rsid w:val="6A733988"/>
    <w:rsid w:val="6A736798"/>
    <w:rsid w:val="6A744870"/>
    <w:rsid w:val="6A753740"/>
    <w:rsid w:val="6A771266"/>
    <w:rsid w:val="6A7774B8"/>
    <w:rsid w:val="6A781477"/>
    <w:rsid w:val="6A790228"/>
    <w:rsid w:val="6A793230"/>
    <w:rsid w:val="6A7A0D56"/>
    <w:rsid w:val="6A7A1BCB"/>
    <w:rsid w:val="6A7A2DF9"/>
    <w:rsid w:val="6A7A6FA8"/>
    <w:rsid w:val="6A7C0CAB"/>
    <w:rsid w:val="6A7C1846"/>
    <w:rsid w:val="6A7C4ACE"/>
    <w:rsid w:val="6A7C687C"/>
    <w:rsid w:val="6A7D43A3"/>
    <w:rsid w:val="6A7D60E1"/>
    <w:rsid w:val="6A7F409A"/>
    <w:rsid w:val="6A815C41"/>
    <w:rsid w:val="6A822A1B"/>
    <w:rsid w:val="6A8251E6"/>
    <w:rsid w:val="6A82754B"/>
    <w:rsid w:val="6A833EAB"/>
    <w:rsid w:val="6A837C0B"/>
    <w:rsid w:val="6A843983"/>
    <w:rsid w:val="6A8614A9"/>
    <w:rsid w:val="6A8676FB"/>
    <w:rsid w:val="6A876FCF"/>
    <w:rsid w:val="6A8909A0"/>
    <w:rsid w:val="6A89342C"/>
    <w:rsid w:val="6A8A218E"/>
    <w:rsid w:val="6A8A46FA"/>
    <w:rsid w:val="6A8B3D7E"/>
    <w:rsid w:val="6A8B6AC0"/>
    <w:rsid w:val="6A8C0077"/>
    <w:rsid w:val="6A8D0A8A"/>
    <w:rsid w:val="6A8D6CDC"/>
    <w:rsid w:val="6A8E035E"/>
    <w:rsid w:val="6A8F4802"/>
    <w:rsid w:val="6A90057A"/>
    <w:rsid w:val="6A903F49"/>
    <w:rsid w:val="6A905752"/>
    <w:rsid w:val="6A9260A0"/>
    <w:rsid w:val="6A927E4E"/>
    <w:rsid w:val="6A94006A"/>
    <w:rsid w:val="6A941E18"/>
    <w:rsid w:val="6A955B90"/>
    <w:rsid w:val="6A95793E"/>
    <w:rsid w:val="6A962605"/>
    <w:rsid w:val="6A9710E5"/>
    <w:rsid w:val="6A9736B6"/>
    <w:rsid w:val="6A980174"/>
    <w:rsid w:val="6A99742E"/>
    <w:rsid w:val="6A9A6128"/>
    <w:rsid w:val="6A9A6D03"/>
    <w:rsid w:val="6A9B44DF"/>
    <w:rsid w:val="6A9B5751"/>
    <w:rsid w:val="6A9B71F6"/>
    <w:rsid w:val="6A9C0CCD"/>
    <w:rsid w:val="6A9E1C98"/>
    <w:rsid w:val="6A9F3684"/>
    <w:rsid w:val="6AA02886"/>
    <w:rsid w:val="6AA0355B"/>
    <w:rsid w:val="6AA170CA"/>
    <w:rsid w:val="6AA3205B"/>
    <w:rsid w:val="6AA33313"/>
    <w:rsid w:val="6AA36529"/>
    <w:rsid w:val="6AA45DD3"/>
    <w:rsid w:val="6AA55B19"/>
    <w:rsid w:val="6AA638F9"/>
    <w:rsid w:val="6AA656A7"/>
    <w:rsid w:val="6AA67245"/>
    <w:rsid w:val="6AA838E9"/>
    <w:rsid w:val="6AA842CB"/>
    <w:rsid w:val="6AA85D1E"/>
    <w:rsid w:val="6AA933EA"/>
    <w:rsid w:val="6AA95198"/>
    <w:rsid w:val="6AAA3227"/>
    <w:rsid w:val="6AAB7162"/>
    <w:rsid w:val="6AAD4C88"/>
    <w:rsid w:val="6AAD6A36"/>
    <w:rsid w:val="6AAD7619"/>
    <w:rsid w:val="6AAE27AE"/>
    <w:rsid w:val="6AAF0A00"/>
    <w:rsid w:val="6AAF64E5"/>
    <w:rsid w:val="6AB02619"/>
    <w:rsid w:val="6AB204F0"/>
    <w:rsid w:val="6AB2229E"/>
    <w:rsid w:val="6AB26742"/>
    <w:rsid w:val="6AB3048C"/>
    <w:rsid w:val="6AB3203B"/>
    <w:rsid w:val="6AB4101F"/>
    <w:rsid w:val="6AB46016"/>
    <w:rsid w:val="6AB4760C"/>
    <w:rsid w:val="6AB54568"/>
    <w:rsid w:val="6AB558AA"/>
    <w:rsid w:val="6AB62D79"/>
    <w:rsid w:val="6AB861F0"/>
    <w:rsid w:val="6AB9122B"/>
    <w:rsid w:val="6AB92598"/>
    <w:rsid w:val="6AB976A5"/>
    <w:rsid w:val="6AB97AD1"/>
    <w:rsid w:val="6ABA7372"/>
    <w:rsid w:val="6ABA73A5"/>
    <w:rsid w:val="6ABB3575"/>
    <w:rsid w:val="6ABC4ECB"/>
    <w:rsid w:val="6ABE0C43"/>
    <w:rsid w:val="6ABF6769"/>
    <w:rsid w:val="6AC00878"/>
    <w:rsid w:val="6AC029BD"/>
    <w:rsid w:val="6AC05CCF"/>
    <w:rsid w:val="6AC20485"/>
    <w:rsid w:val="6AC302B4"/>
    <w:rsid w:val="6AC332E0"/>
    <w:rsid w:val="6AC36B8F"/>
    <w:rsid w:val="6AC374A9"/>
    <w:rsid w:val="6AC41FD2"/>
    <w:rsid w:val="6AC43F90"/>
    <w:rsid w:val="6AC46DB9"/>
    <w:rsid w:val="6AC56475"/>
    <w:rsid w:val="6AC56B8B"/>
    <w:rsid w:val="6AC911B3"/>
    <w:rsid w:val="6ACA3A8C"/>
    <w:rsid w:val="6ACA422B"/>
    <w:rsid w:val="6ACB0453"/>
    <w:rsid w:val="6ACB15B2"/>
    <w:rsid w:val="6ACC3540"/>
    <w:rsid w:val="6ACC47CD"/>
    <w:rsid w:val="6ACC7244"/>
    <w:rsid w:val="6ACD3714"/>
    <w:rsid w:val="6ACD4982"/>
    <w:rsid w:val="6ACD61E0"/>
    <w:rsid w:val="6AD0590A"/>
    <w:rsid w:val="6AD06BC8"/>
    <w:rsid w:val="6AD10AC7"/>
    <w:rsid w:val="6AD16271"/>
    <w:rsid w:val="6AD16620"/>
    <w:rsid w:val="6AD30444"/>
    <w:rsid w:val="6AD41F9F"/>
    <w:rsid w:val="6AD42215"/>
    <w:rsid w:val="6AD466B8"/>
    <w:rsid w:val="6AD5505D"/>
    <w:rsid w:val="6AD55D84"/>
    <w:rsid w:val="6AD55F8D"/>
    <w:rsid w:val="6AD8226F"/>
    <w:rsid w:val="6AD930B3"/>
    <w:rsid w:val="6AD95A7D"/>
    <w:rsid w:val="6AD961B8"/>
    <w:rsid w:val="6ADA35A3"/>
    <w:rsid w:val="6ADB2195"/>
    <w:rsid w:val="6ADC37BF"/>
    <w:rsid w:val="6ADC556D"/>
    <w:rsid w:val="6ADC731B"/>
    <w:rsid w:val="6ADE7537"/>
    <w:rsid w:val="6ADF0030"/>
    <w:rsid w:val="6ADF5DC1"/>
    <w:rsid w:val="6ADF5FF1"/>
    <w:rsid w:val="6AE01DFC"/>
    <w:rsid w:val="6AE121A5"/>
    <w:rsid w:val="6AE20869"/>
    <w:rsid w:val="6AE306AA"/>
    <w:rsid w:val="6AE4154C"/>
    <w:rsid w:val="6AE425C4"/>
    <w:rsid w:val="6AE461D0"/>
    <w:rsid w:val="6AE508C6"/>
    <w:rsid w:val="6AE527BF"/>
    <w:rsid w:val="6AE54D7A"/>
    <w:rsid w:val="6AE61F48"/>
    <w:rsid w:val="6AE76865"/>
    <w:rsid w:val="6AE82164"/>
    <w:rsid w:val="6AE956BD"/>
    <w:rsid w:val="6AEA7C8A"/>
    <w:rsid w:val="6AEC1D29"/>
    <w:rsid w:val="6AED32D6"/>
    <w:rsid w:val="6AEE2E69"/>
    <w:rsid w:val="6AEF52A0"/>
    <w:rsid w:val="6AF15E9A"/>
    <w:rsid w:val="6AF15F5D"/>
    <w:rsid w:val="6AF208ED"/>
    <w:rsid w:val="6AF24D91"/>
    <w:rsid w:val="6AF40C4A"/>
    <w:rsid w:val="6AF417DD"/>
    <w:rsid w:val="6AF428B7"/>
    <w:rsid w:val="6AF44665"/>
    <w:rsid w:val="6AF503DD"/>
    <w:rsid w:val="6AF604B6"/>
    <w:rsid w:val="6AF64881"/>
    <w:rsid w:val="6AF72426"/>
    <w:rsid w:val="6AF74F8C"/>
    <w:rsid w:val="6AF80215"/>
    <w:rsid w:val="6AF86D19"/>
    <w:rsid w:val="6AF91789"/>
    <w:rsid w:val="6AF9360B"/>
    <w:rsid w:val="6AF9380F"/>
    <w:rsid w:val="6AF97ECD"/>
    <w:rsid w:val="6AFB1E97"/>
    <w:rsid w:val="6AFB4997"/>
    <w:rsid w:val="6AFB72A1"/>
    <w:rsid w:val="6AFC003E"/>
    <w:rsid w:val="6AFC5C0F"/>
    <w:rsid w:val="6AFC79BD"/>
    <w:rsid w:val="6AFD0277"/>
    <w:rsid w:val="6AFF300A"/>
    <w:rsid w:val="6B00125C"/>
    <w:rsid w:val="6B006F44"/>
    <w:rsid w:val="6B013226"/>
    <w:rsid w:val="6B01695C"/>
    <w:rsid w:val="6B026193"/>
    <w:rsid w:val="6B030D4C"/>
    <w:rsid w:val="6B03797F"/>
    <w:rsid w:val="6B045B14"/>
    <w:rsid w:val="6B052831"/>
    <w:rsid w:val="6B054AEB"/>
    <w:rsid w:val="6B05583C"/>
    <w:rsid w:val="6B063B4E"/>
    <w:rsid w:val="6B065519"/>
    <w:rsid w:val="6B08141A"/>
    <w:rsid w:val="6B086362"/>
    <w:rsid w:val="6B087A61"/>
    <w:rsid w:val="6B0A032C"/>
    <w:rsid w:val="6B0A3DAB"/>
    <w:rsid w:val="6B0B4F62"/>
    <w:rsid w:val="6B0B5A11"/>
    <w:rsid w:val="6B0D3978"/>
    <w:rsid w:val="6B0E38E3"/>
    <w:rsid w:val="6B0E5F8F"/>
    <w:rsid w:val="6B0F76F1"/>
    <w:rsid w:val="6B101D1C"/>
    <w:rsid w:val="6B1116BB"/>
    <w:rsid w:val="6B120DF4"/>
    <w:rsid w:val="6B120F8F"/>
    <w:rsid w:val="6B1257F6"/>
    <w:rsid w:val="6B1271E1"/>
    <w:rsid w:val="6B142F59"/>
    <w:rsid w:val="6B146AB5"/>
    <w:rsid w:val="6B167357"/>
    <w:rsid w:val="6B170353"/>
    <w:rsid w:val="6B17075A"/>
    <w:rsid w:val="6B1747F7"/>
    <w:rsid w:val="6B1765A5"/>
    <w:rsid w:val="6B180CA7"/>
    <w:rsid w:val="6B19231D"/>
    <w:rsid w:val="6B1940CB"/>
    <w:rsid w:val="6B1B6095"/>
    <w:rsid w:val="6B1C058D"/>
    <w:rsid w:val="6B1C1518"/>
    <w:rsid w:val="6B1C1E0E"/>
    <w:rsid w:val="6B1C3823"/>
    <w:rsid w:val="6B1C51D6"/>
    <w:rsid w:val="6B1D005F"/>
    <w:rsid w:val="6B1E16E2"/>
    <w:rsid w:val="6B2034A7"/>
    <w:rsid w:val="6B22492A"/>
    <w:rsid w:val="6B225676"/>
    <w:rsid w:val="6B233E9C"/>
    <w:rsid w:val="6B243303"/>
    <w:rsid w:val="6B244679"/>
    <w:rsid w:val="6B250CC2"/>
    <w:rsid w:val="6B2632AB"/>
    <w:rsid w:val="6B26369A"/>
    <w:rsid w:val="6B264A3A"/>
    <w:rsid w:val="6B2667E8"/>
    <w:rsid w:val="6B272443"/>
    <w:rsid w:val="6B272C8C"/>
    <w:rsid w:val="6B2801F5"/>
    <w:rsid w:val="6B297E9B"/>
    <w:rsid w:val="6B2A606B"/>
    <w:rsid w:val="6B2B3DFF"/>
    <w:rsid w:val="6B2C02A3"/>
    <w:rsid w:val="6B2C2051"/>
    <w:rsid w:val="6B2F435D"/>
    <w:rsid w:val="6B2F7D93"/>
    <w:rsid w:val="6B314400"/>
    <w:rsid w:val="6B3233DF"/>
    <w:rsid w:val="6B3373AD"/>
    <w:rsid w:val="6B364C7D"/>
    <w:rsid w:val="6B376C47"/>
    <w:rsid w:val="6B3929BF"/>
    <w:rsid w:val="6B397A9B"/>
    <w:rsid w:val="6B3B6738"/>
    <w:rsid w:val="6B3D7BBB"/>
    <w:rsid w:val="6B3F57F2"/>
    <w:rsid w:val="6B403D4E"/>
    <w:rsid w:val="6B4078AA"/>
    <w:rsid w:val="6B413622"/>
    <w:rsid w:val="6B416685"/>
    <w:rsid w:val="6B427AC6"/>
    <w:rsid w:val="6B431148"/>
    <w:rsid w:val="6B4329B7"/>
    <w:rsid w:val="6B453112"/>
    <w:rsid w:val="6B454EC0"/>
    <w:rsid w:val="6B456D5E"/>
    <w:rsid w:val="6B481681"/>
    <w:rsid w:val="6B486D4F"/>
    <w:rsid w:val="6B490911"/>
    <w:rsid w:val="6B49106F"/>
    <w:rsid w:val="6B496A63"/>
    <w:rsid w:val="6B4976BC"/>
    <w:rsid w:val="6B4A5F5F"/>
    <w:rsid w:val="6B4B0C7C"/>
    <w:rsid w:val="6B4C3885"/>
    <w:rsid w:val="6B4D0219"/>
    <w:rsid w:val="6B4E7864"/>
    <w:rsid w:val="6B4F3947"/>
    <w:rsid w:val="6B4F5D3F"/>
    <w:rsid w:val="6B501411"/>
    <w:rsid w:val="6B512465"/>
    <w:rsid w:val="6B5143E2"/>
    <w:rsid w:val="6B516EE4"/>
    <w:rsid w:val="6B52582F"/>
    <w:rsid w:val="6B5275DD"/>
    <w:rsid w:val="6B5415A7"/>
    <w:rsid w:val="6B547490"/>
    <w:rsid w:val="6B5477F9"/>
    <w:rsid w:val="6B553344"/>
    <w:rsid w:val="6B555ED8"/>
    <w:rsid w:val="6B564C0B"/>
    <w:rsid w:val="6B5670CE"/>
    <w:rsid w:val="6B574BF4"/>
    <w:rsid w:val="6B576F98"/>
    <w:rsid w:val="6B581098"/>
    <w:rsid w:val="6B5925FD"/>
    <w:rsid w:val="6B594E10"/>
    <w:rsid w:val="6B5C045C"/>
    <w:rsid w:val="6B5C2B66"/>
    <w:rsid w:val="6B5E2426"/>
    <w:rsid w:val="6B5E41D4"/>
    <w:rsid w:val="6B5F343C"/>
    <w:rsid w:val="6B603C75"/>
    <w:rsid w:val="6B603D9F"/>
    <w:rsid w:val="6B6049EB"/>
    <w:rsid w:val="6B60619E"/>
    <w:rsid w:val="6B615D5C"/>
    <w:rsid w:val="6B621F16"/>
    <w:rsid w:val="6B625A72"/>
    <w:rsid w:val="6B6446DD"/>
    <w:rsid w:val="6B652C83"/>
    <w:rsid w:val="6B65599F"/>
    <w:rsid w:val="6B656040"/>
    <w:rsid w:val="6B657311"/>
    <w:rsid w:val="6B673089"/>
    <w:rsid w:val="6B673F81"/>
    <w:rsid w:val="6B685053"/>
    <w:rsid w:val="6B68572A"/>
    <w:rsid w:val="6B6970BF"/>
    <w:rsid w:val="6B6A0DCB"/>
    <w:rsid w:val="6B6A2B79"/>
    <w:rsid w:val="6B6A4927"/>
    <w:rsid w:val="6B6C069F"/>
    <w:rsid w:val="6B6C235F"/>
    <w:rsid w:val="6B6D0B8A"/>
    <w:rsid w:val="6B6E2157"/>
    <w:rsid w:val="6B6F5ECF"/>
    <w:rsid w:val="6B700A62"/>
    <w:rsid w:val="6B701B6E"/>
    <w:rsid w:val="6B710041"/>
    <w:rsid w:val="6B717934"/>
    <w:rsid w:val="6B72192C"/>
    <w:rsid w:val="6B731E10"/>
    <w:rsid w:val="6B735ED1"/>
    <w:rsid w:val="6B737C7F"/>
    <w:rsid w:val="6B7439F8"/>
    <w:rsid w:val="6B746569"/>
    <w:rsid w:val="6B760662"/>
    <w:rsid w:val="6B7632CC"/>
    <w:rsid w:val="6B79100E"/>
    <w:rsid w:val="6B7918A2"/>
    <w:rsid w:val="6B7A3154"/>
    <w:rsid w:val="6B7B3B2E"/>
    <w:rsid w:val="6B7C1223"/>
    <w:rsid w:val="6B7D10C1"/>
    <w:rsid w:val="6B7E6624"/>
    <w:rsid w:val="6B7F265D"/>
    <w:rsid w:val="6B800105"/>
    <w:rsid w:val="6B801E0C"/>
    <w:rsid w:val="6B80239C"/>
    <w:rsid w:val="6B802BD0"/>
    <w:rsid w:val="6B80601F"/>
    <w:rsid w:val="6B8068EB"/>
    <w:rsid w:val="6B827C66"/>
    <w:rsid w:val="6B827EC3"/>
    <w:rsid w:val="6B833C3B"/>
    <w:rsid w:val="6B8346DD"/>
    <w:rsid w:val="6B842586"/>
    <w:rsid w:val="6B843095"/>
    <w:rsid w:val="6B851761"/>
    <w:rsid w:val="6B8579B3"/>
    <w:rsid w:val="6B86377B"/>
    <w:rsid w:val="6B86698E"/>
    <w:rsid w:val="6B867FF7"/>
    <w:rsid w:val="6B8754D9"/>
    <w:rsid w:val="6B880F04"/>
    <w:rsid w:val="6B881251"/>
    <w:rsid w:val="6B882793"/>
    <w:rsid w:val="6B8974A3"/>
    <w:rsid w:val="6B8A4FC9"/>
    <w:rsid w:val="6B8A6D77"/>
    <w:rsid w:val="6B8B27B0"/>
    <w:rsid w:val="6B8B54C6"/>
    <w:rsid w:val="6B8B7888"/>
    <w:rsid w:val="6B8C3E9C"/>
    <w:rsid w:val="6B8D6867"/>
    <w:rsid w:val="6B8E4AB9"/>
    <w:rsid w:val="6B8F25DF"/>
    <w:rsid w:val="6B8F438D"/>
    <w:rsid w:val="6B90226A"/>
    <w:rsid w:val="6B902A0D"/>
    <w:rsid w:val="6B904FCA"/>
    <w:rsid w:val="6B910106"/>
    <w:rsid w:val="6B912EA7"/>
    <w:rsid w:val="6B916358"/>
    <w:rsid w:val="6B917708"/>
    <w:rsid w:val="6B923E7E"/>
    <w:rsid w:val="6B9246C9"/>
    <w:rsid w:val="6B924B8A"/>
    <w:rsid w:val="6B925EF4"/>
    <w:rsid w:val="6B935D64"/>
    <w:rsid w:val="6B9454A1"/>
    <w:rsid w:val="6B945E48"/>
    <w:rsid w:val="6B95350B"/>
    <w:rsid w:val="6B967876"/>
    <w:rsid w:val="6B987059"/>
    <w:rsid w:val="6B99345E"/>
    <w:rsid w:val="6B99351A"/>
    <w:rsid w:val="6B9A5EED"/>
    <w:rsid w:val="6B9B25F6"/>
    <w:rsid w:val="6B9B71D6"/>
    <w:rsid w:val="6B9C2C1E"/>
    <w:rsid w:val="6B9C561F"/>
    <w:rsid w:val="6B9D4CFC"/>
    <w:rsid w:val="6B9F6CC6"/>
    <w:rsid w:val="6BA03BC1"/>
    <w:rsid w:val="6BA047ED"/>
    <w:rsid w:val="6BA20E9F"/>
    <w:rsid w:val="6BA442DD"/>
    <w:rsid w:val="6BA5042F"/>
    <w:rsid w:val="6BA70FD1"/>
    <w:rsid w:val="6BA718AC"/>
    <w:rsid w:val="6BA77929"/>
    <w:rsid w:val="6BA8544F"/>
    <w:rsid w:val="6BA90BFA"/>
    <w:rsid w:val="6BA936A1"/>
    <w:rsid w:val="6BAA06C4"/>
    <w:rsid w:val="6BAA11C7"/>
    <w:rsid w:val="6BAA566B"/>
    <w:rsid w:val="6BAA5F82"/>
    <w:rsid w:val="6BAA7419"/>
    <w:rsid w:val="6BAB02B2"/>
    <w:rsid w:val="6BAB2E8F"/>
    <w:rsid w:val="6BAC13E3"/>
    <w:rsid w:val="6BAC3191"/>
    <w:rsid w:val="6BAD2A66"/>
    <w:rsid w:val="6BAE1754"/>
    <w:rsid w:val="6BAE6F0A"/>
    <w:rsid w:val="6BAF2C82"/>
    <w:rsid w:val="6BAF4A30"/>
    <w:rsid w:val="6BB008B4"/>
    <w:rsid w:val="6BB069DA"/>
    <w:rsid w:val="6BB115A3"/>
    <w:rsid w:val="6BB12556"/>
    <w:rsid w:val="6BB362CE"/>
    <w:rsid w:val="6BB42046"/>
    <w:rsid w:val="6BB64010"/>
    <w:rsid w:val="6BB81476"/>
    <w:rsid w:val="6BB81B36"/>
    <w:rsid w:val="6BB87D88"/>
    <w:rsid w:val="6BB9625E"/>
    <w:rsid w:val="6BB96EFA"/>
    <w:rsid w:val="6BBA3B00"/>
    <w:rsid w:val="6BC013F5"/>
    <w:rsid w:val="6BC02799"/>
    <w:rsid w:val="6BC04E8F"/>
    <w:rsid w:val="6BC06C3D"/>
    <w:rsid w:val="6BC24763"/>
    <w:rsid w:val="6BC30A2F"/>
    <w:rsid w:val="6BC4672D"/>
    <w:rsid w:val="6BC52172"/>
    <w:rsid w:val="6BC5314E"/>
    <w:rsid w:val="6BC62339"/>
    <w:rsid w:val="6BC76617"/>
    <w:rsid w:val="6BC8639A"/>
    <w:rsid w:val="6BC87414"/>
    <w:rsid w:val="6BC93D43"/>
    <w:rsid w:val="6BC95AF1"/>
    <w:rsid w:val="6BCA186A"/>
    <w:rsid w:val="6BCB40B0"/>
    <w:rsid w:val="6BCC3834"/>
    <w:rsid w:val="6BCD0AFC"/>
    <w:rsid w:val="6BCD6950"/>
    <w:rsid w:val="6BCD7F0D"/>
    <w:rsid w:val="6BCE07B8"/>
    <w:rsid w:val="6BCE4EB6"/>
    <w:rsid w:val="6BCE6619"/>
    <w:rsid w:val="6BCF4B2C"/>
    <w:rsid w:val="6BCF6E80"/>
    <w:rsid w:val="6BD03EBE"/>
    <w:rsid w:val="6BD050D2"/>
    <w:rsid w:val="6BD149A6"/>
    <w:rsid w:val="6BD34BC2"/>
    <w:rsid w:val="6BD3607E"/>
    <w:rsid w:val="6BD36970"/>
    <w:rsid w:val="6BD45F62"/>
    <w:rsid w:val="6BD46244"/>
    <w:rsid w:val="6BD6020E"/>
    <w:rsid w:val="6BD61E2E"/>
    <w:rsid w:val="6BD63967"/>
    <w:rsid w:val="6BD66460"/>
    <w:rsid w:val="6BD72DB0"/>
    <w:rsid w:val="6BD7311B"/>
    <w:rsid w:val="6BD800B6"/>
    <w:rsid w:val="6BD821D8"/>
    <w:rsid w:val="6BD86BFC"/>
    <w:rsid w:val="6BD9140C"/>
    <w:rsid w:val="6BD9385B"/>
    <w:rsid w:val="6BDA52E5"/>
    <w:rsid w:val="6BDA7CFF"/>
    <w:rsid w:val="6BDB5825"/>
    <w:rsid w:val="6BDF3567"/>
    <w:rsid w:val="6BDF7784"/>
    <w:rsid w:val="6BE12B8F"/>
    <w:rsid w:val="6BE1670A"/>
    <w:rsid w:val="6BE24E05"/>
    <w:rsid w:val="6BE558C2"/>
    <w:rsid w:val="6BE6340C"/>
    <w:rsid w:val="6BE64567"/>
    <w:rsid w:val="6BE648F5"/>
    <w:rsid w:val="6BE66E12"/>
    <w:rsid w:val="6BE75D87"/>
    <w:rsid w:val="6BE776E3"/>
    <w:rsid w:val="6BE82FF2"/>
    <w:rsid w:val="6BEB1F0C"/>
    <w:rsid w:val="6BEC7A32"/>
    <w:rsid w:val="6BED17F6"/>
    <w:rsid w:val="6BEE37AA"/>
    <w:rsid w:val="6BEE3A4B"/>
    <w:rsid w:val="6BEF2A94"/>
    <w:rsid w:val="6BF01691"/>
    <w:rsid w:val="6BF07522"/>
    <w:rsid w:val="6BF11ED7"/>
    <w:rsid w:val="6BF1329A"/>
    <w:rsid w:val="6BF32B6E"/>
    <w:rsid w:val="6BF3491C"/>
    <w:rsid w:val="6BF43F27"/>
    <w:rsid w:val="6BF444FA"/>
    <w:rsid w:val="6BF47D6A"/>
    <w:rsid w:val="6BF574DE"/>
    <w:rsid w:val="6BF60108"/>
    <w:rsid w:val="6BF61418"/>
    <w:rsid w:val="6BF65B3A"/>
    <w:rsid w:val="6BF66210"/>
    <w:rsid w:val="6BF719E8"/>
    <w:rsid w:val="6BF83D38"/>
    <w:rsid w:val="6BF84791"/>
    <w:rsid w:val="6BF93528"/>
    <w:rsid w:val="6BF95CAB"/>
    <w:rsid w:val="6BFA10DE"/>
    <w:rsid w:val="6BFA1E3D"/>
    <w:rsid w:val="6BFA3EFD"/>
    <w:rsid w:val="6BFA6658"/>
    <w:rsid w:val="6BFC0178"/>
    <w:rsid w:val="6BFC26E7"/>
    <w:rsid w:val="6BFF3EF0"/>
    <w:rsid w:val="6BFF4D39"/>
    <w:rsid w:val="6BFF7765"/>
    <w:rsid w:val="6C0024CA"/>
    <w:rsid w:val="6C007039"/>
    <w:rsid w:val="6C012E57"/>
    <w:rsid w:val="6C0240CA"/>
    <w:rsid w:val="6C026C68"/>
    <w:rsid w:val="6C03258C"/>
    <w:rsid w:val="6C042997"/>
    <w:rsid w:val="6C044D7B"/>
    <w:rsid w:val="6C050FB1"/>
    <w:rsid w:val="6C066D46"/>
    <w:rsid w:val="6C0703C8"/>
    <w:rsid w:val="6C0C59DE"/>
    <w:rsid w:val="6C0D4ACE"/>
    <w:rsid w:val="6C0E1756"/>
    <w:rsid w:val="6C0E5BFA"/>
    <w:rsid w:val="6C0F54CE"/>
    <w:rsid w:val="6C101972"/>
    <w:rsid w:val="6C105A58"/>
    <w:rsid w:val="6C114321"/>
    <w:rsid w:val="6C117498"/>
    <w:rsid w:val="6C120D78"/>
    <w:rsid w:val="6C133210"/>
    <w:rsid w:val="6C134FBF"/>
    <w:rsid w:val="6C151B75"/>
    <w:rsid w:val="6C153260"/>
    <w:rsid w:val="6C156F89"/>
    <w:rsid w:val="6C164AAF"/>
    <w:rsid w:val="6C170235"/>
    <w:rsid w:val="6C172D01"/>
    <w:rsid w:val="6C181BE1"/>
    <w:rsid w:val="6C182E42"/>
    <w:rsid w:val="6C184383"/>
    <w:rsid w:val="6C1A00FB"/>
    <w:rsid w:val="6C1A459F"/>
    <w:rsid w:val="6C1A56D6"/>
    <w:rsid w:val="6C1B1096"/>
    <w:rsid w:val="6C1D408F"/>
    <w:rsid w:val="6C1F3963"/>
    <w:rsid w:val="6C1F5711"/>
    <w:rsid w:val="6C1F7C61"/>
    <w:rsid w:val="6C20148A"/>
    <w:rsid w:val="6C202FE4"/>
    <w:rsid w:val="6C2076DB"/>
    <w:rsid w:val="6C2216A6"/>
    <w:rsid w:val="6C225FE0"/>
    <w:rsid w:val="6C240F7A"/>
    <w:rsid w:val="6C2471CC"/>
    <w:rsid w:val="6C264F8F"/>
    <w:rsid w:val="6C273310"/>
    <w:rsid w:val="6C27626F"/>
    <w:rsid w:val="6C28255B"/>
    <w:rsid w:val="6C2929C3"/>
    <w:rsid w:val="6C295737"/>
    <w:rsid w:val="6C296590"/>
    <w:rsid w:val="6C29676B"/>
    <w:rsid w:val="6C2B055A"/>
    <w:rsid w:val="6C2B1798"/>
    <w:rsid w:val="6C2B43C6"/>
    <w:rsid w:val="6C2B552F"/>
    <w:rsid w:val="6C2C1BEF"/>
    <w:rsid w:val="6C2C2C28"/>
    <w:rsid w:val="6C2C6080"/>
    <w:rsid w:val="6C2C7E2E"/>
    <w:rsid w:val="6C2D7D76"/>
    <w:rsid w:val="6C2F7D6E"/>
    <w:rsid w:val="6C305B70"/>
    <w:rsid w:val="6C3068CF"/>
    <w:rsid w:val="6C3078F9"/>
    <w:rsid w:val="6C3118E9"/>
    <w:rsid w:val="6C315445"/>
    <w:rsid w:val="6C333991"/>
    <w:rsid w:val="6C334E4B"/>
    <w:rsid w:val="6C335661"/>
    <w:rsid w:val="6C335C25"/>
    <w:rsid w:val="6C353187"/>
    <w:rsid w:val="6C375151"/>
    <w:rsid w:val="6C37655B"/>
    <w:rsid w:val="6C382C77"/>
    <w:rsid w:val="6C3867D3"/>
    <w:rsid w:val="6C3A079D"/>
    <w:rsid w:val="6C3A691C"/>
    <w:rsid w:val="6C3B1920"/>
    <w:rsid w:val="6C3B6B67"/>
    <w:rsid w:val="6C3C0FDC"/>
    <w:rsid w:val="6C3C271D"/>
    <w:rsid w:val="6C3C728A"/>
    <w:rsid w:val="6C3D104B"/>
    <w:rsid w:val="6C3D64DF"/>
    <w:rsid w:val="6C3F7B62"/>
    <w:rsid w:val="6C414D7A"/>
    <w:rsid w:val="6C417D7E"/>
    <w:rsid w:val="6C423AF6"/>
    <w:rsid w:val="6C4253CC"/>
    <w:rsid w:val="6C430C5F"/>
    <w:rsid w:val="6C43675E"/>
    <w:rsid w:val="6C4433CA"/>
    <w:rsid w:val="6C445178"/>
    <w:rsid w:val="6C4537CF"/>
    <w:rsid w:val="6C4663A0"/>
    <w:rsid w:val="6C472EBA"/>
    <w:rsid w:val="6C474ED5"/>
    <w:rsid w:val="6C4909E0"/>
    <w:rsid w:val="6C4D52B9"/>
    <w:rsid w:val="6C4E7302"/>
    <w:rsid w:val="6C4F5FC2"/>
    <w:rsid w:val="6C501D6F"/>
    <w:rsid w:val="6C504EFF"/>
    <w:rsid w:val="6C506213"/>
    <w:rsid w:val="6C511D71"/>
    <w:rsid w:val="6C53185F"/>
    <w:rsid w:val="6C537AB1"/>
    <w:rsid w:val="6C557385"/>
    <w:rsid w:val="6C5661CD"/>
    <w:rsid w:val="6C580C23"/>
    <w:rsid w:val="6C586E75"/>
    <w:rsid w:val="6C5A2256"/>
    <w:rsid w:val="6C5A2BED"/>
    <w:rsid w:val="6C5B6D25"/>
    <w:rsid w:val="6C5C6966"/>
    <w:rsid w:val="6C5D0692"/>
    <w:rsid w:val="6C5D26DE"/>
    <w:rsid w:val="6C5D2C06"/>
    <w:rsid w:val="6C5D34BF"/>
    <w:rsid w:val="6C5D448C"/>
    <w:rsid w:val="6C5F0204"/>
    <w:rsid w:val="6C5F1B48"/>
    <w:rsid w:val="6C5F6F46"/>
    <w:rsid w:val="6C6003D6"/>
    <w:rsid w:val="6C601698"/>
    <w:rsid w:val="6C6069DB"/>
    <w:rsid w:val="6C612FA7"/>
    <w:rsid w:val="6C625530"/>
    <w:rsid w:val="6C634B51"/>
    <w:rsid w:val="6C636830"/>
    <w:rsid w:val="6C643A6C"/>
    <w:rsid w:val="6C643F4C"/>
    <w:rsid w:val="6C64581A"/>
    <w:rsid w:val="6C664B8B"/>
    <w:rsid w:val="6C6677E4"/>
    <w:rsid w:val="6C67530A"/>
    <w:rsid w:val="6C691082"/>
    <w:rsid w:val="6C692464"/>
    <w:rsid w:val="6C6972D4"/>
    <w:rsid w:val="6C697FF8"/>
    <w:rsid w:val="6C6A0E2B"/>
    <w:rsid w:val="6C6A11DD"/>
    <w:rsid w:val="6C6A2BC9"/>
    <w:rsid w:val="6C6B2319"/>
    <w:rsid w:val="6C6B4DFB"/>
    <w:rsid w:val="6C6B6BA9"/>
    <w:rsid w:val="6C6D4DEE"/>
    <w:rsid w:val="6C700A4B"/>
    <w:rsid w:val="6C705F6D"/>
    <w:rsid w:val="6C72551B"/>
    <w:rsid w:val="6C7317A9"/>
    <w:rsid w:val="6C731F01"/>
    <w:rsid w:val="6C734308"/>
    <w:rsid w:val="6C735A5D"/>
    <w:rsid w:val="6C745625"/>
    <w:rsid w:val="6C75116C"/>
    <w:rsid w:val="6C7517D5"/>
    <w:rsid w:val="6C755C79"/>
    <w:rsid w:val="6C756BFF"/>
    <w:rsid w:val="6C757A27"/>
    <w:rsid w:val="6C767F1C"/>
    <w:rsid w:val="6C77379F"/>
    <w:rsid w:val="6C77554D"/>
    <w:rsid w:val="6C775C71"/>
    <w:rsid w:val="6C784FAC"/>
    <w:rsid w:val="6C79122E"/>
    <w:rsid w:val="6C792BC7"/>
    <w:rsid w:val="6C7A0F7D"/>
    <w:rsid w:val="6C7A6EA4"/>
    <w:rsid w:val="6C7B425B"/>
    <w:rsid w:val="6C7C0DB6"/>
    <w:rsid w:val="6C7C7008"/>
    <w:rsid w:val="6C7D4B2E"/>
    <w:rsid w:val="6C7D68DC"/>
    <w:rsid w:val="6C7F08A6"/>
    <w:rsid w:val="6C7F2654"/>
    <w:rsid w:val="6C805D14"/>
    <w:rsid w:val="6C810E50"/>
    <w:rsid w:val="6C81461E"/>
    <w:rsid w:val="6C823EF2"/>
    <w:rsid w:val="6C830396"/>
    <w:rsid w:val="6C832144"/>
    <w:rsid w:val="6C861C34"/>
    <w:rsid w:val="6C8638AE"/>
    <w:rsid w:val="6C865790"/>
    <w:rsid w:val="6C866306"/>
    <w:rsid w:val="6C871509"/>
    <w:rsid w:val="6C8824A7"/>
    <w:rsid w:val="6C8859AD"/>
    <w:rsid w:val="6C8940BD"/>
    <w:rsid w:val="6C89702F"/>
    <w:rsid w:val="6C8A2758"/>
    <w:rsid w:val="6C8A3643"/>
    <w:rsid w:val="6C8A6C5B"/>
    <w:rsid w:val="6C8C2D21"/>
    <w:rsid w:val="6C8C6B1F"/>
    <w:rsid w:val="6C8E0AE9"/>
    <w:rsid w:val="6C8E1FC4"/>
    <w:rsid w:val="6C8E2897"/>
    <w:rsid w:val="6C9078D2"/>
    <w:rsid w:val="6C913B7D"/>
    <w:rsid w:val="6C9205D9"/>
    <w:rsid w:val="6C920694"/>
    <w:rsid w:val="6C944351"/>
    <w:rsid w:val="6C9500C9"/>
    <w:rsid w:val="6C9505C3"/>
    <w:rsid w:val="6C951E77"/>
    <w:rsid w:val="6C952FB6"/>
    <w:rsid w:val="6C953C26"/>
    <w:rsid w:val="6C967015"/>
    <w:rsid w:val="6C97799E"/>
    <w:rsid w:val="6C991968"/>
    <w:rsid w:val="6C992984"/>
    <w:rsid w:val="6C9970D7"/>
    <w:rsid w:val="6C9A0567"/>
    <w:rsid w:val="6C9A123C"/>
    <w:rsid w:val="6C9C4FB4"/>
    <w:rsid w:val="6C9C6D62"/>
    <w:rsid w:val="6C9D0D2C"/>
    <w:rsid w:val="6C9D2ADA"/>
    <w:rsid w:val="6C9D57E9"/>
    <w:rsid w:val="6C9F2CF6"/>
    <w:rsid w:val="6C9F6852"/>
    <w:rsid w:val="6CA16A6E"/>
    <w:rsid w:val="6CA200F0"/>
    <w:rsid w:val="6CA2619A"/>
    <w:rsid w:val="6CA36342"/>
    <w:rsid w:val="6CA4030D"/>
    <w:rsid w:val="6CA420BB"/>
    <w:rsid w:val="6CA47FBA"/>
    <w:rsid w:val="6CA64085"/>
    <w:rsid w:val="6CA87DFD"/>
    <w:rsid w:val="6CA9147F"/>
    <w:rsid w:val="6CA975D8"/>
    <w:rsid w:val="6CAA2B0F"/>
    <w:rsid w:val="6CAA3CC8"/>
    <w:rsid w:val="6CAA5C57"/>
    <w:rsid w:val="6CAC115A"/>
    <w:rsid w:val="6CAE1239"/>
    <w:rsid w:val="6CAE4CE7"/>
    <w:rsid w:val="6CAF0FBB"/>
    <w:rsid w:val="6CAF37AD"/>
    <w:rsid w:val="6CB06CB1"/>
    <w:rsid w:val="6CB165AA"/>
    <w:rsid w:val="6CB21B13"/>
    <w:rsid w:val="6CB22A29"/>
    <w:rsid w:val="6CB23083"/>
    <w:rsid w:val="6CB308C1"/>
    <w:rsid w:val="6CB467A2"/>
    <w:rsid w:val="6CB609E9"/>
    <w:rsid w:val="6CB70040"/>
    <w:rsid w:val="6CB75F8B"/>
    <w:rsid w:val="6CB85085"/>
    <w:rsid w:val="6CB95B66"/>
    <w:rsid w:val="6CB9704C"/>
    <w:rsid w:val="6CB97B51"/>
    <w:rsid w:val="6CBA368C"/>
    <w:rsid w:val="6CBC009E"/>
    <w:rsid w:val="6CBC7B76"/>
    <w:rsid w:val="6CBD1336"/>
    <w:rsid w:val="6CBE0242"/>
    <w:rsid w:val="6CC07CD2"/>
    <w:rsid w:val="6CC162E3"/>
    <w:rsid w:val="6CC367E6"/>
    <w:rsid w:val="6CC369E5"/>
    <w:rsid w:val="6CC462B9"/>
    <w:rsid w:val="6CC46B03"/>
    <w:rsid w:val="6CC60CEF"/>
    <w:rsid w:val="6CC72155"/>
    <w:rsid w:val="6CC85DA9"/>
    <w:rsid w:val="6CC87B57"/>
    <w:rsid w:val="6CCB06CC"/>
    <w:rsid w:val="6CCB58C1"/>
    <w:rsid w:val="6CCB7647"/>
    <w:rsid w:val="6CCC1552"/>
    <w:rsid w:val="6CCD7863"/>
    <w:rsid w:val="6CCE0EE6"/>
    <w:rsid w:val="6CCE6E10"/>
    <w:rsid w:val="6CCF08E7"/>
    <w:rsid w:val="6CCF2381"/>
    <w:rsid w:val="6CD00EFE"/>
    <w:rsid w:val="6CD06CF5"/>
    <w:rsid w:val="6CD14E74"/>
    <w:rsid w:val="6CD209D6"/>
    <w:rsid w:val="6CD26C28"/>
    <w:rsid w:val="6CD429A0"/>
    <w:rsid w:val="6CD56718"/>
    <w:rsid w:val="6CD62057"/>
    <w:rsid w:val="6CD6372C"/>
    <w:rsid w:val="6CD6710B"/>
    <w:rsid w:val="6CD70509"/>
    <w:rsid w:val="6CD71B3D"/>
    <w:rsid w:val="6CD7423E"/>
    <w:rsid w:val="6CD75FEC"/>
    <w:rsid w:val="6CD81D64"/>
    <w:rsid w:val="6CD96208"/>
    <w:rsid w:val="6CDA091B"/>
    <w:rsid w:val="6CDB1A5B"/>
    <w:rsid w:val="6CDB7A41"/>
    <w:rsid w:val="6CDC1854"/>
    <w:rsid w:val="6CDC3F79"/>
    <w:rsid w:val="6CDC6F8F"/>
    <w:rsid w:val="6CDC7AA6"/>
    <w:rsid w:val="6CDE515E"/>
    <w:rsid w:val="6CDE55CC"/>
    <w:rsid w:val="6CDE59F2"/>
    <w:rsid w:val="6CE0012B"/>
    <w:rsid w:val="6CE05016"/>
    <w:rsid w:val="6CE06E5E"/>
    <w:rsid w:val="6CE07597"/>
    <w:rsid w:val="6CE16E6B"/>
    <w:rsid w:val="6CE32BE3"/>
    <w:rsid w:val="6CE33FE7"/>
    <w:rsid w:val="6CE35978"/>
    <w:rsid w:val="6CE5168F"/>
    <w:rsid w:val="6CE556DE"/>
    <w:rsid w:val="6CE801F9"/>
    <w:rsid w:val="6CE87DC7"/>
    <w:rsid w:val="6CEB1A97"/>
    <w:rsid w:val="6CED3A62"/>
    <w:rsid w:val="6CED491F"/>
    <w:rsid w:val="6CED5810"/>
    <w:rsid w:val="6CEF0BB5"/>
    <w:rsid w:val="6CEF65C7"/>
    <w:rsid w:val="6CF04512"/>
    <w:rsid w:val="6CF070AE"/>
    <w:rsid w:val="6CF103CF"/>
    <w:rsid w:val="6CF218E5"/>
    <w:rsid w:val="6CF26837"/>
    <w:rsid w:val="6CF272CA"/>
    <w:rsid w:val="6CF3094C"/>
    <w:rsid w:val="6CF46B9E"/>
    <w:rsid w:val="6CF51963"/>
    <w:rsid w:val="6CF748E0"/>
    <w:rsid w:val="6CF80313"/>
    <w:rsid w:val="6CF80F83"/>
    <w:rsid w:val="6CF90658"/>
    <w:rsid w:val="6CF95D71"/>
    <w:rsid w:val="6CFA59CE"/>
    <w:rsid w:val="6CFC3CA5"/>
    <w:rsid w:val="6CFF5543"/>
    <w:rsid w:val="6D006E3F"/>
    <w:rsid w:val="6D014446"/>
    <w:rsid w:val="6D01750D"/>
    <w:rsid w:val="6D033D14"/>
    <w:rsid w:val="6D036DE1"/>
    <w:rsid w:val="6D046189"/>
    <w:rsid w:val="6D051540"/>
    <w:rsid w:val="6D056FFD"/>
    <w:rsid w:val="6D06067F"/>
    <w:rsid w:val="6D064B23"/>
    <w:rsid w:val="6D0668D1"/>
    <w:rsid w:val="6D08089B"/>
    <w:rsid w:val="6D082649"/>
    <w:rsid w:val="6D0843F7"/>
    <w:rsid w:val="6D090170"/>
    <w:rsid w:val="6D093028"/>
    <w:rsid w:val="6D0936FF"/>
    <w:rsid w:val="6D0965B0"/>
    <w:rsid w:val="6D0A5C03"/>
    <w:rsid w:val="6D0B038C"/>
    <w:rsid w:val="6D0D0727"/>
    <w:rsid w:val="6D0D1A0E"/>
    <w:rsid w:val="6D0D4104"/>
    <w:rsid w:val="6D0D5EB2"/>
    <w:rsid w:val="6D0F38CF"/>
    <w:rsid w:val="6D0F39D8"/>
    <w:rsid w:val="6D1030E7"/>
    <w:rsid w:val="6D116D6A"/>
    <w:rsid w:val="6D1241D7"/>
    <w:rsid w:val="6D13515D"/>
    <w:rsid w:val="6D141897"/>
    <w:rsid w:val="6D147240"/>
    <w:rsid w:val="6D156B14"/>
    <w:rsid w:val="6D16450C"/>
    <w:rsid w:val="6D170ADE"/>
    <w:rsid w:val="6D17288C"/>
    <w:rsid w:val="6D176247"/>
    <w:rsid w:val="6D192AA9"/>
    <w:rsid w:val="6D19440C"/>
    <w:rsid w:val="6D194857"/>
    <w:rsid w:val="6D196D3D"/>
    <w:rsid w:val="6D1A412B"/>
    <w:rsid w:val="6D1D6C3D"/>
    <w:rsid w:val="6D1E41A1"/>
    <w:rsid w:val="6D1F5748"/>
    <w:rsid w:val="6D203026"/>
    <w:rsid w:val="6D205BE5"/>
    <w:rsid w:val="6D21161F"/>
    <w:rsid w:val="6D21389F"/>
    <w:rsid w:val="6D2154B9"/>
    <w:rsid w:val="6D2233EA"/>
    <w:rsid w:val="6D224661"/>
    <w:rsid w:val="6D2356D5"/>
    <w:rsid w:val="6D237483"/>
    <w:rsid w:val="6D25144D"/>
    <w:rsid w:val="6D2531FB"/>
    <w:rsid w:val="6D260D22"/>
    <w:rsid w:val="6D282CEC"/>
    <w:rsid w:val="6D282FE3"/>
    <w:rsid w:val="6D2854C7"/>
    <w:rsid w:val="6D286DCC"/>
    <w:rsid w:val="6D2941FD"/>
    <w:rsid w:val="6D2A6A64"/>
    <w:rsid w:val="6D2B26D1"/>
    <w:rsid w:val="6D2C4F2B"/>
    <w:rsid w:val="6D2D0302"/>
    <w:rsid w:val="6D2D296A"/>
    <w:rsid w:val="6D2D3E5E"/>
    <w:rsid w:val="6D2F3A59"/>
    <w:rsid w:val="6D2F407A"/>
    <w:rsid w:val="6D2F5E28"/>
    <w:rsid w:val="6D301BA0"/>
    <w:rsid w:val="6D321474"/>
    <w:rsid w:val="6D323B6A"/>
    <w:rsid w:val="6D325918"/>
    <w:rsid w:val="6D3451EC"/>
    <w:rsid w:val="6D3565DE"/>
    <w:rsid w:val="6D361D58"/>
    <w:rsid w:val="6D3671B7"/>
    <w:rsid w:val="6D3723BF"/>
    <w:rsid w:val="6D374B9D"/>
    <w:rsid w:val="6D374CDD"/>
    <w:rsid w:val="6D375D57"/>
    <w:rsid w:val="6D390A55"/>
    <w:rsid w:val="6D392725"/>
    <w:rsid w:val="6D394EF9"/>
    <w:rsid w:val="6D395B76"/>
    <w:rsid w:val="6D3A657B"/>
    <w:rsid w:val="6D3B47CD"/>
    <w:rsid w:val="6D3C22F3"/>
    <w:rsid w:val="6D3C6797"/>
    <w:rsid w:val="6D3D1CF8"/>
    <w:rsid w:val="6D3E2B25"/>
    <w:rsid w:val="6D3E39BA"/>
    <w:rsid w:val="6D3E42BD"/>
    <w:rsid w:val="6D3E6ACC"/>
    <w:rsid w:val="6D3F3B91"/>
    <w:rsid w:val="6D400035"/>
    <w:rsid w:val="6D413DAD"/>
    <w:rsid w:val="6D415B5B"/>
    <w:rsid w:val="6D415F70"/>
    <w:rsid w:val="6D417909"/>
    <w:rsid w:val="6D421E53"/>
    <w:rsid w:val="6D430958"/>
    <w:rsid w:val="6D4332A9"/>
    <w:rsid w:val="6D434C31"/>
    <w:rsid w:val="6D4359E9"/>
    <w:rsid w:val="6D435F04"/>
    <w:rsid w:val="6D45389E"/>
    <w:rsid w:val="6D4571A8"/>
    <w:rsid w:val="6D464F20"/>
    <w:rsid w:val="6D466420"/>
    <w:rsid w:val="6D486EEA"/>
    <w:rsid w:val="6D4B0D11"/>
    <w:rsid w:val="6D4B2536"/>
    <w:rsid w:val="6D4D08DE"/>
    <w:rsid w:val="6D4D3E01"/>
    <w:rsid w:val="6D4D4308"/>
    <w:rsid w:val="6D4D62AE"/>
    <w:rsid w:val="6D4F64CA"/>
    <w:rsid w:val="6D50024D"/>
    <w:rsid w:val="6D513FF0"/>
    <w:rsid w:val="6D5142D6"/>
    <w:rsid w:val="6D515B2D"/>
    <w:rsid w:val="6D5238C5"/>
    <w:rsid w:val="6D5318DD"/>
    <w:rsid w:val="6D53301E"/>
    <w:rsid w:val="6D53785E"/>
    <w:rsid w:val="6D55593E"/>
    <w:rsid w:val="6D566873"/>
    <w:rsid w:val="6D5706E5"/>
    <w:rsid w:val="6D5835D1"/>
    <w:rsid w:val="6D590A0C"/>
    <w:rsid w:val="6D5910F7"/>
    <w:rsid w:val="6D594C53"/>
    <w:rsid w:val="6D5955CE"/>
    <w:rsid w:val="6D5A24B5"/>
    <w:rsid w:val="6D5A453F"/>
    <w:rsid w:val="6D5B4E6F"/>
    <w:rsid w:val="6D5C1F6E"/>
    <w:rsid w:val="6D5C2C40"/>
    <w:rsid w:val="6D5C347A"/>
    <w:rsid w:val="6D5C4743"/>
    <w:rsid w:val="6D5C77C5"/>
    <w:rsid w:val="6D5E7E22"/>
    <w:rsid w:val="6D604233"/>
    <w:rsid w:val="6D610C89"/>
    <w:rsid w:val="6D611149"/>
    <w:rsid w:val="6D616BAD"/>
    <w:rsid w:val="6D627D1F"/>
    <w:rsid w:val="6D630A0D"/>
    <w:rsid w:val="6D6313D2"/>
    <w:rsid w:val="6D6317C4"/>
    <w:rsid w:val="6D631F76"/>
    <w:rsid w:val="6D633D24"/>
    <w:rsid w:val="6D635AD2"/>
    <w:rsid w:val="6D643FA3"/>
    <w:rsid w:val="6D65184A"/>
    <w:rsid w:val="6D6535F8"/>
    <w:rsid w:val="6D655CEE"/>
    <w:rsid w:val="6D662289"/>
    <w:rsid w:val="6D6655C2"/>
    <w:rsid w:val="6D665A71"/>
    <w:rsid w:val="6D6668C3"/>
    <w:rsid w:val="6D667370"/>
    <w:rsid w:val="6D6830E8"/>
    <w:rsid w:val="6D685CC0"/>
    <w:rsid w:val="6D685D34"/>
    <w:rsid w:val="6D692CCA"/>
    <w:rsid w:val="6D6A50B2"/>
    <w:rsid w:val="6D6A6E60"/>
    <w:rsid w:val="6D6C0E2A"/>
    <w:rsid w:val="6D6C2639"/>
    <w:rsid w:val="6D6C6555"/>
    <w:rsid w:val="6D6D4BA2"/>
    <w:rsid w:val="6D7139D6"/>
    <w:rsid w:val="6D7158E3"/>
    <w:rsid w:val="6D7165A7"/>
    <w:rsid w:val="6D725D15"/>
    <w:rsid w:val="6D742357"/>
    <w:rsid w:val="6D74375D"/>
    <w:rsid w:val="6D743A98"/>
    <w:rsid w:val="6D765805"/>
    <w:rsid w:val="6D793547"/>
    <w:rsid w:val="6D7B106D"/>
    <w:rsid w:val="6D7B2E1B"/>
    <w:rsid w:val="6D7B7659"/>
    <w:rsid w:val="6D7D1F79"/>
    <w:rsid w:val="6D7D631A"/>
    <w:rsid w:val="6D7E0B5E"/>
    <w:rsid w:val="6D7E40C6"/>
    <w:rsid w:val="6D7F1458"/>
    <w:rsid w:val="6D7F59AF"/>
    <w:rsid w:val="6D8141AA"/>
    <w:rsid w:val="6D82064E"/>
    <w:rsid w:val="6D8223FC"/>
    <w:rsid w:val="6D825D40"/>
    <w:rsid w:val="6D840DA7"/>
    <w:rsid w:val="6D8433DC"/>
    <w:rsid w:val="6D851EEC"/>
    <w:rsid w:val="6D853C9A"/>
    <w:rsid w:val="6D855A48"/>
    <w:rsid w:val="6D857E94"/>
    <w:rsid w:val="6D870701"/>
    <w:rsid w:val="6D883F20"/>
    <w:rsid w:val="6D893768"/>
    <w:rsid w:val="6D8C146F"/>
    <w:rsid w:val="6D8D0DA1"/>
    <w:rsid w:val="6D8D15BF"/>
    <w:rsid w:val="6D8F2D6B"/>
    <w:rsid w:val="6D8F4B19"/>
    <w:rsid w:val="6D8F68C7"/>
    <w:rsid w:val="6D902343"/>
    <w:rsid w:val="6D92457A"/>
    <w:rsid w:val="6D9258E0"/>
    <w:rsid w:val="6D934609"/>
    <w:rsid w:val="6D940381"/>
    <w:rsid w:val="6D946233"/>
    <w:rsid w:val="6D947C84"/>
    <w:rsid w:val="6D970FE2"/>
    <w:rsid w:val="6D9712CB"/>
    <w:rsid w:val="6D97577B"/>
    <w:rsid w:val="6D9914F3"/>
    <w:rsid w:val="6D995997"/>
    <w:rsid w:val="6D9A0922"/>
    <w:rsid w:val="6D9A2F69"/>
    <w:rsid w:val="6D9B0363"/>
    <w:rsid w:val="6D9B170F"/>
    <w:rsid w:val="6D9E3E83"/>
    <w:rsid w:val="6D9E4D5C"/>
    <w:rsid w:val="6D9E7208"/>
    <w:rsid w:val="6DA22A9E"/>
    <w:rsid w:val="6DA3008D"/>
    <w:rsid w:val="6DA32FCD"/>
    <w:rsid w:val="6DA34120"/>
    <w:rsid w:val="6DA46816"/>
    <w:rsid w:val="6DA560EA"/>
    <w:rsid w:val="6DA57B8C"/>
    <w:rsid w:val="6DA57E98"/>
    <w:rsid w:val="6DA72AAD"/>
    <w:rsid w:val="6DA73A0C"/>
    <w:rsid w:val="6DA73C10"/>
    <w:rsid w:val="6DA77DB7"/>
    <w:rsid w:val="6DA830B4"/>
    <w:rsid w:val="6DA852E7"/>
    <w:rsid w:val="6DA87988"/>
    <w:rsid w:val="6DA93E2C"/>
    <w:rsid w:val="6DAA06CE"/>
    <w:rsid w:val="6DAA3701"/>
    <w:rsid w:val="6DAA5DD9"/>
    <w:rsid w:val="6DAB2C8F"/>
    <w:rsid w:val="6DAB4AE9"/>
    <w:rsid w:val="6DAB4FF7"/>
    <w:rsid w:val="6DAB6738"/>
    <w:rsid w:val="6DAC1227"/>
    <w:rsid w:val="6DAC56CB"/>
    <w:rsid w:val="6DAC7479"/>
    <w:rsid w:val="6DAD4F9F"/>
    <w:rsid w:val="6DAE1443"/>
    <w:rsid w:val="6DAF40A7"/>
    <w:rsid w:val="6DAF4E08"/>
    <w:rsid w:val="6DB04ECC"/>
    <w:rsid w:val="6DB109FC"/>
    <w:rsid w:val="6DB225B5"/>
    <w:rsid w:val="6DB30807"/>
    <w:rsid w:val="6DB41CFE"/>
    <w:rsid w:val="6DB427D1"/>
    <w:rsid w:val="6DB4457F"/>
    <w:rsid w:val="6DB60582"/>
    <w:rsid w:val="6DB620A5"/>
    <w:rsid w:val="6DB66549"/>
    <w:rsid w:val="6DB706FA"/>
    <w:rsid w:val="6DB77BCC"/>
    <w:rsid w:val="6DB82CD5"/>
    <w:rsid w:val="6DB8406F"/>
    <w:rsid w:val="6DB90077"/>
    <w:rsid w:val="6DB909C0"/>
    <w:rsid w:val="6DB91B96"/>
    <w:rsid w:val="6DB93DC2"/>
    <w:rsid w:val="6DBB590E"/>
    <w:rsid w:val="6DBB76BC"/>
    <w:rsid w:val="6DBC5F7C"/>
    <w:rsid w:val="6DBD1686"/>
    <w:rsid w:val="6DBD3434"/>
    <w:rsid w:val="6DBD7DB0"/>
    <w:rsid w:val="6DBF603E"/>
    <w:rsid w:val="6DC1044B"/>
    <w:rsid w:val="6DC14B52"/>
    <w:rsid w:val="6DC2475E"/>
    <w:rsid w:val="6DC24EEE"/>
    <w:rsid w:val="6DC2525F"/>
    <w:rsid w:val="6DC42A14"/>
    <w:rsid w:val="6DC47772"/>
    <w:rsid w:val="6DC510DE"/>
    <w:rsid w:val="6DC5678C"/>
    <w:rsid w:val="6DC63E68"/>
    <w:rsid w:val="6DC72505"/>
    <w:rsid w:val="6DC725F3"/>
    <w:rsid w:val="6DC7308F"/>
    <w:rsid w:val="6DC81AF3"/>
    <w:rsid w:val="6DC81DD9"/>
    <w:rsid w:val="6DC82F1B"/>
    <w:rsid w:val="6DC91CC0"/>
    <w:rsid w:val="6DC968CB"/>
    <w:rsid w:val="6DCA6AC4"/>
    <w:rsid w:val="6DCC3677"/>
    <w:rsid w:val="6DCC7B1B"/>
    <w:rsid w:val="6DCD03A3"/>
    <w:rsid w:val="6DCD1AD1"/>
    <w:rsid w:val="6DCD73EF"/>
    <w:rsid w:val="6DCF2230"/>
    <w:rsid w:val="6DCF3167"/>
    <w:rsid w:val="6DCF5E50"/>
    <w:rsid w:val="6DD025FD"/>
    <w:rsid w:val="6DD062D9"/>
    <w:rsid w:val="6DD16EDF"/>
    <w:rsid w:val="6DD30C27"/>
    <w:rsid w:val="6DD37C6F"/>
    <w:rsid w:val="6DD469CF"/>
    <w:rsid w:val="6DD62748"/>
    <w:rsid w:val="6DD662A4"/>
    <w:rsid w:val="6DD778D7"/>
    <w:rsid w:val="6DD8201C"/>
    <w:rsid w:val="6DD84A0A"/>
    <w:rsid w:val="6DD91E56"/>
    <w:rsid w:val="6DD938F0"/>
    <w:rsid w:val="6DDA0282"/>
    <w:rsid w:val="6DDA7EBD"/>
    <w:rsid w:val="6DDB1B0C"/>
    <w:rsid w:val="6DDB2994"/>
    <w:rsid w:val="6DDB7D5E"/>
    <w:rsid w:val="6DDC4E16"/>
    <w:rsid w:val="6DDD3AD6"/>
    <w:rsid w:val="6DDE33AA"/>
    <w:rsid w:val="6DDE5180"/>
    <w:rsid w:val="6DDF41ED"/>
    <w:rsid w:val="6DDF7670"/>
    <w:rsid w:val="6DE00E8F"/>
    <w:rsid w:val="6DE33CF7"/>
    <w:rsid w:val="6DE365A2"/>
    <w:rsid w:val="6DE40496"/>
    <w:rsid w:val="6DE50FEC"/>
    <w:rsid w:val="6DE54739"/>
    <w:rsid w:val="6DE54893"/>
    <w:rsid w:val="6DE62C41"/>
    <w:rsid w:val="6DE63B04"/>
    <w:rsid w:val="6DE76703"/>
    <w:rsid w:val="6DE93238"/>
    <w:rsid w:val="6DEA5F3A"/>
    <w:rsid w:val="6DEA61F3"/>
    <w:rsid w:val="6DEA7FA1"/>
    <w:rsid w:val="6DEB2C30"/>
    <w:rsid w:val="6DEC2A36"/>
    <w:rsid w:val="6DEF55B7"/>
    <w:rsid w:val="6DEF7365"/>
    <w:rsid w:val="6DF0393A"/>
    <w:rsid w:val="6DF130DE"/>
    <w:rsid w:val="6DF27FD2"/>
    <w:rsid w:val="6DF332FA"/>
    <w:rsid w:val="6DF429D9"/>
    <w:rsid w:val="6DF45EF8"/>
    <w:rsid w:val="6DF606F4"/>
    <w:rsid w:val="6DF64C2E"/>
    <w:rsid w:val="6DF8036A"/>
    <w:rsid w:val="6DF80F7B"/>
    <w:rsid w:val="6DF8195D"/>
    <w:rsid w:val="6DF922E9"/>
    <w:rsid w:val="6DFA4688"/>
    <w:rsid w:val="6DFA6436"/>
    <w:rsid w:val="6DFA710C"/>
    <w:rsid w:val="6DFB0A7C"/>
    <w:rsid w:val="6DFB21AE"/>
    <w:rsid w:val="6DFC24C4"/>
    <w:rsid w:val="6DFD7CD4"/>
    <w:rsid w:val="6DFE4BA6"/>
    <w:rsid w:val="6DFE6EB1"/>
    <w:rsid w:val="6DFF075C"/>
    <w:rsid w:val="6DFF1C9E"/>
    <w:rsid w:val="6E011BB8"/>
    <w:rsid w:val="6E014552"/>
    <w:rsid w:val="6E02184D"/>
    <w:rsid w:val="6E0252EB"/>
    <w:rsid w:val="6E037D76"/>
    <w:rsid w:val="6E041063"/>
    <w:rsid w:val="6E045272"/>
    <w:rsid w:val="6E056230"/>
    <w:rsid w:val="6E061DB9"/>
    <w:rsid w:val="6E070B53"/>
    <w:rsid w:val="6E071C62"/>
    <w:rsid w:val="6E07512F"/>
    <w:rsid w:val="6E084B5A"/>
    <w:rsid w:val="6E091CE6"/>
    <w:rsid w:val="6E095A12"/>
    <w:rsid w:val="6E0C436E"/>
    <w:rsid w:val="6E0C6169"/>
    <w:rsid w:val="6E0D1E11"/>
    <w:rsid w:val="6E0E0133"/>
    <w:rsid w:val="6E0E03F4"/>
    <w:rsid w:val="6E0E1EE1"/>
    <w:rsid w:val="6E0E200D"/>
    <w:rsid w:val="6E0F17B6"/>
    <w:rsid w:val="6E0F7A08"/>
    <w:rsid w:val="6E104395"/>
    <w:rsid w:val="6E1119D2"/>
    <w:rsid w:val="6E1141A4"/>
    <w:rsid w:val="6E11552E"/>
    <w:rsid w:val="6E116602"/>
    <w:rsid w:val="6E1312A6"/>
    <w:rsid w:val="6E13574A"/>
    <w:rsid w:val="6E144266"/>
    <w:rsid w:val="6E14501E"/>
    <w:rsid w:val="6E153270"/>
    <w:rsid w:val="6E155924"/>
    <w:rsid w:val="6E160D96"/>
    <w:rsid w:val="6E162B44"/>
    <w:rsid w:val="6E16374B"/>
    <w:rsid w:val="6E175A0F"/>
    <w:rsid w:val="6E182D60"/>
    <w:rsid w:val="6E1B1568"/>
    <w:rsid w:val="6E1B45FE"/>
    <w:rsid w:val="6E1B63AC"/>
    <w:rsid w:val="6E1B6A34"/>
    <w:rsid w:val="6E1C11DA"/>
    <w:rsid w:val="6E1D0376"/>
    <w:rsid w:val="6E1D2124"/>
    <w:rsid w:val="6E1E6DD0"/>
    <w:rsid w:val="6E1F5C10"/>
    <w:rsid w:val="6E1F7C4B"/>
    <w:rsid w:val="6E213C99"/>
    <w:rsid w:val="6E2214E9"/>
    <w:rsid w:val="6E225FA2"/>
    <w:rsid w:val="6E2434B3"/>
    <w:rsid w:val="6E2633BF"/>
    <w:rsid w:val="6E274D51"/>
    <w:rsid w:val="6E276AFF"/>
    <w:rsid w:val="6E295275"/>
    <w:rsid w:val="6E2A38BB"/>
    <w:rsid w:val="6E2A4841"/>
    <w:rsid w:val="6E2A4990"/>
    <w:rsid w:val="6E2A65EF"/>
    <w:rsid w:val="6E2B2A93"/>
    <w:rsid w:val="6E2C05BA"/>
    <w:rsid w:val="6E2E4332"/>
    <w:rsid w:val="6E2E5A0D"/>
    <w:rsid w:val="6E2E7E8E"/>
    <w:rsid w:val="6E2F3C06"/>
    <w:rsid w:val="6E301E58"/>
    <w:rsid w:val="6E315BD0"/>
    <w:rsid w:val="6E327A2A"/>
    <w:rsid w:val="6E331948"/>
    <w:rsid w:val="6E3360AE"/>
    <w:rsid w:val="6E337B9A"/>
    <w:rsid w:val="6E34121C"/>
    <w:rsid w:val="6E35746E"/>
    <w:rsid w:val="6E361438"/>
    <w:rsid w:val="6E364A2F"/>
    <w:rsid w:val="6E364F94"/>
    <w:rsid w:val="6E375DCF"/>
    <w:rsid w:val="6E376D60"/>
    <w:rsid w:val="6E3827BB"/>
    <w:rsid w:val="6E386F5E"/>
    <w:rsid w:val="6E3939CB"/>
    <w:rsid w:val="6E396E83"/>
    <w:rsid w:val="6E397722"/>
    <w:rsid w:val="6E3A33B0"/>
    <w:rsid w:val="6E3B6A4F"/>
    <w:rsid w:val="6E3C0F77"/>
    <w:rsid w:val="6E3D27C7"/>
    <w:rsid w:val="6E3F5BFA"/>
    <w:rsid w:val="6E407BC1"/>
    <w:rsid w:val="6E427DDD"/>
    <w:rsid w:val="6E443B55"/>
    <w:rsid w:val="6E453429"/>
    <w:rsid w:val="6E461EB4"/>
    <w:rsid w:val="6E47284E"/>
    <w:rsid w:val="6E494CC8"/>
    <w:rsid w:val="6E4A51F2"/>
    <w:rsid w:val="6E4B4EE4"/>
    <w:rsid w:val="6E4B57C5"/>
    <w:rsid w:val="6E4B5C0E"/>
    <w:rsid w:val="6E4C2D82"/>
    <w:rsid w:val="6E4E0347"/>
    <w:rsid w:val="6E4E5FCC"/>
    <w:rsid w:val="6E4E6782"/>
    <w:rsid w:val="6E5024FA"/>
    <w:rsid w:val="6E5042A8"/>
    <w:rsid w:val="6E5156A5"/>
    <w:rsid w:val="6E524F01"/>
    <w:rsid w:val="6E526272"/>
    <w:rsid w:val="6E541D5D"/>
    <w:rsid w:val="6E557B10"/>
    <w:rsid w:val="6E565636"/>
    <w:rsid w:val="6E56579E"/>
    <w:rsid w:val="6E5673E4"/>
    <w:rsid w:val="6E573888"/>
    <w:rsid w:val="6E5754A9"/>
    <w:rsid w:val="6E575A12"/>
    <w:rsid w:val="6E58025B"/>
    <w:rsid w:val="6E5D495E"/>
    <w:rsid w:val="6E5F273D"/>
    <w:rsid w:val="6E5F56B0"/>
    <w:rsid w:val="6E600263"/>
    <w:rsid w:val="6E6050CB"/>
    <w:rsid w:val="6E6111A1"/>
    <w:rsid w:val="6E6164B5"/>
    <w:rsid w:val="6E63518D"/>
    <w:rsid w:val="6E637F0C"/>
    <w:rsid w:val="6E641B01"/>
    <w:rsid w:val="6E645FA5"/>
    <w:rsid w:val="6E647D53"/>
    <w:rsid w:val="6E65267E"/>
    <w:rsid w:val="6E660230"/>
    <w:rsid w:val="6E661D1D"/>
    <w:rsid w:val="6E662E45"/>
    <w:rsid w:val="6E663ACB"/>
    <w:rsid w:val="6E6715F2"/>
    <w:rsid w:val="6E672517"/>
    <w:rsid w:val="6E673533"/>
    <w:rsid w:val="6E677844"/>
    <w:rsid w:val="6E680B24"/>
    <w:rsid w:val="6E69536A"/>
    <w:rsid w:val="6E6B7334"/>
    <w:rsid w:val="6E6C64F8"/>
    <w:rsid w:val="6E6D3D29"/>
    <w:rsid w:val="6E6E0BD2"/>
    <w:rsid w:val="6E6E0DBB"/>
    <w:rsid w:val="6E6E2980"/>
    <w:rsid w:val="6E700B4D"/>
    <w:rsid w:val="6E706926"/>
    <w:rsid w:val="6E7111FB"/>
    <w:rsid w:val="6E7220C5"/>
    <w:rsid w:val="6E736112"/>
    <w:rsid w:val="6E7475A2"/>
    <w:rsid w:val="6E752768"/>
    <w:rsid w:val="6E7558EB"/>
    <w:rsid w:val="6E761835"/>
    <w:rsid w:val="6E763603"/>
    <w:rsid w:val="6E770199"/>
    <w:rsid w:val="6E773352"/>
    <w:rsid w:val="6E7748F1"/>
    <w:rsid w:val="6E784F1E"/>
    <w:rsid w:val="6E7853F6"/>
    <w:rsid w:val="6E7A1325"/>
    <w:rsid w:val="6E7B0B5C"/>
    <w:rsid w:val="6E7B2198"/>
    <w:rsid w:val="6E7C509D"/>
    <w:rsid w:val="6E7F06E9"/>
    <w:rsid w:val="6E801395"/>
    <w:rsid w:val="6E804461"/>
    <w:rsid w:val="6E806B2F"/>
    <w:rsid w:val="6E810905"/>
    <w:rsid w:val="6E8126B3"/>
    <w:rsid w:val="6E814D71"/>
    <w:rsid w:val="6E82262F"/>
    <w:rsid w:val="6E82467D"/>
    <w:rsid w:val="6E831551"/>
    <w:rsid w:val="6E873A42"/>
    <w:rsid w:val="6E874863"/>
    <w:rsid w:val="6E881729"/>
    <w:rsid w:val="6E8977BA"/>
    <w:rsid w:val="6E8A4D48"/>
    <w:rsid w:val="6E8B3532"/>
    <w:rsid w:val="6E8D0B34"/>
    <w:rsid w:val="6E8D188A"/>
    <w:rsid w:val="6E8D72AA"/>
    <w:rsid w:val="6E8E1A33"/>
    <w:rsid w:val="6E8E3022"/>
    <w:rsid w:val="6E8E7654"/>
    <w:rsid w:val="6E900B48"/>
    <w:rsid w:val="6E902451"/>
    <w:rsid w:val="6E910222"/>
    <w:rsid w:val="6E91041D"/>
    <w:rsid w:val="6E917E0C"/>
    <w:rsid w:val="6E930639"/>
    <w:rsid w:val="6E9313EA"/>
    <w:rsid w:val="6E937539"/>
    <w:rsid w:val="6E950308"/>
    <w:rsid w:val="6E950D2C"/>
    <w:rsid w:val="6E9543B1"/>
    <w:rsid w:val="6E9569BC"/>
    <w:rsid w:val="6E957F0D"/>
    <w:rsid w:val="6E971ED7"/>
    <w:rsid w:val="6E972ABE"/>
    <w:rsid w:val="6E97417D"/>
    <w:rsid w:val="6E982890"/>
    <w:rsid w:val="6E9918A4"/>
    <w:rsid w:val="6E9A3775"/>
    <w:rsid w:val="6E9C1A0C"/>
    <w:rsid w:val="6E9C573F"/>
    <w:rsid w:val="6E9E1083"/>
    <w:rsid w:val="6E9E2386"/>
    <w:rsid w:val="6EA14B04"/>
    <w:rsid w:val="6EA2262A"/>
    <w:rsid w:val="6EA35A8A"/>
    <w:rsid w:val="6EA42846"/>
    <w:rsid w:val="6EA4698D"/>
    <w:rsid w:val="6EA57C83"/>
    <w:rsid w:val="6EA63EC8"/>
    <w:rsid w:val="6EA75340"/>
    <w:rsid w:val="6EA75E92"/>
    <w:rsid w:val="6EA939B8"/>
    <w:rsid w:val="6EAA34D8"/>
    <w:rsid w:val="6EAB14DE"/>
    <w:rsid w:val="6EAB3BD4"/>
    <w:rsid w:val="6EAB6BCF"/>
    <w:rsid w:val="6EAB792F"/>
    <w:rsid w:val="6EAC5256"/>
    <w:rsid w:val="6EAC6522"/>
    <w:rsid w:val="6EAD34A8"/>
    <w:rsid w:val="6EAD3735"/>
    <w:rsid w:val="6EAE5472"/>
    <w:rsid w:val="6EAF63DD"/>
    <w:rsid w:val="6EB31E20"/>
    <w:rsid w:val="6EB34837"/>
    <w:rsid w:val="6EB5645E"/>
    <w:rsid w:val="6EB56801"/>
    <w:rsid w:val="6EB67863"/>
    <w:rsid w:val="6EB72579"/>
    <w:rsid w:val="6EB74327"/>
    <w:rsid w:val="6EB75761"/>
    <w:rsid w:val="6EB75CDA"/>
    <w:rsid w:val="6EB85A5E"/>
    <w:rsid w:val="6EBA3E17"/>
    <w:rsid w:val="6EBA6BD9"/>
    <w:rsid w:val="6EBA7973"/>
    <w:rsid w:val="6EBD5A97"/>
    <w:rsid w:val="6EBD5D5E"/>
    <w:rsid w:val="6EBD7464"/>
    <w:rsid w:val="6EBE3907"/>
    <w:rsid w:val="6EBE3C65"/>
    <w:rsid w:val="6EBE67D9"/>
    <w:rsid w:val="6EBF4F8A"/>
    <w:rsid w:val="6EC16F54"/>
    <w:rsid w:val="6EC24A7A"/>
    <w:rsid w:val="6EC304C9"/>
    <w:rsid w:val="6EC36660"/>
    <w:rsid w:val="6EC425A0"/>
    <w:rsid w:val="6EC46A44"/>
    <w:rsid w:val="6EC6456A"/>
    <w:rsid w:val="6EC7216E"/>
    <w:rsid w:val="6EC7455C"/>
    <w:rsid w:val="6EC922AC"/>
    <w:rsid w:val="6ECB37B7"/>
    <w:rsid w:val="6ECB392F"/>
    <w:rsid w:val="6ECB7DD2"/>
    <w:rsid w:val="6ECB7ECB"/>
    <w:rsid w:val="6ECE1671"/>
    <w:rsid w:val="6ECE341F"/>
    <w:rsid w:val="6ECF7602"/>
    <w:rsid w:val="6ECF78C3"/>
    <w:rsid w:val="6ED053E9"/>
    <w:rsid w:val="6ED07197"/>
    <w:rsid w:val="6ED216CE"/>
    <w:rsid w:val="6ED37FBE"/>
    <w:rsid w:val="6ED46FB4"/>
    <w:rsid w:val="6ED547AD"/>
    <w:rsid w:val="6ED62013"/>
    <w:rsid w:val="6ED64018"/>
    <w:rsid w:val="6ED722D3"/>
    <w:rsid w:val="6ED749C9"/>
    <w:rsid w:val="6ED82F60"/>
    <w:rsid w:val="6ED8604B"/>
    <w:rsid w:val="6ED86F36"/>
    <w:rsid w:val="6ED963DF"/>
    <w:rsid w:val="6EDA00D9"/>
    <w:rsid w:val="6EDA1A5D"/>
    <w:rsid w:val="6EDA1DC4"/>
    <w:rsid w:val="6EDA2E23"/>
    <w:rsid w:val="6EDB0CE7"/>
    <w:rsid w:val="6EDC0332"/>
    <w:rsid w:val="6EDC3D8E"/>
    <w:rsid w:val="6EDD18B4"/>
    <w:rsid w:val="6EDD3C41"/>
    <w:rsid w:val="6EDE7B06"/>
    <w:rsid w:val="6EDF1132"/>
    <w:rsid w:val="6EDF387E"/>
    <w:rsid w:val="6EE079F1"/>
    <w:rsid w:val="6EE13152"/>
    <w:rsid w:val="6EE132C7"/>
    <w:rsid w:val="6EE157CC"/>
    <w:rsid w:val="6EE20D79"/>
    <w:rsid w:val="6EE2669E"/>
    <w:rsid w:val="6EE30296"/>
    <w:rsid w:val="6EE40F43"/>
    <w:rsid w:val="6EE42C42"/>
    <w:rsid w:val="6EE64C0C"/>
    <w:rsid w:val="6EE669BA"/>
    <w:rsid w:val="6EE71853"/>
    <w:rsid w:val="6EE90704"/>
    <w:rsid w:val="6EE91908"/>
    <w:rsid w:val="6EE92007"/>
    <w:rsid w:val="6EEA16BC"/>
    <w:rsid w:val="6EEA46FD"/>
    <w:rsid w:val="6EEA69AD"/>
    <w:rsid w:val="6EEA775A"/>
    <w:rsid w:val="6EEB2223"/>
    <w:rsid w:val="6EEB3D1B"/>
    <w:rsid w:val="6EEB3FD1"/>
    <w:rsid w:val="6EEB5D7F"/>
    <w:rsid w:val="6EEC1689"/>
    <w:rsid w:val="6EED49C0"/>
    <w:rsid w:val="6EED7D49"/>
    <w:rsid w:val="6EEE3F79"/>
    <w:rsid w:val="6EEF4279"/>
    <w:rsid w:val="6EF07839"/>
    <w:rsid w:val="6EF235B1"/>
    <w:rsid w:val="6EF2535F"/>
    <w:rsid w:val="6EF2710D"/>
    <w:rsid w:val="6EF30A38"/>
    <w:rsid w:val="6EF30D0E"/>
    <w:rsid w:val="6EF31177"/>
    <w:rsid w:val="6EF32E85"/>
    <w:rsid w:val="6EF424AA"/>
    <w:rsid w:val="6EF472F7"/>
    <w:rsid w:val="6EF50787"/>
    <w:rsid w:val="6EF54E4F"/>
    <w:rsid w:val="6EF56BFD"/>
    <w:rsid w:val="6EF61E95"/>
    <w:rsid w:val="6EF70BC7"/>
    <w:rsid w:val="6EF72976"/>
    <w:rsid w:val="6EF72CE4"/>
    <w:rsid w:val="6EF73497"/>
    <w:rsid w:val="6EF74BE9"/>
    <w:rsid w:val="6EF8407C"/>
    <w:rsid w:val="6EF90C24"/>
    <w:rsid w:val="6EF94940"/>
    <w:rsid w:val="6EF962E0"/>
    <w:rsid w:val="6EF972BA"/>
    <w:rsid w:val="6EFA1713"/>
    <w:rsid w:val="6EFA4214"/>
    <w:rsid w:val="6EFC4430"/>
    <w:rsid w:val="6EFC7F8C"/>
    <w:rsid w:val="6EFD033B"/>
    <w:rsid w:val="6EFD1AEA"/>
    <w:rsid w:val="6EFD5AB2"/>
    <w:rsid w:val="6EFD5C1F"/>
    <w:rsid w:val="6EFE1F56"/>
    <w:rsid w:val="6EFF5B4B"/>
    <w:rsid w:val="6EFF5CCE"/>
    <w:rsid w:val="6EFF7686"/>
    <w:rsid w:val="6F000329"/>
    <w:rsid w:val="6F011926"/>
    <w:rsid w:val="6F011A46"/>
    <w:rsid w:val="6F01585D"/>
    <w:rsid w:val="6F0357BE"/>
    <w:rsid w:val="6F03756C"/>
    <w:rsid w:val="6F046DEC"/>
    <w:rsid w:val="6F046E40"/>
    <w:rsid w:val="6F052E4D"/>
    <w:rsid w:val="6F05722E"/>
    <w:rsid w:val="6F0626E6"/>
    <w:rsid w:val="6F063E1D"/>
    <w:rsid w:val="6F077D6E"/>
    <w:rsid w:val="6F082DD5"/>
    <w:rsid w:val="6F086931"/>
    <w:rsid w:val="6F09008D"/>
    <w:rsid w:val="6F0900DF"/>
    <w:rsid w:val="6F0926A9"/>
    <w:rsid w:val="6F0935D6"/>
    <w:rsid w:val="6F095D0D"/>
    <w:rsid w:val="6F096A3B"/>
    <w:rsid w:val="6F0B1752"/>
    <w:rsid w:val="6F0B4673"/>
    <w:rsid w:val="6F0C014F"/>
    <w:rsid w:val="6F0C6A0E"/>
    <w:rsid w:val="6F0D03EB"/>
    <w:rsid w:val="6F0D437E"/>
    <w:rsid w:val="6F0E0FA0"/>
    <w:rsid w:val="6F0E7CBF"/>
    <w:rsid w:val="6F0F0944"/>
    <w:rsid w:val="6F101C89"/>
    <w:rsid w:val="6F103A37"/>
    <w:rsid w:val="6F111EE8"/>
    <w:rsid w:val="6F11540F"/>
    <w:rsid w:val="6F123FC1"/>
    <w:rsid w:val="6F125A01"/>
    <w:rsid w:val="6F1352D6"/>
    <w:rsid w:val="6F141779"/>
    <w:rsid w:val="6F1451A0"/>
    <w:rsid w:val="6F1569D7"/>
    <w:rsid w:val="6F157902"/>
    <w:rsid w:val="6F165703"/>
    <w:rsid w:val="6F165C23"/>
    <w:rsid w:val="6F1866F2"/>
    <w:rsid w:val="6F190D52"/>
    <w:rsid w:val="6F1B3276"/>
    <w:rsid w:val="6F1C23DC"/>
    <w:rsid w:val="6F1C77E1"/>
    <w:rsid w:val="6F1E0E23"/>
    <w:rsid w:val="6F1E7F02"/>
    <w:rsid w:val="6F1F65C5"/>
    <w:rsid w:val="6F2119AA"/>
    <w:rsid w:val="6F213E96"/>
    <w:rsid w:val="6F215C44"/>
    <w:rsid w:val="6F2169E7"/>
    <w:rsid w:val="6F2177A4"/>
    <w:rsid w:val="6F2319BD"/>
    <w:rsid w:val="6F241291"/>
    <w:rsid w:val="6F2474E3"/>
    <w:rsid w:val="6F2614AD"/>
    <w:rsid w:val="6F280D81"/>
    <w:rsid w:val="6F2907FB"/>
    <w:rsid w:val="6F2A2FEB"/>
    <w:rsid w:val="6F2A4207"/>
    <w:rsid w:val="6F2B0871"/>
    <w:rsid w:val="6F2B261F"/>
    <w:rsid w:val="6F2B6AC3"/>
    <w:rsid w:val="6F2B7BAD"/>
    <w:rsid w:val="6F2C2978"/>
    <w:rsid w:val="6F2D72C3"/>
    <w:rsid w:val="6F2F0844"/>
    <w:rsid w:val="6F31353D"/>
    <w:rsid w:val="6F3141F3"/>
    <w:rsid w:val="6F322F49"/>
    <w:rsid w:val="6F3239AE"/>
    <w:rsid w:val="6F327E52"/>
    <w:rsid w:val="6F3345E3"/>
    <w:rsid w:val="6F335FE3"/>
    <w:rsid w:val="6F341AC6"/>
    <w:rsid w:val="6F345978"/>
    <w:rsid w:val="6F3516F0"/>
    <w:rsid w:val="6F35349E"/>
    <w:rsid w:val="6F355C1A"/>
    <w:rsid w:val="6F377216"/>
    <w:rsid w:val="6F3859F4"/>
    <w:rsid w:val="6F392F8E"/>
    <w:rsid w:val="6F395A2B"/>
    <w:rsid w:val="6F3A05FC"/>
    <w:rsid w:val="6F3A0AB4"/>
    <w:rsid w:val="6F3B6BD4"/>
    <w:rsid w:val="6F3C2A7E"/>
    <w:rsid w:val="6F3F3BB6"/>
    <w:rsid w:val="6F3F60CB"/>
    <w:rsid w:val="6F40256E"/>
    <w:rsid w:val="6F40431D"/>
    <w:rsid w:val="6F4162E7"/>
    <w:rsid w:val="6F427F9C"/>
    <w:rsid w:val="6F431333"/>
    <w:rsid w:val="6F433142"/>
    <w:rsid w:val="6F434296"/>
    <w:rsid w:val="6F435DDD"/>
    <w:rsid w:val="6F4371DE"/>
    <w:rsid w:val="6F454505"/>
    <w:rsid w:val="6F454CFD"/>
    <w:rsid w:val="6F471AEE"/>
    <w:rsid w:val="6F484F7F"/>
    <w:rsid w:val="6F487D36"/>
    <w:rsid w:val="6F490542"/>
    <w:rsid w:val="6F4A00F0"/>
    <w:rsid w:val="6F4A1539"/>
    <w:rsid w:val="6F4A519B"/>
    <w:rsid w:val="6F4A6F49"/>
    <w:rsid w:val="6F4B4A6F"/>
    <w:rsid w:val="6F4D4C8B"/>
    <w:rsid w:val="6F4F2690"/>
    <w:rsid w:val="6F4F27B2"/>
    <w:rsid w:val="6F4F630E"/>
    <w:rsid w:val="6F4F7B98"/>
    <w:rsid w:val="6F502086"/>
    <w:rsid w:val="6F5163D3"/>
    <w:rsid w:val="6F51652A"/>
    <w:rsid w:val="6F516882"/>
    <w:rsid w:val="6F525DFE"/>
    <w:rsid w:val="6F541B76"/>
    <w:rsid w:val="6F543924"/>
    <w:rsid w:val="6F54601A"/>
    <w:rsid w:val="6F551618"/>
    <w:rsid w:val="6F5558EE"/>
    <w:rsid w:val="6F5608E1"/>
    <w:rsid w:val="6F57272B"/>
    <w:rsid w:val="6F572DF1"/>
    <w:rsid w:val="6F591935"/>
    <w:rsid w:val="6F59718C"/>
    <w:rsid w:val="6F5A1075"/>
    <w:rsid w:val="6F5A2F04"/>
    <w:rsid w:val="6F5A6D67"/>
    <w:rsid w:val="6F5C4ECE"/>
    <w:rsid w:val="6F5C6C7D"/>
    <w:rsid w:val="6F5D2A4B"/>
    <w:rsid w:val="6F5E47A3"/>
    <w:rsid w:val="6F5F520B"/>
    <w:rsid w:val="6F60051B"/>
    <w:rsid w:val="6F6049BF"/>
    <w:rsid w:val="6F604EE7"/>
    <w:rsid w:val="6F60676D"/>
    <w:rsid w:val="6F6077DA"/>
    <w:rsid w:val="6F6124E5"/>
    <w:rsid w:val="6F614293"/>
    <w:rsid w:val="6F6150E1"/>
    <w:rsid w:val="6F616041"/>
    <w:rsid w:val="6F616377"/>
    <w:rsid w:val="6F61745E"/>
    <w:rsid w:val="6F624C36"/>
    <w:rsid w:val="6F627807"/>
    <w:rsid w:val="6F63000B"/>
    <w:rsid w:val="6F63625D"/>
    <w:rsid w:val="6F642127"/>
    <w:rsid w:val="6F6454C9"/>
    <w:rsid w:val="6F653D83"/>
    <w:rsid w:val="6F655B31"/>
    <w:rsid w:val="6F6618A9"/>
    <w:rsid w:val="6F67111E"/>
    <w:rsid w:val="6F681F38"/>
    <w:rsid w:val="6F683873"/>
    <w:rsid w:val="6F687C96"/>
    <w:rsid w:val="6F6952E7"/>
    <w:rsid w:val="6F6A3147"/>
    <w:rsid w:val="6F6A7605"/>
    <w:rsid w:val="6F6B5112"/>
    <w:rsid w:val="6F6B6EC0"/>
    <w:rsid w:val="6F6C4A40"/>
    <w:rsid w:val="6F6D0E8A"/>
    <w:rsid w:val="6F6D2C38"/>
    <w:rsid w:val="6F6D49E6"/>
    <w:rsid w:val="6F6F075E"/>
    <w:rsid w:val="6F6F1DD2"/>
    <w:rsid w:val="6F6F3E8D"/>
    <w:rsid w:val="6F6F4C02"/>
    <w:rsid w:val="6F6F69B0"/>
    <w:rsid w:val="6F71329B"/>
    <w:rsid w:val="6F7154D3"/>
    <w:rsid w:val="6F72024E"/>
    <w:rsid w:val="6F7264A0"/>
    <w:rsid w:val="6F7447ED"/>
    <w:rsid w:val="6F751AEC"/>
    <w:rsid w:val="6F75580C"/>
    <w:rsid w:val="6F762680"/>
    <w:rsid w:val="6F771834"/>
    <w:rsid w:val="6F771D08"/>
    <w:rsid w:val="6F77284A"/>
    <w:rsid w:val="6F780CB8"/>
    <w:rsid w:val="6F782428"/>
    <w:rsid w:val="6F784397"/>
    <w:rsid w:val="6F7915DC"/>
    <w:rsid w:val="6F7B213A"/>
    <w:rsid w:val="6F7C3CB7"/>
    <w:rsid w:val="6F7C731F"/>
    <w:rsid w:val="6F7D5DC1"/>
    <w:rsid w:val="6F7E4E45"/>
    <w:rsid w:val="6F7F062D"/>
    <w:rsid w:val="6F7F4719"/>
    <w:rsid w:val="6F7F6D2F"/>
    <w:rsid w:val="6F800BBD"/>
    <w:rsid w:val="6F811AC9"/>
    <w:rsid w:val="6F8166E3"/>
    <w:rsid w:val="6F830903"/>
    <w:rsid w:val="6F8320E9"/>
    <w:rsid w:val="6F83245B"/>
    <w:rsid w:val="6F843DA5"/>
    <w:rsid w:val="6F852C28"/>
    <w:rsid w:val="6F857F81"/>
    <w:rsid w:val="6F871213"/>
    <w:rsid w:val="6F871F4B"/>
    <w:rsid w:val="6F881820"/>
    <w:rsid w:val="6F8A1A3C"/>
    <w:rsid w:val="6F8A5598"/>
    <w:rsid w:val="6F8B7EA3"/>
    <w:rsid w:val="6F8C57B4"/>
    <w:rsid w:val="6F8D6B30"/>
    <w:rsid w:val="6F8F3DAA"/>
    <w:rsid w:val="6F8F417A"/>
    <w:rsid w:val="6F912DCA"/>
    <w:rsid w:val="6F916375"/>
    <w:rsid w:val="6F937A40"/>
    <w:rsid w:val="6F952696"/>
    <w:rsid w:val="6F95590D"/>
    <w:rsid w:val="6F963F3C"/>
    <w:rsid w:val="6F9666F7"/>
    <w:rsid w:val="6F966CC1"/>
    <w:rsid w:val="6F984159"/>
    <w:rsid w:val="6F991C7F"/>
    <w:rsid w:val="6F99373A"/>
    <w:rsid w:val="6F993A2D"/>
    <w:rsid w:val="6F9A58FE"/>
    <w:rsid w:val="6F9C351D"/>
    <w:rsid w:val="6F9C5A16"/>
    <w:rsid w:val="6F9D4000"/>
    <w:rsid w:val="6F9D7C46"/>
    <w:rsid w:val="6F9E1043"/>
    <w:rsid w:val="6F9E4E89"/>
    <w:rsid w:val="6F9E7B00"/>
    <w:rsid w:val="6F9F02E3"/>
    <w:rsid w:val="6F9F7969"/>
    <w:rsid w:val="6FA077A9"/>
    <w:rsid w:val="6FA10B33"/>
    <w:rsid w:val="6FA128E1"/>
    <w:rsid w:val="6FA220C9"/>
    <w:rsid w:val="6FA348AB"/>
    <w:rsid w:val="6FA4387C"/>
    <w:rsid w:val="6FA523D2"/>
    <w:rsid w:val="6FA56875"/>
    <w:rsid w:val="6FA6166F"/>
    <w:rsid w:val="6FA623E9"/>
    <w:rsid w:val="6FA67EF8"/>
    <w:rsid w:val="6FA7439C"/>
    <w:rsid w:val="6FA75111"/>
    <w:rsid w:val="6FA83C70"/>
    <w:rsid w:val="6FAA79E8"/>
    <w:rsid w:val="6FAB4091"/>
    <w:rsid w:val="6FAB66B1"/>
    <w:rsid w:val="6FAC1505"/>
    <w:rsid w:val="6FAC19B2"/>
    <w:rsid w:val="6FAC3760"/>
    <w:rsid w:val="6FAD572A"/>
    <w:rsid w:val="6FAE28B9"/>
    <w:rsid w:val="6FAF155A"/>
    <w:rsid w:val="6FB10D76"/>
    <w:rsid w:val="6FB1521A"/>
    <w:rsid w:val="6FB16FC8"/>
    <w:rsid w:val="6FB22D40"/>
    <w:rsid w:val="6FB2689C"/>
    <w:rsid w:val="6FB40867"/>
    <w:rsid w:val="6FB506AC"/>
    <w:rsid w:val="6FB602B0"/>
    <w:rsid w:val="6FB645DF"/>
    <w:rsid w:val="6FB72105"/>
    <w:rsid w:val="6FB940CF"/>
    <w:rsid w:val="6FBA428D"/>
    <w:rsid w:val="6FBB43B1"/>
    <w:rsid w:val="6FBB7D0C"/>
    <w:rsid w:val="6FBE06C7"/>
    <w:rsid w:val="6FBE3493"/>
    <w:rsid w:val="6FC0545D"/>
    <w:rsid w:val="6FC0720B"/>
    <w:rsid w:val="6FC15B74"/>
    <w:rsid w:val="6FC400F4"/>
    <w:rsid w:val="6FC50CC6"/>
    <w:rsid w:val="6FC54822"/>
    <w:rsid w:val="6FC76877"/>
    <w:rsid w:val="6FC84312"/>
    <w:rsid w:val="6FC860C0"/>
    <w:rsid w:val="6FC93379"/>
    <w:rsid w:val="6FCB16EC"/>
    <w:rsid w:val="6FCC33F2"/>
    <w:rsid w:val="6FCC3E6E"/>
    <w:rsid w:val="6FCC6918"/>
    <w:rsid w:val="6FCC795E"/>
    <w:rsid w:val="6FCD1928"/>
    <w:rsid w:val="6FCE1E96"/>
    <w:rsid w:val="6FCF1265"/>
    <w:rsid w:val="6FCF2499"/>
    <w:rsid w:val="6FCF56A0"/>
    <w:rsid w:val="6FCF73F6"/>
    <w:rsid w:val="6FD11419"/>
    <w:rsid w:val="6FD131C7"/>
    <w:rsid w:val="6FD1581C"/>
    <w:rsid w:val="6FD165D7"/>
    <w:rsid w:val="6FD1766A"/>
    <w:rsid w:val="6FD212BB"/>
    <w:rsid w:val="6FD3055E"/>
    <w:rsid w:val="6FD352C9"/>
    <w:rsid w:val="6FD35A95"/>
    <w:rsid w:val="6FD601DD"/>
    <w:rsid w:val="6FD74555"/>
    <w:rsid w:val="6FD76303"/>
    <w:rsid w:val="6FD827A7"/>
    <w:rsid w:val="6FDB3027"/>
    <w:rsid w:val="6FDB5DF3"/>
    <w:rsid w:val="6FDC0957"/>
    <w:rsid w:val="6FDC1B6B"/>
    <w:rsid w:val="6FDD0660"/>
    <w:rsid w:val="6FDD600F"/>
    <w:rsid w:val="6FDE468C"/>
    <w:rsid w:val="6FE073BF"/>
    <w:rsid w:val="6FE078AE"/>
    <w:rsid w:val="6FE11C8E"/>
    <w:rsid w:val="6FE20F26"/>
    <w:rsid w:val="6FE2755C"/>
    <w:rsid w:val="6FE3114C"/>
    <w:rsid w:val="6FE344AA"/>
    <w:rsid w:val="6FE35227"/>
    <w:rsid w:val="6FE40391"/>
    <w:rsid w:val="6FE645C5"/>
    <w:rsid w:val="6FE7055B"/>
    <w:rsid w:val="6FE70C3C"/>
    <w:rsid w:val="6FE729EA"/>
    <w:rsid w:val="6FE74798"/>
    <w:rsid w:val="6FE748D0"/>
    <w:rsid w:val="6FE80510"/>
    <w:rsid w:val="6FE875AE"/>
    <w:rsid w:val="6FE93EA0"/>
    <w:rsid w:val="6FE95CEE"/>
    <w:rsid w:val="6FE9742F"/>
    <w:rsid w:val="6FEA24DA"/>
    <w:rsid w:val="6FEA6982"/>
    <w:rsid w:val="6FEC6252"/>
    <w:rsid w:val="6FED3D79"/>
    <w:rsid w:val="6FEE1FCA"/>
    <w:rsid w:val="6FEE6342"/>
    <w:rsid w:val="6FEF001D"/>
    <w:rsid w:val="6FEF4E69"/>
    <w:rsid w:val="6FEF5D43"/>
    <w:rsid w:val="6FEF7AF1"/>
    <w:rsid w:val="6FF173C5"/>
    <w:rsid w:val="6FF204E1"/>
    <w:rsid w:val="6FF27051"/>
    <w:rsid w:val="6FF31222"/>
    <w:rsid w:val="6FF42555"/>
    <w:rsid w:val="6FF43359"/>
    <w:rsid w:val="6FF60E7F"/>
    <w:rsid w:val="6FF61221"/>
    <w:rsid w:val="6FF62C2D"/>
    <w:rsid w:val="6FF670D1"/>
    <w:rsid w:val="6FF84BF7"/>
    <w:rsid w:val="6FF869A5"/>
    <w:rsid w:val="6FF944CB"/>
    <w:rsid w:val="6FFA744F"/>
    <w:rsid w:val="6FFB0243"/>
    <w:rsid w:val="6FFB39E9"/>
    <w:rsid w:val="6FFC746B"/>
    <w:rsid w:val="6FFE1AE2"/>
    <w:rsid w:val="6FFF08D1"/>
    <w:rsid w:val="70002AE5"/>
    <w:rsid w:val="7000585A"/>
    <w:rsid w:val="70031466"/>
    <w:rsid w:val="7003534A"/>
    <w:rsid w:val="70041E1F"/>
    <w:rsid w:val="7005361A"/>
    <w:rsid w:val="70056FEE"/>
    <w:rsid w:val="7008572D"/>
    <w:rsid w:val="70090EC9"/>
    <w:rsid w:val="70096E04"/>
    <w:rsid w:val="700A492A"/>
    <w:rsid w:val="700A5276"/>
    <w:rsid w:val="700A7715"/>
    <w:rsid w:val="700C06A3"/>
    <w:rsid w:val="700C2451"/>
    <w:rsid w:val="700C682E"/>
    <w:rsid w:val="700C7F49"/>
    <w:rsid w:val="700D60B3"/>
    <w:rsid w:val="700D7F77"/>
    <w:rsid w:val="700E4448"/>
    <w:rsid w:val="700E4969"/>
    <w:rsid w:val="700E61C9"/>
    <w:rsid w:val="700E706C"/>
    <w:rsid w:val="700F1A74"/>
    <w:rsid w:val="70110214"/>
    <w:rsid w:val="70111815"/>
    <w:rsid w:val="70115CB9"/>
    <w:rsid w:val="70117A67"/>
    <w:rsid w:val="7012558D"/>
    <w:rsid w:val="70130316"/>
    <w:rsid w:val="70133BA9"/>
    <w:rsid w:val="70141305"/>
    <w:rsid w:val="70141387"/>
    <w:rsid w:val="701458C4"/>
    <w:rsid w:val="70147557"/>
    <w:rsid w:val="701557A9"/>
    <w:rsid w:val="70161521"/>
    <w:rsid w:val="7016437A"/>
    <w:rsid w:val="701778DC"/>
    <w:rsid w:val="70182BA3"/>
    <w:rsid w:val="70197330"/>
    <w:rsid w:val="701A68B4"/>
    <w:rsid w:val="701B6B38"/>
    <w:rsid w:val="701C7667"/>
    <w:rsid w:val="701D3E0D"/>
    <w:rsid w:val="701E37A1"/>
    <w:rsid w:val="701E3F32"/>
    <w:rsid w:val="701E77AF"/>
    <w:rsid w:val="701F03D6"/>
    <w:rsid w:val="7020414E"/>
    <w:rsid w:val="70205EFC"/>
    <w:rsid w:val="70214709"/>
    <w:rsid w:val="70221C74"/>
    <w:rsid w:val="70222418"/>
    <w:rsid w:val="70223A22"/>
    <w:rsid w:val="702275C0"/>
    <w:rsid w:val="70231548"/>
    <w:rsid w:val="70235E7F"/>
    <w:rsid w:val="7023779A"/>
    <w:rsid w:val="702459EC"/>
    <w:rsid w:val="70253512"/>
    <w:rsid w:val="70255578"/>
    <w:rsid w:val="70264800"/>
    <w:rsid w:val="702754DC"/>
    <w:rsid w:val="70291255"/>
    <w:rsid w:val="702951B3"/>
    <w:rsid w:val="702A28D7"/>
    <w:rsid w:val="702A6D7B"/>
    <w:rsid w:val="702C0672"/>
    <w:rsid w:val="702C2AF3"/>
    <w:rsid w:val="702C72CB"/>
    <w:rsid w:val="702E0619"/>
    <w:rsid w:val="702E2F92"/>
    <w:rsid w:val="702E3539"/>
    <w:rsid w:val="702F3E36"/>
    <w:rsid w:val="702F7EED"/>
    <w:rsid w:val="70310109"/>
    <w:rsid w:val="70311EB7"/>
    <w:rsid w:val="70313C65"/>
    <w:rsid w:val="70317044"/>
    <w:rsid w:val="70333E81"/>
    <w:rsid w:val="703359A9"/>
    <w:rsid w:val="703379DD"/>
    <w:rsid w:val="703419D5"/>
    <w:rsid w:val="70343755"/>
    <w:rsid w:val="703474B1"/>
    <w:rsid w:val="703563B0"/>
    <w:rsid w:val="7036571F"/>
    <w:rsid w:val="703674CE"/>
    <w:rsid w:val="7037082E"/>
    <w:rsid w:val="70381498"/>
    <w:rsid w:val="703853CE"/>
    <w:rsid w:val="70392C76"/>
    <w:rsid w:val="703A6FBE"/>
    <w:rsid w:val="703B3D4E"/>
    <w:rsid w:val="703B48A0"/>
    <w:rsid w:val="703D18FA"/>
    <w:rsid w:val="703E313A"/>
    <w:rsid w:val="703F2264"/>
    <w:rsid w:val="70400485"/>
    <w:rsid w:val="7040659E"/>
    <w:rsid w:val="70421CF2"/>
    <w:rsid w:val="70422898"/>
    <w:rsid w:val="704240C4"/>
    <w:rsid w:val="70446EA6"/>
    <w:rsid w:val="70447E3C"/>
    <w:rsid w:val="704541B6"/>
    <w:rsid w:val="70457711"/>
    <w:rsid w:val="704704B0"/>
    <w:rsid w:val="704774D5"/>
    <w:rsid w:val="704811B3"/>
    <w:rsid w:val="70495453"/>
    <w:rsid w:val="7049676E"/>
    <w:rsid w:val="70497201"/>
    <w:rsid w:val="704A3BFB"/>
    <w:rsid w:val="704A54CC"/>
    <w:rsid w:val="704C6CF1"/>
    <w:rsid w:val="704E4817"/>
    <w:rsid w:val="70501F38"/>
    <w:rsid w:val="70512559"/>
    <w:rsid w:val="70513ACE"/>
    <w:rsid w:val="705162AC"/>
    <w:rsid w:val="70524453"/>
    <w:rsid w:val="7053381D"/>
    <w:rsid w:val="705362D1"/>
    <w:rsid w:val="705407A8"/>
    <w:rsid w:val="70544933"/>
    <w:rsid w:val="70545BA6"/>
    <w:rsid w:val="70554752"/>
    <w:rsid w:val="705555DB"/>
    <w:rsid w:val="70567B70"/>
    <w:rsid w:val="70573153"/>
    <w:rsid w:val="7058015B"/>
    <w:rsid w:val="705807EC"/>
    <w:rsid w:val="70582475"/>
    <w:rsid w:val="705861FF"/>
    <w:rsid w:val="705931BC"/>
    <w:rsid w:val="705A6876"/>
    <w:rsid w:val="705B0CE2"/>
    <w:rsid w:val="705B5186"/>
    <w:rsid w:val="705B6F34"/>
    <w:rsid w:val="705C6010"/>
    <w:rsid w:val="705D2071"/>
    <w:rsid w:val="705D2CAC"/>
    <w:rsid w:val="705D4A5A"/>
    <w:rsid w:val="705F60D2"/>
    <w:rsid w:val="70610059"/>
    <w:rsid w:val="70610822"/>
    <w:rsid w:val="70617356"/>
    <w:rsid w:val="70622350"/>
    <w:rsid w:val="70634139"/>
    <w:rsid w:val="70634644"/>
    <w:rsid w:val="706434B3"/>
    <w:rsid w:val="706510B7"/>
    <w:rsid w:val="70652197"/>
    <w:rsid w:val="706534F5"/>
    <w:rsid w:val="70674864"/>
    <w:rsid w:val="706A4E77"/>
    <w:rsid w:val="706A6616"/>
    <w:rsid w:val="706A7EB6"/>
    <w:rsid w:val="706C7C12"/>
    <w:rsid w:val="706E0425"/>
    <w:rsid w:val="706E310B"/>
    <w:rsid w:val="706E686D"/>
    <w:rsid w:val="706F478E"/>
    <w:rsid w:val="7070082B"/>
    <w:rsid w:val="707149AA"/>
    <w:rsid w:val="70716758"/>
    <w:rsid w:val="70725ED5"/>
    <w:rsid w:val="707324D0"/>
    <w:rsid w:val="7073427E"/>
    <w:rsid w:val="7073539A"/>
    <w:rsid w:val="70756248"/>
    <w:rsid w:val="7076077D"/>
    <w:rsid w:val="70761FC0"/>
    <w:rsid w:val="70767EC8"/>
    <w:rsid w:val="70771839"/>
    <w:rsid w:val="70780034"/>
    <w:rsid w:val="70787CDC"/>
    <w:rsid w:val="707B1974"/>
    <w:rsid w:val="707B1CB9"/>
    <w:rsid w:val="707B3132"/>
    <w:rsid w:val="707B416A"/>
    <w:rsid w:val="707B5B4C"/>
    <w:rsid w:val="707B75D6"/>
    <w:rsid w:val="707C3AAA"/>
    <w:rsid w:val="707D50FC"/>
    <w:rsid w:val="707D6A8A"/>
    <w:rsid w:val="707D6EAA"/>
    <w:rsid w:val="707E7E28"/>
    <w:rsid w:val="707F2C23"/>
    <w:rsid w:val="7081639B"/>
    <w:rsid w:val="70817FC6"/>
    <w:rsid w:val="70820965"/>
    <w:rsid w:val="70827E61"/>
    <w:rsid w:val="70840239"/>
    <w:rsid w:val="708446DD"/>
    <w:rsid w:val="7084648B"/>
    <w:rsid w:val="70853FB1"/>
    <w:rsid w:val="70860455"/>
    <w:rsid w:val="708752DE"/>
    <w:rsid w:val="70875730"/>
    <w:rsid w:val="70877D29"/>
    <w:rsid w:val="7088676E"/>
    <w:rsid w:val="70893AA1"/>
    <w:rsid w:val="70897BFE"/>
    <w:rsid w:val="708B3C5F"/>
    <w:rsid w:val="708B59DE"/>
    <w:rsid w:val="708B5A6B"/>
    <w:rsid w:val="708C10E8"/>
    <w:rsid w:val="708C17E3"/>
    <w:rsid w:val="708C533F"/>
    <w:rsid w:val="708E25E0"/>
    <w:rsid w:val="708E2E66"/>
    <w:rsid w:val="708F38BB"/>
    <w:rsid w:val="70903082"/>
    <w:rsid w:val="70916B2E"/>
    <w:rsid w:val="709177BB"/>
    <w:rsid w:val="70930CB0"/>
    <w:rsid w:val="70932B72"/>
    <w:rsid w:val="70933881"/>
    <w:rsid w:val="70934920"/>
    <w:rsid w:val="70936542"/>
    <w:rsid w:val="709366CE"/>
    <w:rsid w:val="70952156"/>
    <w:rsid w:val="709541F4"/>
    <w:rsid w:val="709561A1"/>
    <w:rsid w:val="70956D9D"/>
    <w:rsid w:val="709661BE"/>
    <w:rsid w:val="70976F98"/>
    <w:rsid w:val="70981F36"/>
    <w:rsid w:val="70983CE4"/>
    <w:rsid w:val="709841A7"/>
    <w:rsid w:val="70986888"/>
    <w:rsid w:val="709935E0"/>
    <w:rsid w:val="709976F3"/>
    <w:rsid w:val="709A0B83"/>
    <w:rsid w:val="709A5CAE"/>
    <w:rsid w:val="709A7A5C"/>
    <w:rsid w:val="709B0AC0"/>
    <w:rsid w:val="709C4BE4"/>
    <w:rsid w:val="709C527F"/>
    <w:rsid w:val="709C6C3E"/>
    <w:rsid w:val="709D12FB"/>
    <w:rsid w:val="709F2893"/>
    <w:rsid w:val="709F32C5"/>
    <w:rsid w:val="709F5073"/>
    <w:rsid w:val="70A14C25"/>
    <w:rsid w:val="70A22DB5"/>
    <w:rsid w:val="70A24B63"/>
    <w:rsid w:val="70A26911"/>
    <w:rsid w:val="70A30770"/>
    <w:rsid w:val="70A33376"/>
    <w:rsid w:val="70A40B1A"/>
    <w:rsid w:val="70A46B2D"/>
    <w:rsid w:val="70A530C5"/>
    <w:rsid w:val="70A57E9C"/>
    <w:rsid w:val="70A602DC"/>
    <w:rsid w:val="70A628A5"/>
    <w:rsid w:val="70A62AF5"/>
    <w:rsid w:val="70A705B6"/>
    <w:rsid w:val="70A95EF1"/>
    <w:rsid w:val="70A97C9F"/>
    <w:rsid w:val="70AB06C0"/>
    <w:rsid w:val="70AB2E92"/>
    <w:rsid w:val="70AB3A18"/>
    <w:rsid w:val="70AC30B9"/>
    <w:rsid w:val="70AC775D"/>
    <w:rsid w:val="70AC7790"/>
    <w:rsid w:val="70AD4475"/>
    <w:rsid w:val="70AD45A1"/>
    <w:rsid w:val="70AD5EDA"/>
    <w:rsid w:val="70AD7087"/>
    <w:rsid w:val="70AE175A"/>
    <w:rsid w:val="70AE3508"/>
    <w:rsid w:val="70AE5F6F"/>
    <w:rsid w:val="70AF1919"/>
    <w:rsid w:val="70B01DF1"/>
    <w:rsid w:val="70B07280"/>
    <w:rsid w:val="70B328CC"/>
    <w:rsid w:val="70B34FC2"/>
    <w:rsid w:val="70B36D70"/>
    <w:rsid w:val="70B53686"/>
    <w:rsid w:val="70B546E9"/>
    <w:rsid w:val="70B54896"/>
    <w:rsid w:val="70B5578B"/>
    <w:rsid w:val="70B623BC"/>
    <w:rsid w:val="70B64B15"/>
    <w:rsid w:val="70B972FB"/>
    <w:rsid w:val="70BA00FF"/>
    <w:rsid w:val="70BA3C5B"/>
    <w:rsid w:val="70BB0D44"/>
    <w:rsid w:val="70BC5C25"/>
    <w:rsid w:val="70BD1A04"/>
    <w:rsid w:val="70BD374B"/>
    <w:rsid w:val="70BF548F"/>
    <w:rsid w:val="70BF5715"/>
    <w:rsid w:val="70C05C79"/>
    <w:rsid w:val="70C1148D"/>
    <w:rsid w:val="70C232D6"/>
    <w:rsid w:val="70C247CF"/>
    <w:rsid w:val="70C24C67"/>
    <w:rsid w:val="70C251B2"/>
    <w:rsid w:val="70C324C7"/>
    <w:rsid w:val="70C324FA"/>
    <w:rsid w:val="70C4708B"/>
    <w:rsid w:val="70C61987"/>
    <w:rsid w:val="70C63CA2"/>
    <w:rsid w:val="70C75FCD"/>
    <w:rsid w:val="70C8281B"/>
    <w:rsid w:val="70C96594"/>
    <w:rsid w:val="70CA396B"/>
    <w:rsid w:val="70CB0656"/>
    <w:rsid w:val="70CB5E68"/>
    <w:rsid w:val="70CC398E"/>
    <w:rsid w:val="70CD7848"/>
    <w:rsid w:val="70CE0D31"/>
    <w:rsid w:val="70CE181E"/>
    <w:rsid w:val="70CE2CD1"/>
    <w:rsid w:val="70CE5958"/>
    <w:rsid w:val="70CF0F02"/>
    <w:rsid w:val="70D03770"/>
    <w:rsid w:val="70D177C0"/>
    <w:rsid w:val="70D25448"/>
    <w:rsid w:val="70D56CE6"/>
    <w:rsid w:val="70D62946"/>
    <w:rsid w:val="70D64ACC"/>
    <w:rsid w:val="70D66204"/>
    <w:rsid w:val="70D70CB1"/>
    <w:rsid w:val="70D75F53"/>
    <w:rsid w:val="70D77444"/>
    <w:rsid w:val="70D80585"/>
    <w:rsid w:val="70D84C48"/>
    <w:rsid w:val="70D8671C"/>
    <w:rsid w:val="70D867D7"/>
    <w:rsid w:val="70D87E5D"/>
    <w:rsid w:val="70D90D78"/>
    <w:rsid w:val="70D932B0"/>
    <w:rsid w:val="70DA254F"/>
    <w:rsid w:val="70DA48D4"/>
    <w:rsid w:val="70DA5768"/>
    <w:rsid w:val="70DA7947"/>
    <w:rsid w:val="70DB47B0"/>
    <w:rsid w:val="70DC0CFB"/>
    <w:rsid w:val="70DC1E23"/>
    <w:rsid w:val="70DC4260"/>
    <w:rsid w:val="70DE203F"/>
    <w:rsid w:val="70DE7820"/>
    <w:rsid w:val="70DF1913"/>
    <w:rsid w:val="70E04877"/>
    <w:rsid w:val="70E11BD6"/>
    <w:rsid w:val="70E138DD"/>
    <w:rsid w:val="70E17439"/>
    <w:rsid w:val="70E21403"/>
    <w:rsid w:val="70E4571F"/>
    <w:rsid w:val="70E53128"/>
    <w:rsid w:val="70E565D3"/>
    <w:rsid w:val="70E60EF4"/>
    <w:rsid w:val="70E64A50"/>
    <w:rsid w:val="70E728D6"/>
    <w:rsid w:val="70E75A48"/>
    <w:rsid w:val="70E76A1A"/>
    <w:rsid w:val="70E80619"/>
    <w:rsid w:val="70E81CF8"/>
    <w:rsid w:val="70E923A1"/>
    <w:rsid w:val="70EA7C33"/>
    <w:rsid w:val="70EB02B8"/>
    <w:rsid w:val="70EC47EA"/>
    <w:rsid w:val="70ED18BA"/>
    <w:rsid w:val="70ED1CFC"/>
    <w:rsid w:val="70EE1B56"/>
    <w:rsid w:val="70EE47FA"/>
    <w:rsid w:val="70EE5FFA"/>
    <w:rsid w:val="70EE7B55"/>
    <w:rsid w:val="70F04A0B"/>
    <w:rsid w:val="70F056B9"/>
    <w:rsid w:val="70F0688D"/>
    <w:rsid w:val="70F07074"/>
    <w:rsid w:val="70F133F4"/>
    <w:rsid w:val="70F13495"/>
    <w:rsid w:val="70F24EA2"/>
    <w:rsid w:val="70F25AEA"/>
    <w:rsid w:val="70F27521"/>
    <w:rsid w:val="70F33611"/>
    <w:rsid w:val="70F353BF"/>
    <w:rsid w:val="70F51137"/>
    <w:rsid w:val="70F53FF6"/>
    <w:rsid w:val="70F57389"/>
    <w:rsid w:val="70F705B1"/>
    <w:rsid w:val="70F92A2E"/>
    <w:rsid w:val="70FA04FB"/>
    <w:rsid w:val="70FA3EBE"/>
    <w:rsid w:val="70FB6A8F"/>
    <w:rsid w:val="70FD685B"/>
    <w:rsid w:val="70FE0423"/>
    <w:rsid w:val="70FE448F"/>
    <w:rsid w:val="70FE4FEE"/>
    <w:rsid w:val="70FF0531"/>
    <w:rsid w:val="70FF5871"/>
    <w:rsid w:val="7101188A"/>
    <w:rsid w:val="710147BF"/>
    <w:rsid w:val="71015D2D"/>
    <w:rsid w:val="71025602"/>
    <w:rsid w:val="71036320"/>
    <w:rsid w:val="710542A6"/>
    <w:rsid w:val="710650F2"/>
    <w:rsid w:val="71066EA0"/>
    <w:rsid w:val="71081682"/>
    <w:rsid w:val="71092ED4"/>
    <w:rsid w:val="71094BE2"/>
    <w:rsid w:val="710B3229"/>
    <w:rsid w:val="710B3DC7"/>
    <w:rsid w:val="710C022E"/>
    <w:rsid w:val="710C10F0"/>
    <w:rsid w:val="710D6480"/>
    <w:rsid w:val="710E21F8"/>
    <w:rsid w:val="710F044A"/>
    <w:rsid w:val="710F68B9"/>
    <w:rsid w:val="71105F71"/>
    <w:rsid w:val="711060E4"/>
    <w:rsid w:val="71116A20"/>
    <w:rsid w:val="71125845"/>
    <w:rsid w:val="7113780F"/>
    <w:rsid w:val="71143263"/>
    <w:rsid w:val="71162E03"/>
    <w:rsid w:val="71165DAF"/>
    <w:rsid w:val="711710AD"/>
    <w:rsid w:val="7117254D"/>
    <w:rsid w:val="71175143"/>
    <w:rsid w:val="711904E4"/>
    <w:rsid w:val="711A3BEF"/>
    <w:rsid w:val="711C66C3"/>
    <w:rsid w:val="711C75A7"/>
    <w:rsid w:val="711D0F80"/>
    <w:rsid w:val="711D1F38"/>
    <w:rsid w:val="711D243B"/>
    <w:rsid w:val="711E32B9"/>
    <w:rsid w:val="711E68DF"/>
    <w:rsid w:val="711F3306"/>
    <w:rsid w:val="711F7F62"/>
    <w:rsid w:val="71202A4F"/>
    <w:rsid w:val="71205936"/>
    <w:rsid w:val="71213CDA"/>
    <w:rsid w:val="71226C95"/>
    <w:rsid w:val="712324FF"/>
    <w:rsid w:val="71241A1C"/>
    <w:rsid w:val="71242AF6"/>
    <w:rsid w:val="71245578"/>
    <w:rsid w:val="7125100C"/>
    <w:rsid w:val="712612F0"/>
    <w:rsid w:val="71264C6A"/>
    <w:rsid w:val="71286A35"/>
    <w:rsid w:val="71297032"/>
    <w:rsid w:val="712B2CEC"/>
    <w:rsid w:val="712B2DAA"/>
    <w:rsid w:val="712C4911"/>
    <w:rsid w:val="712D267F"/>
    <w:rsid w:val="712E2DAE"/>
    <w:rsid w:val="712F447F"/>
    <w:rsid w:val="712F602C"/>
    <w:rsid w:val="71301831"/>
    <w:rsid w:val="713036D2"/>
    <w:rsid w:val="71306613"/>
    <w:rsid w:val="713204E6"/>
    <w:rsid w:val="71343036"/>
    <w:rsid w:val="71352D69"/>
    <w:rsid w:val="7135505E"/>
    <w:rsid w:val="713566AE"/>
    <w:rsid w:val="71357785"/>
    <w:rsid w:val="71357FFB"/>
    <w:rsid w:val="71383B5E"/>
    <w:rsid w:val="71384D7B"/>
    <w:rsid w:val="71396303"/>
    <w:rsid w:val="7139702E"/>
    <w:rsid w:val="71397275"/>
    <w:rsid w:val="71397EC1"/>
    <w:rsid w:val="713C4FB8"/>
    <w:rsid w:val="713C5DD5"/>
    <w:rsid w:val="713D663A"/>
    <w:rsid w:val="713D6842"/>
    <w:rsid w:val="713F0604"/>
    <w:rsid w:val="713F23B2"/>
    <w:rsid w:val="7141437C"/>
    <w:rsid w:val="7141612A"/>
    <w:rsid w:val="71416653"/>
    <w:rsid w:val="714300F4"/>
    <w:rsid w:val="714479C8"/>
    <w:rsid w:val="71453E6C"/>
    <w:rsid w:val="714631FB"/>
    <w:rsid w:val="71467BE4"/>
    <w:rsid w:val="71493021"/>
    <w:rsid w:val="71493F65"/>
    <w:rsid w:val="71494FDF"/>
    <w:rsid w:val="714A1482"/>
    <w:rsid w:val="714B2030"/>
    <w:rsid w:val="714B3F77"/>
    <w:rsid w:val="714B51FB"/>
    <w:rsid w:val="714C15EF"/>
    <w:rsid w:val="714D2D21"/>
    <w:rsid w:val="714D6C2E"/>
    <w:rsid w:val="714E513F"/>
    <w:rsid w:val="714E56E1"/>
    <w:rsid w:val="714E6086"/>
    <w:rsid w:val="71500A63"/>
    <w:rsid w:val="71500DB1"/>
    <w:rsid w:val="71510C3C"/>
    <w:rsid w:val="71520337"/>
    <w:rsid w:val="715220E5"/>
    <w:rsid w:val="71526589"/>
    <w:rsid w:val="71542301"/>
    <w:rsid w:val="715440AF"/>
    <w:rsid w:val="71544AC9"/>
    <w:rsid w:val="71546E24"/>
    <w:rsid w:val="715502BF"/>
    <w:rsid w:val="71553388"/>
    <w:rsid w:val="71566079"/>
    <w:rsid w:val="71566563"/>
    <w:rsid w:val="71571D46"/>
    <w:rsid w:val="71571FBA"/>
    <w:rsid w:val="71573B9F"/>
    <w:rsid w:val="71581D09"/>
    <w:rsid w:val="7158344A"/>
    <w:rsid w:val="71593474"/>
    <w:rsid w:val="715948DA"/>
    <w:rsid w:val="71596B67"/>
    <w:rsid w:val="71597917"/>
    <w:rsid w:val="715B62AC"/>
    <w:rsid w:val="715B71FA"/>
    <w:rsid w:val="715C20BD"/>
    <w:rsid w:val="715C2F64"/>
    <w:rsid w:val="715C6C86"/>
    <w:rsid w:val="715E3A26"/>
    <w:rsid w:val="715F2A54"/>
    <w:rsid w:val="715F6A71"/>
    <w:rsid w:val="716065F8"/>
    <w:rsid w:val="71606AEF"/>
    <w:rsid w:val="7161057A"/>
    <w:rsid w:val="716167CC"/>
    <w:rsid w:val="71630796"/>
    <w:rsid w:val="716321B9"/>
    <w:rsid w:val="716360A0"/>
    <w:rsid w:val="71655A4E"/>
    <w:rsid w:val="716562BC"/>
    <w:rsid w:val="71657E66"/>
    <w:rsid w:val="71662034"/>
    <w:rsid w:val="716630C1"/>
    <w:rsid w:val="7166430D"/>
    <w:rsid w:val="71665B90"/>
    <w:rsid w:val="716A5491"/>
    <w:rsid w:val="716A5681"/>
    <w:rsid w:val="716A57FC"/>
    <w:rsid w:val="716A5A04"/>
    <w:rsid w:val="716A7E4A"/>
    <w:rsid w:val="716B0C44"/>
    <w:rsid w:val="716D0ABF"/>
    <w:rsid w:val="716D5171"/>
    <w:rsid w:val="716E0241"/>
    <w:rsid w:val="716E5670"/>
    <w:rsid w:val="716E6EB8"/>
    <w:rsid w:val="716F2C97"/>
    <w:rsid w:val="717007BD"/>
    <w:rsid w:val="71704C61"/>
    <w:rsid w:val="71706A0F"/>
    <w:rsid w:val="717209D9"/>
    <w:rsid w:val="71730052"/>
    <w:rsid w:val="71730BFB"/>
    <w:rsid w:val="7173160F"/>
    <w:rsid w:val="717402AD"/>
    <w:rsid w:val="717535CC"/>
    <w:rsid w:val="71764865"/>
    <w:rsid w:val="7176742E"/>
    <w:rsid w:val="71771B4C"/>
    <w:rsid w:val="7178018F"/>
    <w:rsid w:val="717835AD"/>
    <w:rsid w:val="71786B12"/>
    <w:rsid w:val="71791D68"/>
    <w:rsid w:val="71795354"/>
    <w:rsid w:val="717A6CB2"/>
    <w:rsid w:val="717B14EA"/>
    <w:rsid w:val="717B5AE0"/>
    <w:rsid w:val="717C1104"/>
    <w:rsid w:val="717C3606"/>
    <w:rsid w:val="717C4167"/>
    <w:rsid w:val="717E2044"/>
    <w:rsid w:val="717F69CD"/>
    <w:rsid w:val="71804EA4"/>
    <w:rsid w:val="71810C1C"/>
    <w:rsid w:val="71834994"/>
    <w:rsid w:val="71842467"/>
    <w:rsid w:val="71844269"/>
    <w:rsid w:val="71844C0B"/>
    <w:rsid w:val="7185213E"/>
    <w:rsid w:val="71862CD7"/>
    <w:rsid w:val="718664C8"/>
    <w:rsid w:val="71867FE1"/>
    <w:rsid w:val="7189187F"/>
    <w:rsid w:val="718A76FC"/>
    <w:rsid w:val="718C1A9B"/>
    <w:rsid w:val="718D2089"/>
    <w:rsid w:val="718D545E"/>
    <w:rsid w:val="718E0A27"/>
    <w:rsid w:val="718E3519"/>
    <w:rsid w:val="718F3339"/>
    <w:rsid w:val="718F6E95"/>
    <w:rsid w:val="718F76DE"/>
    <w:rsid w:val="719170B1"/>
    <w:rsid w:val="71926F72"/>
    <w:rsid w:val="71940C37"/>
    <w:rsid w:val="719426FE"/>
    <w:rsid w:val="71946BA2"/>
    <w:rsid w:val="7194738B"/>
    <w:rsid w:val="71951611"/>
    <w:rsid w:val="71951D5D"/>
    <w:rsid w:val="71956476"/>
    <w:rsid w:val="719721EE"/>
    <w:rsid w:val="71983729"/>
    <w:rsid w:val="719941B8"/>
    <w:rsid w:val="71997D14"/>
    <w:rsid w:val="719C03F4"/>
    <w:rsid w:val="719C5A56"/>
    <w:rsid w:val="719C653B"/>
    <w:rsid w:val="719F449E"/>
    <w:rsid w:val="719F5BDF"/>
    <w:rsid w:val="71A07C6F"/>
    <w:rsid w:val="71A44693"/>
    <w:rsid w:val="71A52B5D"/>
    <w:rsid w:val="71A60683"/>
    <w:rsid w:val="71A62431"/>
    <w:rsid w:val="71A65C9F"/>
    <w:rsid w:val="71A7216A"/>
    <w:rsid w:val="71AA3CCF"/>
    <w:rsid w:val="71AB5C99"/>
    <w:rsid w:val="71AB6469"/>
    <w:rsid w:val="71AC2C9D"/>
    <w:rsid w:val="71AC3EEB"/>
    <w:rsid w:val="71AC5777"/>
    <w:rsid w:val="71AD1A11"/>
    <w:rsid w:val="71AD3E82"/>
    <w:rsid w:val="71AD7C63"/>
    <w:rsid w:val="71AE13FF"/>
    <w:rsid w:val="71AE2B03"/>
    <w:rsid w:val="71AF3E21"/>
    <w:rsid w:val="71B0505E"/>
    <w:rsid w:val="71B05DF1"/>
    <w:rsid w:val="71B132B0"/>
    <w:rsid w:val="71B20DD6"/>
    <w:rsid w:val="71B23C3C"/>
    <w:rsid w:val="71B2527A"/>
    <w:rsid w:val="71B42DA0"/>
    <w:rsid w:val="71B45234"/>
    <w:rsid w:val="71B608C6"/>
    <w:rsid w:val="71B62725"/>
    <w:rsid w:val="71B63E66"/>
    <w:rsid w:val="71B7273E"/>
    <w:rsid w:val="71B763EC"/>
    <w:rsid w:val="71B96608"/>
    <w:rsid w:val="71BB2380"/>
    <w:rsid w:val="71BB412E"/>
    <w:rsid w:val="71BC1338"/>
    <w:rsid w:val="71BC3A02"/>
    <w:rsid w:val="71BD0C19"/>
    <w:rsid w:val="71BD4E37"/>
    <w:rsid w:val="71BE25F8"/>
    <w:rsid w:val="71BE777B"/>
    <w:rsid w:val="71C01745"/>
    <w:rsid w:val="71C034F3"/>
    <w:rsid w:val="71C03E9F"/>
    <w:rsid w:val="71C04F18"/>
    <w:rsid w:val="71C07997"/>
    <w:rsid w:val="71C07AE9"/>
    <w:rsid w:val="71C254BD"/>
    <w:rsid w:val="71C34938"/>
    <w:rsid w:val="71C36445"/>
    <w:rsid w:val="71C50D8A"/>
    <w:rsid w:val="71C5167D"/>
    <w:rsid w:val="71C519EE"/>
    <w:rsid w:val="71C6294E"/>
    <w:rsid w:val="71C6395B"/>
    <w:rsid w:val="71C64881"/>
    <w:rsid w:val="71C64BCC"/>
    <w:rsid w:val="71C70D25"/>
    <w:rsid w:val="71C75F49"/>
    <w:rsid w:val="71C83C58"/>
    <w:rsid w:val="71C8684B"/>
    <w:rsid w:val="71C9673F"/>
    <w:rsid w:val="71C9770B"/>
    <w:rsid w:val="71CA25C3"/>
    <w:rsid w:val="71CA611F"/>
    <w:rsid w:val="71CB1E97"/>
    <w:rsid w:val="71CB239B"/>
    <w:rsid w:val="71CD0512"/>
    <w:rsid w:val="71CE09AC"/>
    <w:rsid w:val="71CF7BDA"/>
    <w:rsid w:val="71D21478"/>
    <w:rsid w:val="71D21648"/>
    <w:rsid w:val="71D23226"/>
    <w:rsid w:val="71D2364B"/>
    <w:rsid w:val="71D243A3"/>
    <w:rsid w:val="71D421FA"/>
    <w:rsid w:val="71D451F0"/>
    <w:rsid w:val="71D7083C"/>
    <w:rsid w:val="71D745B6"/>
    <w:rsid w:val="71D77D96"/>
    <w:rsid w:val="71D84CE0"/>
    <w:rsid w:val="71D90A58"/>
    <w:rsid w:val="71D92806"/>
    <w:rsid w:val="71DA7879"/>
    <w:rsid w:val="71DA7DE6"/>
    <w:rsid w:val="71DB4D78"/>
    <w:rsid w:val="71DB657E"/>
    <w:rsid w:val="71DC0DB4"/>
    <w:rsid w:val="71DC2593"/>
    <w:rsid w:val="71DC40A5"/>
    <w:rsid w:val="71DD3E65"/>
    <w:rsid w:val="71DE1BCB"/>
    <w:rsid w:val="71DE606F"/>
    <w:rsid w:val="71DF714A"/>
    <w:rsid w:val="71E01DE7"/>
    <w:rsid w:val="71E03B95"/>
    <w:rsid w:val="71E13469"/>
    <w:rsid w:val="71E24ED2"/>
    <w:rsid w:val="71E267CD"/>
    <w:rsid w:val="71E31F1A"/>
    <w:rsid w:val="71E35433"/>
    <w:rsid w:val="71E36184"/>
    <w:rsid w:val="71E51A64"/>
    <w:rsid w:val="71E51B99"/>
    <w:rsid w:val="71E53AF6"/>
    <w:rsid w:val="71E74F23"/>
    <w:rsid w:val="71E819EE"/>
    <w:rsid w:val="71E847F7"/>
    <w:rsid w:val="71EA0570"/>
    <w:rsid w:val="71EA1312"/>
    <w:rsid w:val="71EA31A9"/>
    <w:rsid w:val="71EA4A14"/>
    <w:rsid w:val="71EB39A1"/>
    <w:rsid w:val="71EB6843"/>
    <w:rsid w:val="71EC078C"/>
    <w:rsid w:val="71EC21E0"/>
    <w:rsid w:val="71EC5EEF"/>
    <w:rsid w:val="71ED32B9"/>
    <w:rsid w:val="71ED62B2"/>
    <w:rsid w:val="71EE3B19"/>
    <w:rsid w:val="71EE46F8"/>
    <w:rsid w:val="71EE50B0"/>
    <w:rsid w:val="71EF3DD8"/>
    <w:rsid w:val="71F028B6"/>
    <w:rsid w:val="71F118FE"/>
    <w:rsid w:val="71F17B50"/>
    <w:rsid w:val="71F24A38"/>
    <w:rsid w:val="71F25676"/>
    <w:rsid w:val="71F30B5A"/>
    <w:rsid w:val="71F320E9"/>
    <w:rsid w:val="71F47640"/>
    <w:rsid w:val="71F87130"/>
    <w:rsid w:val="71F900F9"/>
    <w:rsid w:val="71FA376F"/>
    <w:rsid w:val="71FA3814"/>
    <w:rsid w:val="71FB09CF"/>
    <w:rsid w:val="71FB47DA"/>
    <w:rsid w:val="71FB79C9"/>
    <w:rsid w:val="71FC02A3"/>
    <w:rsid w:val="71FC3F4E"/>
    <w:rsid w:val="71FD175A"/>
    <w:rsid w:val="71FD64F5"/>
    <w:rsid w:val="71FE04BF"/>
    <w:rsid w:val="71FE111C"/>
    <w:rsid w:val="71FE226D"/>
    <w:rsid w:val="72000113"/>
    <w:rsid w:val="72005FE5"/>
    <w:rsid w:val="72007D93"/>
    <w:rsid w:val="72011E7F"/>
    <w:rsid w:val="72015340"/>
    <w:rsid w:val="72030D2C"/>
    <w:rsid w:val="72031631"/>
    <w:rsid w:val="7203730E"/>
    <w:rsid w:val="72044B97"/>
    <w:rsid w:val="7205184D"/>
    <w:rsid w:val="720535FB"/>
    <w:rsid w:val="7208043A"/>
    <w:rsid w:val="72084E9A"/>
    <w:rsid w:val="720A68E1"/>
    <w:rsid w:val="720A716D"/>
    <w:rsid w:val="720B10BF"/>
    <w:rsid w:val="720B208F"/>
    <w:rsid w:val="720B6251"/>
    <w:rsid w:val="720C2BDC"/>
    <w:rsid w:val="720C498A"/>
    <w:rsid w:val="720D1255"/>
    <w:rsid w:val="720D24B0"/>
    <w:rsid w:val="720D425E"/>
    <w:rsid w:val="720D49AF"/>
    <w:rsid w:val="720F27CE"/>
    <w:rsid w:val="720F447A"/>
    <w:rsid w:val="72111FA0"/>
    <w:rsid w:val="72115F01"/>
    <w:rsid w:val="72124DB5"/>
    <w:rsid w:val="72133F6A"/>
    <w:rsid w:val="72165809"/>
    <w:rsid w:val="72165DE1"/>
    <w:rsid w:val="7216658A"/>
    <w:rsid w:val="721814FB"/>
    <w:rsid w:val="721B0177"/>
    <w:rsid w:val="721B2E1F"/>
    <w:rsid w:val="721B6FB3"/>
    <w:rsid w:val="721C0443"/>
    <w:rsid w:val="721C3014"/>
    <w:rsid w:val="721C3121"/>
    <w:rsid w:val="721D423F"/>
    <w:rsid w:val="721D6A37"/>
    <w:rsid w:val="721E28D3"/>
    <w:rsid w:val="721E46BD"/>
    <w:rsid w:val="721E51E3"/>
    <w:rsid w:val="721F290F"/>
    <w:rsid w:val="722050A4"/>
    <w:rsid w:val="72224E9C"/>
    <w:rsid w:val="72226E86"/>
    <w:rsid w:val="72227D09"/>
    <w:rsid w:val="72231CD3"/>
    <w:rsid w:val="72233A82"/>
    <w:rsid w:val="72243DB7"/>
    <w:rsid w:val="72247BD2"/>
    <w:rsid w:val="72247F25"/>
    <w:rsid w:val="72253AD4"/>
    <w:rsid w:val="72264B69"/>
    <w:rsid w:val="722744EB"/>
    <w:rsid w:val="72281098"/>
    <w:rsid w:val="72282616"/>
    <w:rsid w:val="7229249A"/>
    <w:rsid w:val="722A4E10"/>
    <w:rsid w:val="722B6AA8"/>
    <w:rsid w:val="722C27E9"/>
    <w:rsid w:val="722C2936"/>
    <w:rsid w:val="722C6DDA"/>
    <w:rsid w:val="722D744F"/>
    <w:rsid w:val="722E2B52"/>
    <w:rsid w:val="722F0678"/>
    <w:rsid w:val="722F470F"/>
    <w:rsid w:val="72312642"/>
    <w:rsid w:val="72314A08"/>
    <w:rsid w:val="72335ACF"/>
    <w:rsid w:val="72343EE1"/>
    <w:rsid w:val="72345C8F"/>
    <w:rsid w:val="72347A3D"/>
    <w:rsid w:val="72350776"/>
    <w:rsid w:val="723637B5"/>
    <w:rsid w:val="72364F60"/>
    <w:rsid w:val="723700F2"/>
    <w:rsid w:val="72370744"/>
    <w:rsid w:val="72380ACC"/>
    <w:rsid w:val="7238342A"/>
    <w:rsid w:val="723839D1"/>
    <w:rsid w:val="7238577F"/>
    <w:rsid w:val="723D74B1"/>
    <w:rsid w:val="723E2669"/>
    <w:rsid w:val="723E48DD"/>
    <w:rsid w:val="723E4F1D"/>
    <w:rsid w:val="723F4D5F"/>
    <w:rsid w:val="7240240E"/>
    <w:rsid w:val="72402885"/>
    <w:rsid w:val="72411947"/>
    <w:rsid w:val="724203AC"/>
    <w:rsid w:val="7242215A"/>
    <w:rsid w:val="72424275"/>
    <w:rsid w:val="724265FE"/>
    <w:rsid w:val="7243144C"/>
    <w:rsid w:val="72435ED2"/>
    <w:rsid w:val="72442376"/>
    <w:rsid w:val="72450A52"/>
    <w:rsid w:val="7245772C"/>
    <w:rsid w:val="724578F3"/>
    <w:rsid w:val="72457E9C"/>
    <w:rsid w:val="72463941"/>
    <w:rsid w:val="724752F1"/>
    <w:rsid w:val="72493BB5"/>
    <w:rsid w:val="72497810"/>
    <w:rsid w:val="724A6091"/>
    <w:rsid w:val="724B607B"/>
    <w:rsid w:val="724C2FD8"/>
    <w:rsid w:val="724C5DE0"/>
    <w:rsid w:val="724D1E41"/>
    <w:rsid w:val="724E32D1"/>
    <w:rsid w:val="72521067"/>
    <w:rsid w:val="72521C52"/>
    <w:rsid w:val="72525067"/>
    <w:rsid w:val="72525EE8"/>
    <w:rsid w:val="7253496F"/>
    <w:rsid w:val="72536115"/>
    <w:rsid w:val="725400DF"/>
    <w:rsid w:val="72545C55"/>
    <w:rsid w:val="72551C9C"/>
    <w:rsid w:val="72563E57"/>
    <w:rsid w:val="72565C05"/>
    <w:rsid w:val="725700A9"/>
    <w:rsid w:val="72587BCF"/>
    <w:rsid w:val="72595015"/>
    <w:rsid w:val="725956F5"/>
    <w:rsid w:val="725A3947"/>
    <w:rsid w:val="725B146D"/>
    <w:rsid w:val="725B321B"/>
    <w:rsid w:val="725D51E5"/>
    <w:rsid w:val="725D6A40"/>
    <w:rsid w:val="725D6F93"/>
    <w:rsid w:val="725E2815"/>
    <w:rsid w:val="725F0F5E"/>
    <w:rsid w:val="72600832"/>
    <w:rsid w:val="72604CD6"/>
    <w:rsid w:val="726063F0"/>
    <w:rsid w:val="72606A84"/>
    <w:rsid w:val="726102B7"/>
    <w:rsid w:val="72610BFB"/>
    <w:rsid w:val="72615139"/>
    <w:rsid w:val="72620A4E"/>
    <w:rsid w:val="726227FC"/>
    <w:rsid w:val="726245AA"/>
    <w:rsid w:val="7262557D"/>
    <w:rsid w:val="72634067"/>
    <w:rsid w:val="7264411B"/>
    <w:rsid w:val="72646574"/>
    <w:rsid w:val="72646C38"/>
    <w:rsid w:val="72651553"/>
    <w:rsid w:val="72661558"/>
    <w:rsid w:val="7267225E"/>
    <w:rsid w:val="726729E8"/>
    <w:rsid w:val="726755B9"/>
    <w:rsid w:val="726773A7"/>
    <w:rsid w:val="72691DDC"/>
    <w:rsid w:val="72693B8A"/>
    <w:rsid w:val="726A345E"/>
    <w:rsid w:val="726B4E8B"/>
    <w:rsid w:val="726C4EFD"/>
    <w:rsid w:val="726D44AE"/>
    <w:rsid w:val="726E0757"/>
    <w:rsid w:val="726E117A"/>
    <w:rsid w:val="726F1CAB"/>
    <w:rsid w:val="727051DB"/>
    <w:rsid w:val="727147ED"/>
    <w:rsid w:val="72715B9E"/>
    <w:rsid w:val="72720B33"/>
    <w:rsid w:val="72734A09"/>
    <w:rsid w:val="72750781"/>
    <w:rsid w:val="72752234"/>
    <w:rsid w:val="72757BBD"/>
    <w:rsid w:val="727600D9"/>
    <w:rsid w:val="727667E2"/>
    <w:rsid w:val="727724DD"/>
    <w:rsid w:val="7278201F"/>
    <w:rsid w:val="72783DCD"/>
    <w:rsid w:val="727868CE"/>
    <w:rsid w:val="727918F3"/>
    <w:rsid w:val="727A5D97"/>
    <w:rsid w:val="727A7B45"/>
    <w:rsid w:val="727B566C"/>
    <w:rsid w:val="727C2292"/>
    <w:rsid w:val="727D297F"/>
    <w:rsid w:val="727D5888"/>
    <w:rsid w:val="727F2D6D"/>
    <w:rsid w:val="72803EE2"/>
    <w:rsid w:val="72807126"/>
    <w:rsid w:val="72822590"/>
    <w:rsid w:val="72822E9E"/>
    <w:rsid w:val="72834C3B"/>
    <w:rsid w:val="72840E99"/>
    <w:rsid w:val="72842772"/>
    <w:rsid w:val="72845C7B"/>
    <w:rsid w:val="72850298"/>
    <w:rsid w:val="728704B4"/>
    <w:rsid w:val="728712B3"/>
    <w:rsid w:val="72872262"/>
    <w:rsid w:val="72874010"/>
    <w:rsid w:val="728845A4"/>
    <w:rsid w:val="72897D89"/>
    <w:rsid w:val="728B07CD"/>
    <w:rsid w:val="728B1D53"/>
    <w:rsid w:val="728C7879"/>
    <w:rsid w:val="728D1EA4"/>
    <w:rsid w:val="728E27A7"/>
    <w:rsid w:val="728F1BF4"/>
    <w:rsid w:val="729047C5"/>
    <w:rsid w:val="729055BB"/>
    <w:rsid w:val="72910C91"/>
    <w:rsid w:val="72930C07"/>
    <w:rsid w:val="72930F7D"/>
    <w:rsid w:val="729329B5"/>
    <w:rsid w:val="729445D6"/>
    <w:rsid w:val="72952BD1"/>
    <w:rsid w:val="72957565"/>
    <w:rsid w:val="729624A5"/>
    <w:rsid w:val="72966EF6"/>
    <w:rsid w:val="72976A9F"/>
    <w:rsid w:val="72987FCC"/>
    <w:rsid w:val="729A01E8"/>
    <w:rsid w:val="729A2B65"/>
    <w:rsid w:val="729A51B5"/>
    <w:rsid w:val="729A5C25"/>
    <w:rsid w:val="729B5F95"/>
    <w:rsid w:val="729B634B"/>
    <w:rsid w:val="729C5DE0"/>
    <w:rsid w:val="729D1A86"/>
    <w:rsid w:val="729D3834"/>
    <w:rsid w:val="729D6DC9"/>
    <w:rsid w:val="729E15A3"/>
    <w:rsid w:val="729F57FE"/>
    <w:rsid w:val="729F75AC"/>
    <w:rsid w:val="72A050D2"/>
    <w:rsid w:val="72A11576"/>
    <w:rsid w:val="72A20E4A"/>
    <w:rsid w:val="72A4535D"/>
    <w:rsid w:val="72A526E9"/>
    <w:rsid w:val="72A76461"/>
    <w:rsid w:val="72A823A1"/>
    <w:rsid w:val="72A852AD"/>
    <w:rsid w:val="72A9042B"/>
    <w:rsid w:val="72A921D9"/>
    <w:rsid w:val="72AB0F03"/>
    <w:rsid w:val="72AB3280"/>
    <w:rsid w:val="72AB5F51"/>
    <w:rsid w:val="72AC65F9"/>
    <w:rsid w:val="72AC7F1B"/>
    <w:rsid w:val="72AE5A41"/>
    <w:rsid w:val="72AF5315"/>
    <w:rsid w:val="72AF5465"/>
    <w:rsid w:val="72B15531"/>
    <w:rsid w:val="72B22791"/>
    <w:rsid w:val="72B24F8E"/>
    <w:rsid w:val="72B27B5F"/>
    <w:rsid w:val="72B315F5"/>
    <w:rsid w:val="72B33140"/>
    <w:rsid w:val="72B35CA3"/>
    <w:rsid w:val="72B55021"/>
    <w:rsid w:val="72B55050"/>
    <w:rsid w:val="72B56DCF"/>
    <w:rsid w:val="72B664E0"/>
    <w:rsid w:val="72B868C0"/>
    <w:rsid w:val="72B92290"/>
    <w:rsid w:val="72B931FF"/>
    <w:rsid w:val="72BB1F0C"/>
    <w:rsid w:val="72BC1668"/>
    <w:rsid w:val="72BC5A5F"/>
    <w:rsid w:val="72BC63B0"/>
    <w:rsid w:val="72BD3ED6"/>
    <w:rsid w:val="72BD5C84"/>
    <w:rsid w:val="72BF4D9F"/>
    <w:rsid w:val="72BF7C4E"/>
    <w:rsid w:val="72C12E8D"/>
    <w:rsid w:val="72C15774"/>
    <w:rsid w:val="72C20B97"/>
    <w:rsid w:val="72C211DD"/>
    <w:rsid w:val="72C2329A"/>
    <w:rsid w:val="72C30157"/>
    <w:rsid w:val="72C47013"/>
    <w:rsid w:val="72C54B39"/>
    <w:rsid w:val="72C56DE9"/>
    <w:rsid w:val="72C708B1"/>
    <w:rsid w:val="72C708F5"/>
    <w:rsid w:val="72CC4119"/>
    <w:rsid w:val="72CC5EC7"/>
    <w:rsid w:val="72CE1C3F"/>
    <w:rsid w:val="72CE7F48"/>
    <w:rsid w:val="72D011F2"/>
    <w:rsid w:val="72D01C58"/>
    <w:rsid w:val="72D05AEC"/>
    <w:rsid w:val="72D134DE"/>
    <w:rsid w:val="72D272FF"/>
    <w:rsid w:val="72D51220"/>
    <w:rsid w:val="72D57472"/>
    <w:rsid w:val="72D60AF4"/>
    <w:rsid w:val="72D71558"/>
    <w:rsid w:val="72D827E1"/>
    <w:rsid w:val="72D82ABE"/>
    <w:rsid w:val="72D8486C"/>
    <w:rsid w:val="72DA4A88"/>
    <w:rsid w:val="72DA6836"/>
    <w:rsid w:val="72DB562A"/>
    <w:rsid w:val="72DD00D4"/>
    <w:rsid w:val="72DD1E82"/>
    <w:rsid w:val="72DD6326"/>
    <w:rsid w:val="72DE2EB6"/>
    <w:rsid w:val="72DF2121"/>
    <w:rsid w:val="72E01973"/>
    <w:rsid w:val="72E254FD"/>
    <w:rsid w:val="72E256EB"/>
    <w:rsid w:val="72E25D71"/>
    <w:rsid w:val="72E27499"/>
    <w:rsid w:val="72E34BBB"/>
    <w:rsid w:val="72E4201F"/>
    <w:rsid w:val="72E46440"/>
    <w:rsid w:val="72E60FA3"/>
    <w:rsid w:val="72E66F89"/>
    <w:rsid w:val="72E71B23"/>
    <w:rsid w:val="72E74AAF"/>
    <w:rsid w:val="72E8213A"/>
    <w:rsid w:val="72EB0A43"/>
    <w:rsid w:val="72EB6860"/>
    <w:rsid w:val="72EC0317"/>
    <w:rsid w:val="72EC1245"/>
    <w:rsid w:val="72ED47BB"/>
    <w:rsid w:val="72EE0533"/>
    <w:rsid w:val="72F00843"/>
    <w:rsid w:val="72F01BB6"/>
    <w:rsid w:val="72F07E08"/>
    <w:rsid w:val="72F16C7E"/>
    <w:rsid w:val="72F1716C"/>
    <w:rsid w:val="72F26077"/>
    <w:rsid w:val="72F30AB4"/>
    <w:rsid w:val="72F316A6"/>
    <w:rsid w:val="72F378F8"/>
    <w:rsid w:val="72F42D90"/>
    <w:rsid w:val="72F45648"/>
    <w:rsid w:val="72F52A96"/>
    <w:rsid w:val="72F53670"/>
    <w:rsid w:val="72F571CC"/>
    <w:rsid w:val="72F62F44"/>
    <w:rsid w:val="72F71196"/>
    <w:rsid w:val="72F74E03"/>
    <w:rsid w:val="72FB055A"/>
    <w:rsid w:val="72FC67AC"/>
    <w:rsid w:val="72FD0776"/>
    <w:rsid w:val="72FD2525"/>
    <w:rsid w:val="72FF2BE1"/>
    <w:rsid w:val="72FF6166"/>
    <w:rsid w:val="72FF629D"/>
    <w:rsid w:val="73007336"/>
    <w:rsid w:val="73007857"/>
    <w:rsid w:val="73010267"/>
    <w:rsid w:val="73014343"/>
    <w:rsid w:val="730218E9"/>
    <w:rsid w:val="73024264"/>
    <w:rsid w:val="73027B3B"/>
    <w:rsid w:val="730317BE"/>
    <w:rsid w:val="73035600"/>
    <w:rsid w:val="73035F77"/>
    <w:rsid w:val="73043B0A"/>
    <w:rsid w:val="73045661"/>
    <w:rsid w:val="73054BA3"/>
    <w:rsid w:val="730554DF"/>
    <w:rsid w:val="73067B11"/>
    <w:rsid w:val="73072C8D"/>
    <w:rsid w:val="73075151"/>
    <w:rsid w:val="730753CF"/>
    <w:rsid w:val="73076EFF"/>
    <w:rsid w:val="73084A11"/>
    <w:rsid w:val="730906A8"/>
    <w:rsid w:val="7309711B"/>
    <w:rsid w:val="730B2363"/>
    <w:rsid w:val="730B69EF"/>
    <w:rsid w:val="730C2768"/>
    <w:rsid w:val="730D1BFA"/>
    <w:rsid w:val="730D2878"/>
    <w:rsid w:val="730E4732"/>
    <w:rsid w:val="730F4203"/>
    <w:rsid w:val="73102258"/>
    <w:rsid w:val="73103C63"/>
    <w:rsid w:val="7311057B"/>
    <w:rsid w:val="73110F5C"/>
    <w:rsid w:val="73116E3A"/>
    <w:rsid w:val="731233EB"/>
    <w:rsid w:val="73143404"/>
    <w:rsid w:val="73144891"/>
    <w:rsid w:val="7315786E"/>
    <w:rsid w:val="7317663E"/>
    <w:rsid w:val="73186D0D"/>
    <w:rsid w:val="731971C0"/>
    <w:rsid w:val="731B1FFE"/>
    <w:rsid w:val="731B41FE"/>
    <w:rsid w:val="731B7D64"/>
    <w:rsid w:val="731C29AB"/>
    <w:rsid w:val="731C568E"/>
    <w:rsid w:val="731E0651"/>
    <w:rsid w:val="731F1E77"/>
    <w:rsid w:val="73201E23"/>
    <w:rsid w:val="73214465"/>
    <w:rsid w:val="73216213"/>
    <w:rsid w:val="73217FC1"/>
    <w:rsid w:val="73223D39"/>
    <w:rsid w:val="73224E88"/>
    <w:rsid w:val="732452B0"/>
    <w:rsid w:val="73245D03"/>
    <w:rsid w:val="73246DDB"/>
    <w:rsid w:val="73247AB1"/>
    <w:rsid w:val="73261D44"/>
    <w:rsid w:val="73262214"/>
    <w:rsid w:val="73263796"/>
    <w:rsid w:val="73263ED1"/>
    <w:rsid w:val="73267CCD"/>
    <w:rsid w:val="732775A1"/>
    <w:rsid w:val="7329331A"/>
    <w:rsid w:val="73293662"/>
    <w:rsid w:val="732950C8"/>
    <w:rsid w:val="732964DA"/>
    <w:rsid w:val="732B0E40"/>
    <w:rsid w:val="732B1431"/>
    <w:rsid w:val="732B7092"/>
    <w:rsid w:val="732E7110"/>
    <w:rsid w:val="732F01D4"/>
    <w:rsid w:val="7330627B"/>
    <w:rsid w:val="73306456"/>
    <w:rsid w:val="733148A6"/>
    <w:rsid w:val="73316D17"/>
    <w:rsid w:val="73320420"/>
    <w:rsid w:val="733221CE"/>
    <w:rsid w:val="73330749"/>
    <w:rsid w:val="7334649C"/>
    <w:rsid w:val="73353A6C"/>
    <w:rsid w:val="733676C5"/>
    <w:rsid w:val="73375F50"/>
    <w:rsid w:val="73381355"/>
    <w:rsid w:val="7339283E"/>
    <w:rsid w:val="733972BD"/>
    <w:rsid w:val="733A5527"/>
    <w:rsid w:val="733A6CBD"/>
    <w:rsid w:val="733B4DEC"/>
    <w:rsid w:val="733C4DFB"/>
    <w:rsid w:val="733C707A"/>
    <w:rsid w:val="733D49C7"/>
    <w:rsid w:val="733E0A28"/>
    <w:rsid w:val="733E5017"/>
    <w:rsid w:val="733E6DC5"/>
    <w:rsid w:val="733F0D8F"/>
    <w:rsid w:val="733F2189"/>
    <w:rsid w:val="73403821"/>
    <w:rsid w:val="73412FE2"/>
    <w:rsid w:val="7342768C"/>
    <w:rsid w:val="7343262D"/>
    <w:rsid w:val="73441F01"/>
    <w:rsid w:val="73461305"/>
    <w:rsid w:val="73463ECB"/>
    <w:rsid w:val="734737A0"/>
    <w:rsid w:val="73487C44"/>
    <w:rsid w:val="734B1181"/>
    <w:rsid w:val="734B14E2"/>
    <w:rsid w:val="734B3290"/>
    <w:rsid w:val="734B7734"/>
    <w:rsid w:val="734F0FD2"/>
    <w:rsid w:val="73500988"/>
    <w:rsid w:val="735071F1"/>
    <w:rsid w:val="735139B5"/>
    <w:rsid w:val="73520AC2"/>
    <w:rsid w:val="735257D1"/>
    <w:rsid w:val="73542E59"/>
    <w:rsid w:val="735465E8"/>
    <w:rsid w:val="735526DB"/>
    <w:rsid w:val="7355282B"/>
    <w:rsid w:val="73555EBD"/>
    <w:rsid w:val="73571C35"/>
    <w:rsid w:val="73577FD4"/>
    <w:rsid w:val="73577FD8"/>
    <w:rsid w:val="7358775B"/>
    <w:rsid w:val="73590FEE"/>
    <w:rsid w:val="73591E51"/>
    <w:rsid w:val="735B0460"/>
    <w:rsid w:val="735C549D"/>
    <w:rsid w:val="735D2FC3"/>
    <w:rsid w:val="735E0AA5"/>
    <w:rsid w:val="735F2141"/>
    <w:rsid w:val="735F4F8D"/>
    <w:rsid w:val="73602E23"/>
    <w:rsid w:val="73614861"/>
    <w:rsid w:val="736237DA"/>
    <w:rsid w:val="73625252"/>
    <w:rsid w:val="736308DE"/>
    <w:rsid w:val="73634A7D"/>
    <w:rsid w:val="7363682B"/>
    <w:rsid w:val="73636F7D"/>
    <w:rsid w:val="736425A4"/>
    <w:rsid w:val="73646797"/>
    <w:rsid w:val="7365052D"/>
    <w:rsid w:val="736507F6"/>
    <w:rsid w:val="7367736B"/>
    <w:rsid w:val="73677C34"/>
    <w:rsid w:val="73684A6D"/>
    <w:rsid w:val="736B1B84"/>
    <w:rsid w:val="736B3932"/>
    <w:rsid w:val="736B56E0"/>
    <w:rsid w:val="736C271A"/>
    <w:rsid w:val="736F5C2F"/>
    <w:rsid w:val="73700F48"/>
    <w:rsid w:val="73702CF6"/>
    <w:rsid w:val="73727D47"/>
    <w:rsid w:val="7373292A"/>
    <w:rsid w:val="73734595"/>
    <w:rsid w:val="7375030D"/>
    <w:rsid w:val="737547B1"/>
    <w:rsid w:val="73770529"/>
    <w:rsid w:val="737722D7"/>
    <w:rsid w:val="737732E3"/>
    <w:rsid w:val="7377413B"/>
    <w:rsid w:val="737946A1"/>
    <w:rsid w:val="7379604F"/>
    <w:rsid w:val="737A3503"/>
    <w:rsid w:val="737A5923"/>
    <w:rsid w:val="737C5B3F"/>
    <w:rsid w:val="737D0F13"/>
    <w:rsid w:val="737E5413"/>
    <w:rsid w:val="737F2F3A"/>
    <w:rsid w:val="738113A0"/>
    <w:rsid w:val="73831A57"/>
    <w:rsid w:val="738467A2"/>
    <w:rsid w:val="73852CC7"/>
    <w:rsid w:val="7386076C"/>
    <w:rsid w:val="73860A7E"/>
    <w:rsid w:val="738736A0"/>
    <w:rsid w:val="7387721E"/>
    <w:rsid w:val="73877A65"/>
    <w:rsid w:val="738801EA"/>
    <w:rsid w:val="738844E4"/>
    <w:rsid w:val="738A5B9F"/>
    <w:rsid w:val="738C280D"/>
    <w:rsid w:val="738E13CF"/>
    <w:rsid w:val="738F5872"/>
    <w:rsid w:val="739015EB"/>
    <w:rsid w:val="7390694A"/>
    <w:rsid w:val="73916A10"/>
    <w:rsid w:val="739237C4"/>
    <w:rsid w:val="73927111"/>
    <w:rsid w:val="73941822"/>
    <w:rsid w:val="73956ADE"/>
    <w:rsid w:val="73966D40"/>
    <w:rsid w:val="739820F2"/>
    <w:rsid w:val="73986CD7"/>
    <w:rsid w:val="73986EF1"/>
    <w:rsid w:val="739909DB"/>
    <w:rsid w:val="73994800"/>
    <w:rsid w:val="739A31EC"/>
    <w:rsid w:val="739A54A6"/>
    <w:rsid w:val="739A5FC5"/>
    <w:rsid w:val="739B4217"/>
    <w:rsid w:val="739C0C02"/>
    <w:rsid w:val="739C3AEB"/>
    <w:rsid w:val="739C7F8F"/>
    <w:rsid w:val="739F0DA7"/>
    <w:rsid w:val="739F35DC"/>
    <w:rsid w:val="739F3D5B"/>
    <w:rsid w:val="739F538A"/>
    <w:rsid w:val="73A15C88"/>
    <w:rsid w:val="73A17EFA"/>
    <w:rsid w:val="73A34E7A"/>
    <w:rsid w:val="73A62BBC"/>
    <w:rsid w:val="73A6496A"/>
    <w:rsid w:val="73A6532A"/>
    <w:rsid w:val="73A82E32"/>
    <w:rsid w:val="73A86557"/>
    <w:rsid w:val="73A903A4"/>
    <w:rsid w:val="73A929B9"/>
    <w:rsid w:val="73AA0E77"/>
    <w:rsid w:val="73AA26AC"/>
    <w:rsid w:val="73AA445A"/>
    <w:rsid w:val="73AB1F81"/>
    <w:rsid w:val="73AB7A96"/>
    <w:rsid w:val="73AC2130"/>
    <w:rsid w:val="73AD3F4B"/>
    <w:rsid w:val="73AD522B"/>
    <w:rsid w:val="73AD7AA7"/>
    <w:rsid w:val="73AF1093"/>
    <w:rsid w:val="73AF1A71"/>
    <w:rsid w:val="73AF2A42"/>
    <w:rsid w:val="73AF6429"/>
    <w:rsid w:val="73B01345"/>
    <w:rsid w:val="73B027E7"/>
    <w:rsid w:val="73B07597"/>
    <w:rsid w:val="73B078B9"/>
    <w:rsid w:val="73B13A3B"/>
    <w:rsid w:val="73B14241"/>
    <w:rsid w:val="73B3111C"/>
    <w:rsid w:val="73B40E35"/>
    <w:rsid w:val="73B455DC"/>
    <w:rsid w:val="73B47087"/>
    <w:rsid w:val="73B515B8"/>
    <w:rsid w:val="73B726D3"/>
    <w:rsid w:val="73B72B30"/>
    <w:rsid w:val="73B928EF"/>
    <w:rsid w:val="73BB6668"/>
    <w:rsid w:val="73BC5F3C"/>
    <w:rsid w:val="73BD2AD7"/>
    <w:rsid w:val="73BE6784"/>
    <w:rsid w:val="73BE7F06"/>
    <w:rsid w:val="73BF0E77"/>
    <w:rsid w:val="73C16C59"/>
    <w:rsid w:val="73C26A64"/>
    <w:rsid w:val="73C32079"/>
    <w:rsid w:val="73C33969"/>
    <w:rsid w:val="73C3551C"/>
    <w:rsid w:val="73C60B68"/>
    <w:rsid w:val="73C66DBA"/>
    <w:rsid w:val="73C90B38"/>
    <w:rsid w:val="73C910A3"/>
    <w:rsid w:val="73CA0460"/>
    <w:rsid w:val="73CB00D3"/>
    <w:rsid w:val="73CB27C1"/>
    <w:rsid w:val="73CB2D80"/>
    <w:rsid w:val="73CB43D1"/>
    <w:rsid w:val="73CC3466"/>
    <w:rsid w:val="73CC7445"/>
    <w:rsid w:val="73CC7D67"/>
    <w:rsid w:val="73CD639B"/>
    <w:rsid w:val="73CE37CB"/>
    <w:rsid w:val="73CF2113"/>
    <w:rsid w:val="73CF3B8B"/>
    <w:rsid w:val="73CF3EC1"/>
    <w:rsid w:val="73D00F12"/>
    <w:rsid w:val="73D03795"/>
    <w:rsid w:val="73D15D1A"/>
    <w:rsid w:val="73D207B5"/>
    <w:rsid w:val="73D2575F"/>
    <w:rsid w:val="73D268B9"/>
    <w:rsid w:val="73D2750D"/>
    <w:rsid w:val="73D414D7"/>
    <w:rsid w:val="73D43285"/>
    <w:rsid w:val="73D547B7"/>
    <w:rsid w:val="73D60652"/>
    <w:rsid w:val="73D67D92"/>
    <w:rsid w:val="73D70FC8"/>
    <w:rsid w:val="73D75286"/>
    <w:rsid w:val="73D8040D"/>
    <w:rsid w:val="73D83EF4"/>
    <w:rsid w:val="73D87156"/>
    <w:rsid w:val="73D9388C"/>
    <w:rsid w:val="73DB0AB8"/>
    <w:rsid w:val="73DB2866"/>
    <w:rsid w:val="73DD1F96"/>
    <w:rsid w:val="73DE2356"/>
    <w:rsid w:val="73DE4104"/>
    <w:rsid w:val="73DE5EB2"/>
    <w:rsid w:val="73DF3DC7"/>
    <w:rsid w:val="73E07E7C"/>
    <w:rsid w:val="73E111AC"/>
    <w:rsid w:val="73E14FC8"/>
    <w:rsid w:val="73E204A0"/>
    <w:rsid w:val="73E212B8"/>
    <w:rsid w:val="73E21E46"/>
    <w:rsid w:val="73E24B34"/>
    <w:rsid w:val="73E3171A"/>
    <w:rsid w:val="73E501B2"/>
    <w:rsid w:val="73E55492"/>
    <w:rsid w:val="73E57241"/>
    <w:rsid w:val="73E831D5"/>
    <w:rsid w:val="73EA2AA9"/>
    <w:rsid w:val="73EA337E"/>
    <w:rsid w:val="73EA7ADC"/>
    <w:rsid w:val="73EB3750"/>
    <w:rsid w:val="73EC073B"/>
    <w:rsid w:val="73EC4A73"/>
    <w:rsid w:val="73ED07EB"/>
    <w:rsid w:val="73ED4C8A"/>
    <w:rsid w:val="73EF4058"/>
    <w:rsid w:val="73F05BE5"/>
    <w:rsid w:val="73F12089"/>
    <w:rsid w:val="73F145A7"/>
    <w:rsid w:val="73F358B3"/>
    <w:rsid w:val="73F37E67"/>
    <w:rsid w:val="73F4070C"/>
    <w:rsid w:val="73F5336A"/>
    <w:rsid w:val="73F60854"/>
    <w:rsid w:val="73F6342A"/>
    <w:rsid w:val="73F63E24"/>
    <w:rsid w:val="73F73418"/>
    <w:rsid w:val="73F751C6"/>
    <w:rsid w:val="73F81D9D"/>
    <w:rsid w:val="73F85DBC"/>
    <w:rsid w:val="73F912DD"/>
    <w:rsid w:val="73FB4CB6"/>
    <w:rsid w:val="73FB6A64"/>
    <w:rsid w:val="73FE0302"/>
    <w:rsid w:val="73FE47A6"/>
    <w:rsid w:val="73FE5C0F"/>
    <w:rsid w:val="74001B7C"/>
    <w:rsid w:val="7400407A"/>
    <w:rsid w:val="7400610E"/>
    <w:rsid w:val="740109ED"/>
    <w:rsid w:val="74025A20"/>
    <w:rsid w:val="740305F1"/>
    <w:rsid w:val="740447A5"/>
    <w:rsid w:val="74051691"/>
    <w:rsid w:val="74055B35"/>
    <w:rsid w:val="74065409"/>
    <w:rsid w:val="740718AD"/>
    <w:rsid w:val="74082F2F"/>
    <w:rsid w:val="74094463"/>
    <w:rsid w:val="740C1244"/>
    <w:rsid w:val="740D2C3B"/>
    <w:rsid w:val="740D392B"/>
    <w:rsid w:val="740D5A73"/>
    <w:rsid w:val="740D6797"/>
    <w:rsid w:val="740D77C6"/>
    <w:rsid w:val="740E3C5F"/>
    <w:rsid w:val="740F250F"/>
    <w:rsid w:val="740F42BD"/>
    <w:rsid w:val="741144D9"/>
    <w:rsid w:val="74116287"/>
    <w:rsid w:val="74122000"/>
    <w:rsid w:val="74123DAE"/>
    <w:rsid w:val="74147B26"/>
    <w:rsid w:val="74152A06"/>
    <w:rsid w:val="74162EDF"/>
    <w:rsid w:val="7416564C"/>
    <w:rsid w:val="741713C4"/>
    <w:rsid w:val="74174818"/>
    <w:rsid w:val="74185868"/>
    <w:rsid w:val="7419175E"/>
    <w:rsid w:val="741953E8"/>
    <w:rsid w:val="741A0AF0"/>
    <w:rsid w:val="741B4E64"/>
    <w:rsid w:val="741B5358"/>
    <w:rsid w:val="741C0022"/>
    <w:rsid w:val="741E07F8"/>
    <w:rsid w:val="741E6BF6"/>
    <w:rsid w:val="741F695B"/>
    <w:rsid w:val="74205599"/>
    <w:rsid w:val="74212243"/>
    <w:rsid w:val="74213FF1"/>
    <w:rsid w:val="74214084"/>
    <w:rsid w:val="74220495"/>
    <w:rsid w:val="74237D69"/>
    <w:rsid w:val="74244A66"/>
    <w:rsid w:val="74253AE1"/>
    <w:rsid w:val="74257F85"/>
    <w:rsid w:val="7426655C"/>
    <w:rsid w:val="74285B6B"/>
    <w:rsid w:val="7429762D"/>
    <w:rsid w:val="742A559B"/>
    <w:rsid w:val="742C30C1"/>
    <w:rsid w:val="742D050C"/>
    <w:rsid w:val="742D0653"/>
    <w:rsid w:val="742D0C4A"/>
    <w:rsid w:val="742D6E39"/>
    <w:rsid w:val="742D74FD"/>
    <w:rsid w:val="742E508B"/>
    <w:rsid w:val="742F0F2B"/>
    <w:rsid w:val="742F117A"/>
    <w:rsid w:val="742F4960"/>
    <w:rsid w:val="7430760E"/>
    <w:rsid w:val="7431366F"/>
    <w:rsid w:val="7431692A"/>
    <w:rsid w:val="7432548D"/>
    <w:rsid w:val="74337243"/>
    <w:rsid w:val="74341FF0"/>
    <w:rsid w:val="743453B3"/>
    <w:rsid w:val="7435033D"/>
    <w:rsid w:val="743508AF"/>
    <w:rsid w:val="74351337"/>
    <w:rsid w:val="7436355C"/>
    <w:rsid w:val="74365CEE"/>
    <w:rsid w:val="74367A9C"/>
    <w:rsid w:val="74381A66"/>
    <w:rsid w:val="74387CB8"/>
    <w:rsid w:val="743957DE"/>
    <w:rsid w:val="7439758C"/>
    <w:rsid w:val="743B3304"/>
    <w:rsid w:val="743B64D1"/>
    <w:rsid w:val="743C0E2B"/>
    <w:rsid w:val="743D52CE"/>
    <w:rsid w:val="743E4BA3"/>
    <w:rsid w:val="74404DBF"/>
    <w:rsid w:val="74407633"/>
    <w:rsid w:val="744228E5"/>
    <w:rsid w:val="74423302"/>
    <w:rsid w:val="7442796E"/>
    <w:rsid w:val="7443040B"/>
    <w:rsid w:val="74446E2B"/>
    <w:rsid w:val="74473E10"/>
    <w:rsid w:val="74485A21"/>
    <w:rsid w:val="744918F6"/>
    <w:rsid w:val="7449771E"/>
    <w:rsid w:val="744A13A5"/>
    <w:rsid w:val="744A7557"/>
    <w:rsid w:val="744C5512"/>
    <w:rsid w:val="744D3038"/>
    <w:rsid w:val="744D3DD1"/>
    <w:rsid w:val="744D4DE6"/>
    <w:rsid w:val="744E2A46"/>
    <w:rsid w:val="744E5768"/>
    <w:rsid w:val="7452064E"/>
    <w:rsid w:val="74552028"/>
    <w:rsid w:val="74566390"/>
    <w:rsid w:val="745919DD"/>
    <w:rsid w:val="74591FEB"/>
    <w:rsid w:val="7459534C"/>
    <w:rsid w:val="74597C2E"/>
    <w:rsid w:val="745A3719"/>
    <w:rsid w:val="745B39A7"/>
    <w:rsid w:val="745B519B"/>
    <w:rsid w:val="745C758A"/>
    <w:rsid w:val="745D5973"/>
    <w:rsid w:val="745E6825"/>
    <w:rsid w:val="745F3497"/>
    <w:rsid w:val="74602515"/>
    <w:rsid w:val="74604B19"/>
    <w:rsid w:val="7460720F"/>
    <w:rsid w:val="7461635A"/>
    <w:rsid w:val="74620891"/>
    <w:rsid w:val="74624D35"/>
    <w:rsid w:val="7463285B"/>
    <w:rsid w:val="74640AAD"/>
    <w:rsid w:val="74642080"/>
    <w:rsid w:val="7465049A"/>
    <w:rsid w:val="7465458F"/>
    <w:rsid w:val="74654825"/>
    <w:rsid w:val="746565D3"/>
    <w:rsid w:val="74662FBC"/>
    <w:rsid w:val="746638BA"/>
    <w:rsid w:val="7466743E"/>
    <w:rsid w:val="74674561"/>
    <w:rsid w:val="74675EA7"/>
    <w:rsid w:val="74681C20"/>
    <w:rsid w:val="74687E72"/>
    <w:rsid w:val="746B4828"/>
    <w:rsid w:val="746C4381"/>
    <w:rsid w:val="746C7962"/>
    <w:rsid w:val="746D116A"/>
    <w:rsid w:val="746D7236"/>
    <w:rsid w:val="746E36DA"/>
    <w:rsid w:val="746F1200"/>
    <w:rsid w:val="746F7452"/>
    <w:rsid w:val="7470715B"/>
    <w:rsid w:val="747131CA"/>
    <w:rsid w:val="74714F78"/>
    <w:rsid w:val="74733422"/>
    <w:rsid w:val="747405C4"/>
    <w:rsid w:val="74745F38"/>
    <w:rsid w:val="7476258E"/>
    <w:rsid w:val="7477729D"/>
    <w:rsid w:val="7479207F"/>
    <w:rsid w:val="747B5DF7"/>
    <w:rsid w:val="747B7C0F"/>
    <w:rsid w:val="747D1B6F"/>
    <w:rsid w:val="747D2472"/>
    <w:rsid w:val="747E1443"/>
    <w:rsid w:val="74800122"/>
    <w:rsid w:val="74802E55"/>
    <w:rsid w:val="748051BB"/>
    <w:rsid w:val="74806F69"/>
    <w:rsid w:val="74816EB6"/>
    <w:rsid w:val="7481790F"/>
    <w:rsid w:val="74820F33"/>
    <w:rsid w:val="74826A17"/>
    <w:rsid w:val="74827185"/>
    <w:rsid w:val="74832ED3"/>
    <w:rsid w:val="748424F9"/>
    <w:rsid w:val="748434F5"/>
    <w:rsid w:val="74850A24"/>
    <w:rsid w:val="74851BDC"/>
    <w:rsid w:val="748527D2"/>
    <w:rsid w:val="748562C7"/>
    <w:rsid w:val="74856C75"/>
    <w:rsid w:val="7487654A"/>
    <w:rsid w:val="74890514"/>
    <w:rsid w:val="7489073B"/>
    <w:rsid w:val="748922C2"/>
    <w:rsid w:val="74894EF3"/>
    <w:rsid w:val="74895648"/>
    <w:rsid w:val="7489680C"/>
    <w:rsid w:val="748A31AB"/>
    <w:rsid w:val="748A53C5"/>
    <w:rsid w:val="748A603A"/>
    <w:rsid w:val="748A7DE8"/>
    <w:rsid w:val="748B6945"/>
    <w:rsid w:val="748B700A"/>
    <w:rsid w:val="748C1DB2"/>
    <w:rsid w:val="748D5459"/>
    <w:rsid w:val="748F3650"/>
    <w:rsid w:val="748F53FE"/>
    <w:rsid w:val="749173C8"/>
    <w:rsid w:val="74933140"/>
    <w:rsid w:val="74934EEE"/>
    <w:rsid w:val="74936C9D"/>
    <w:rsid w:val="7495532C"/>
    <w:rsid w:val="74955D2B"/>
    <w:rsid w:val="7496138D"/>
    <w:rsid w:val="74962C31"/>
    <w:rsid w:val="7496678D"/>
    <w:rsid w:val="74977C4C"/>
    <w:rsid w:val="7499627D"/>
    <w:rsid w:val="749A119E"/>
    <w:rsid w:val="749A44CF"/>
    <w:rsid w:val="749A53EB"/>
    <w:rsid w:val="749B0247"/>
    <w:rsid w:val="749B3DA3"/>
    <w:rsid w:val="749B567A"/>
    <w:rsid w:val="749E5641"/>
    <w:rsid w:val="749F1AE5"/>
    <w:rsid w:val="749F50D6"/>
    <w:rsid w:val="74A04972"/>
    <w:rsid w:val="74A12027"/>
    <w:rsid w:val="74A13B99"/>
    <w:rsid w:val="74A3170A"/>
    <w:rsid w:val="74A40E40"/>
    <w:rsid w:val="74A40EAA"/>
    <w:rsid w:val="74A470FC"/>
    <w:rsid w:val="74A55CD2"/>
    <w:rsid w:val="74A62F57"/>
    <w:rsid w:val="74A62FCE"/>
    <w:rsid w:val="74A7099A"/>
    <w:rsid w:val="74A71D7F"/>
    <w:rsid w:val="74A72748"/>
    <w:rsid w:val="74A72A38"/>
    <w:rsid w:val="74A73213"/>
    <w:rsid w:val="74A81B9D"/>
    <w:rsid w:val="74A84EEA"/>
    <w:rsid w:val="74A92964"/>
    <w:rsid w:val="74A9301A"/>
    <w:rsid w:val="74AB74F9"/>
    <w:rsid w:val="74AC4202"/>
    <w:rsid w:val="74AE507D"/>
    <w:rsid w:val="74AF5AA0"/>
    <w:rsid w:val="74B11819"/>
    <w:rsid w:val="74B20053"/>
    <w:rsid w:val="74B308B5"/>
    <w:rsid w:val="74B310ED"/>
    <w:rsid w:val="74B44E65"/>
    <w:rsid w:val="74B51309"/>
    <w:rsid w:val="74B54D12"/>
    <w:rsid w:val="74B60BDD"/>
    <w:rsid w:val="74B65081"/>
    <w:rsid w:val="74B66F7B"/>
    <w:rsid w:val="74B77499"/>
    <w:rsid w:val="74B82BA7"/>
    <w:rsid w:val="74B84955"/>
    <w:rsid w:val="74BA06CD"/>
    <w:rsid w:val="74BA7B5E"/>
    <w:rsid w:val="74BB2697"/>
    <w:rsid w:val="74BB61F3"/>
    <w:rsid w:val="74BC0421"/>
    <w:rsid w:val="74BD01BD"/>
    <w:rsid w:val="74BD364F"/>
    <w:rsid w:val="74BF3309"/>
    <w:rsid w:val="74BF42E4"/>
    <w:rsid w:val="74C02E7E"/>
    <w:rsid w:val="74C14349"/>
    <w:rsid w:val="74C23A26"/>
    <w:rsid w:val="74C4154C"/>
    <w:rsid w:val="74C652C4"/>
    <w:rsid w:val="74C72BBE"/>
    <w:rsid w:val="74C72DEA"/>
    <w:rsid w:val="74C74B98"/>
    <w:rsid w:val="74C80A3A"/>
    <w:rsid w:val="74C82B06"/>
    <w:rsid w:val="74C859A1"/>
    <w:rsid w:val="74C94DB4"/>
    <w:rsid w:val="74C95AC7"/>
    <w:rsid w:val="74CA573B"/>
    <w:rsid w:val="74CA6436"/>
    <w:rsid w:val="74CB0B2C"/>
    <w:rsid w:val="74CC21AE"/>
    <w:rsid w:val="74CC2ACF"/>
    <w:rsid w:val="74CE23CA"/>
    <w:rsid w:val="74CE3CD7"/>
    <w:rsid w:val="74CE4179"/>
    <w:rsid w:val="74CF694D"/>
    <w:rsid w:val="74D07EF1"/>
    <w:rsid w:val="74D13C69"/>
    <w:rsid w:val="74D155BE"/>
    <w:rsid w:val="74D15A17"/>
    <w:rsid w:val="74D16B63"/>
    <w:rsid w:val="74D177C5"/>
    <w:rsid w:val="74D20D69"/>
    <w:rsid w:val="74D21D5E"/>
    <w:rsid w:val="74D41734"/>
    <w:rsid w:val="74D42813"/>
    <w:rsid w:val="74D472B5"/>
    <w:rsid w:val="74D53759"/>
    <w:rsid w:val="74D55507"/>
    <w:rsid w:val="74D6302D"/>
    <w:rsid w:val="74D66494"/>
    <w:rsid w:val="74D70BCA"/>
    <w:rsid w:val="74D7721F"/>
    <w:rsid w:val="74D84FF7"/>
    <w:rsid w:val="74DA48CB"/>
    <w:rsid w:val="74DA5C86"/>
    <w:rsid w:val="74DB4EF0"/>
    <w:rsid w:val="74DB6895"/>
    <w:rsid w:val="74DC1EAE"/>
    <w:rsid w:val="74DC4AE7"/>
    <w:rsid w:val="74DD0860"/>
    <w:rsid w:val="74DD260E"/>
    <w:rsid w:val="74DD616A"/>
    <w:rsid w:val="74DE6F14"/>
    <w:rsid w:val="74DF1EE2"/>
    <w:rsid w:val="74E00A58"/>
    <w:rsid w:val="74E043D0"/>
    <w:rsid w:val="74E05901"/>
    <w:rsid w:val="74E05C5A"/>
    <w:rsid w:val="74E25E76"/>
    <w:rsid w:val="74E279D7"/>
    <w:rsid w:val="74E27C24"/>
    <w:rsid w:val="74E27F0F"/>
    <w:rsid w:val="74E41BEE"/>
    <w:rsid w:val="74E43907"/>
    <w:rsid w:val="74E50EA2"/>
    <w:rsid w:val="74E514C2"/>
    <w:rsid w:val="74E7348C"/>
    <w:rsid w:val="74E80998"/>
    <w:rsid w:val="74E827B5"/>
    <w:rsid w:val="74E874F4"/>
    <w:rsid w:val="74E953AD"/>
    <w:rsid w:val="74EA0887"/>
    <w:rsid w:val="74EE0377"/>
    <w:rsid w:val="74EF1E0C"/>
    <w:rsid w:val="74F02830"/>
    <w:rsid w:val="74F05B02"/>
    <w:rsid w:val="74F05C86"/>
    <w:rsid w:val="74F160B9"/>
    <w:rsid w:val="74F17E67"/>
    <w:rsid w:val="74F2125E"/>
    <w:rsid w:val="74F2511E"/>
    <w:rsid w:val="74F33324"/>
    <w:rsid w:val="74F3598D"/>
    <w:rsid w:val="74F35D48"/>
    <w:rsid w:val="74F448B7"/>
    <w:rsid w:val="74F55BA9"/>
    <w:rsid w:val="74F60E4B"/>
    <w:rsid w:val="74F75B59"/>
    <w:rsid w:val="74FA0ACC"/>
    <w:rsid w:val="74FA304A"/>
    <w:rsid w:val="74FA4F6E"/>
    <w:rsid w:val="74FA7E9A"/>
    <w:rsid w:val="74FC1EBF"/>
    <w:rsid w:val="74FF07D6"/>
    <w:rsid w:val="74FF2584"/>
    <w:rsid w:val="75006486"/>
    <w:rsid w:val="750110F0"/>
    <w:rsid w:val="750202C6"/>
    <w:rsid w:val="75032B4D"/>
    <w:rsid w:val="7504558C"/>
    <w:rsid w:val="7505015D"/>
    <w:rsid w:val="75060A4E"/>
    <w:rsid w:val="75061B64"/>
    <w:rsid w:val="75062387"/>
    <w:rsid w:val="750641BE"/>
    <w:rsid w:val="75065A61"/>
    <w:rsid w:val="750752D4"/>
    <w:rsid w:val="7508359F"/>
    <w:rsid w:val="75087867"/>
    <w:rsid w:val="75091655"/>
    <w:rsid w:val="75092604"/>
    <w:rsid w:val="7509415A"/>
    <w:rsid w:val="75096639"/>
    <w:rsid w:val="75096F5F"/>
    <w:rsid w:val="750C4CA1"/>
    <w:rsid w:val="750D68EF"/>
    <w:rsid w:val="750E0130"/>
    <w:rsid w:val="750E27C7"/>
    <w:rsid w:val="750E47A6"/>
    <w:rsid w:val="750E6C6B"/>
    <w:rsid w:val="75102179"/>
    <w:rsid w:val="751029E3"/>
    <w:rsid w:val="7510653F"/>
    <w:rsid w:val="751122B7"/>
    <w:rsid w:val="751274E9"/>
    <w:rsid w:val="75134281"/>
    <w:rsid w:val="7513602F"/>
    <w:rsid w:val="75137DDD"/>
    <w:rsid w:val="75143CB6"/>
    <w:rsid w:val="751467C2"/>
    <w:rsid w:val="75146E7F"/>
    <w:rsid w:val="75151DA7"/>
    <w:rsid w:val="75153B55"/>
    <w:rsid w:val="75157FF9"/>
    <w:rsid w:val="751620DB"/>
    <w:rsid w:val="7516373A"/>
    <w:rsid w:val="75164545"/>
    <w:rsid w:val="75194C26"/>
    <w:rsid w:val="751A116C"/>
    <w:rsid w:val="751A5610"/>
    <w:rsid w:val="751B2383"/>
    <w:rsid w:val="751B292A"/>
    <w:rsid w:val="751F1223"/>
    <w:rsid w:val="751F49D4"/>
    <w:rsid w:val="752124FA"/>
    <w:rsid w:val="7521699E"/>
    <w:rsid w:val="75220020"/>
    <w:rsid w:val="752244C4"/>
    <w:rsid w:val="75226272"/>
    <w:rsid w:val="75227685"/>
    <w:rsid w:val="752305D9"/>
    <w:rsid w:val="75232716"/>
    <w:rsid w:val="75243D99"/>
    <w:rsid w:val="75256005"/>
    <w:rsid w:val="75265D63"/>
    <w:rsid w:val="75282E62"/>
    <w:rsid w:val="75287D2D"/>
    <w:rsid w:val="75295853"/>
    <w:rsid w:val="752A51A3"/>
    <w:rsid w:val="752B2CCC"/>
    <w:rsid w:val="752B38FD"/>
    <w:rsid w:val="752B5127"/>
    <w:rsid w:val="752F4570"/>
    <w:rsid w:val="7530273D"/>
    <w:rsid w:val="753164B5"/>
    <w:rsid w:val="75324707"/>
    <w:rsid w:val="7532674E"/>
    <w:rsid w:val="7533222E"/>
    <w:rsid w:val="753331DA"/>
    <w:rsid w:val="7533659B"/>
    <w:rsid w:val="753541F8"/>
    <w:rsid w:val="7536669F"/>
    <w:rsid w:val="75366F8A"/>
    <w:rsid w:val="75375EDA"/>
    <w:rsid w:val="7537793E"/>
    <w:rsid w:val="75377F70"/>
    <w:rsid w:val="75383CE8"/>
    <w:rsid w:val="753A35BC"/>
    <w:rsid w:val="753B10E2"/>
    <w:rsid w:val="753C37D8"/>
    <w:rsid w:val="753C5F49"/>
    <w:rsid w:val="753D1241"/>
    <w:rsid w:val="753D30AC"/>
    <w:rsid w:val="753D32F4"/>
    <w:rsid w:val="753D4E5A"/>
    <w:rsid w:val="753F0BD2"/>
    <w:rsid w:val="753F3B93"/>
    <w:rsid w:val="753F5076"/>
    <w:rsid w:val="753F5B62"/>
    <w:rsid w:val="753F6E24"/>
    <w:rsid w:val="753F741B"/>
    <w:rsid w:val="75413306"/>
    <w:rsid w:val="7541494A"/>
    <w:rsid w:val="75427AEF"/>
    <w:rsid w:val="75475CD9"/>
    <w:rsid w:val="75481E2B"/>
    <w:rsid w:val="754937FF"/>
    <w:rsid w:val="754A7FD1"/>
    <w:rsid w:val="754C1137"/>
    <w:rsid w:val="754C28F1"/>
    <w:rsid w:val="754D1541"/>
    <w:rsid w:val="754D7793"/>
    <w:rsid w:val="754E350B"/>
    <w:rsid w:val="754F44DE"/>
    <w:rsid w:val="75501031"/>
    <w:rsid w:val="75502702"/>
    <w:rsid w:val="75510906"/>
    <w:rsid w:val="75524DAA"/>
    <w:rsid w:val="75526B58"/>
    <w:rsid w:val="75530B22"/>
    <w:rsid w:val="75531CD2"/>
    <w:rsid w:val="755328D0"/>
    <w:rsid w:val="755350F9"/>
    <w:rsid w:val="75546D59"/>
    <w:rsid w:val="75574608"/>
    <w:rsid w:val="75577A04"/>
    <w:rsid w:val="75581C94"/>
    <w:rsid w:val="75587EE6"/>
    <w:rsid w:val="755B0EDD"/>
    <w:rsid w:val="755B6016"/>
    <w:rsid w:val="755C3532"/>
    <w:rsid w:val="755D5634"/>
    <w:rsid w:val="755D72AA"/>
    <w:rsid w:val="755D7991"/>
    <w:rsid w:val="755F1275"/>
    <w:rsid w:val="75617CC0"/>
    <w:rsid w:val="75630023"/>
    <w:rsid w:val="75630D65"/>
    <w:rsid w:val="75632946"/>
    <w:rsid w:val="756400B3"/>
    <w:rsid w:val="75644ADD"/>
    <w:rsid w:val="75647617"/>
    <w:rsid w:val="7565118D"/>
    <w:rsid w:val="75654BD9"/>
    <w:rsid w:val="7567120A"/>
    <w:rsid w:val="756839CF"/>
    <w:rsid w:val="756844AB"/>
    <w:rsid w:val="7569778F"/>
    <w:rsid w:val="756A1B73"/>
    <w:rsid w:val="756B0CB3"/>
    <w:rsid w:val="756B2EB1"/>
    <w:rsid w:val="756B5C54"/>
    <w:rsid w:val="756C079A"/>
    <w:rsid w:val="756C29FB"/>
    <w:rsid w:val="756D1BE3"/>
    <w:rsid w:val="756D3991"/>
    <w:rsid w:val="756E3266"/>
    <w:rsid w:val="757022DE"/>
    <w:rsid w:val="75703482"/>
    <w:rsid w:val="75705230"/>
    <w:rsid w:val="75706FDE"/>
    <w:rsid w:val="75722AC6"/>
    <w:rsid w:val="7572460C"/>
    <w:rsid w:val="7573066D"/>
    <w:rsid w:val="75734D20"/>
    <w:rsid w:val="75742F72"/>
    <w:rsid w:val="75750A98"/>
    <w:rsid w:val="75752846"/>
    <w:rsid w:val="75754009"/>
    <w:rsid w:val="757634AE"/>
    <w:rsid w:val="75763CDA"/>
    <w:rsid w:val="75763F65"/>
    <w:rsid w:val="7576441D"/>
    <w:rsid w:val="757649DB"/>
    <w:rsid w:val="75764D82"/>
    <w:rsid w:val="75773520"/>
    <w:rsid w:val="75774810"/>
    <w:rsid w:val="75774EF4"/>
    <w:rsid w:val="757765BE"/>
    <w:rsid w:val="75784F5B"/>
    <w:rsid w:val="75786D3D"/>
    <w:rsid w:val="757921C7"/>
    <w:rsid w:val="75792336"/>
    <w:rsid w:val="757A1C0A"/>
    <w:rsid w:val="757A3356"/>
    <w:rsid w:val="757B56C2"/>
    <w:rsid w:val="757D0BCD"/>
    <w:rsid w:val="757D16FB"/>
    <w:rsid w:val="757D7ACD"/>
    <w:rsid w:val="757E2BAF"/>
    <w:rsid w:val="757E2CBD"/>
    <w:rsid w:val="757E794D"/>
    <w:rsid w:val="757F5473"/>
    <w:rsid w:val="75802AC1"/>
    <w:rsid w:val="75802F53"/>
    <w:rsid w:val="758041B5"/>
    <w:rsid w:val="758075D4"/>
    <w:rsid w:val="758123D8"/>
    <w:rsid w:val="75812F99"/>
    <w:rsid w:val="75826D11"/>
    <w:rsid w:val="75840CDB"/>
    <w:rsid w:val="7584105D"/>
    <w:rsid w:val="75846F2D"/>
    <w:rsid w:val="75862CA5"/>
    <w:rsid w:val="75864E87"/>
    <w:rsid w:val="75866E01"/>
    <w:rsid w:val="75874327"/>
    <w:rsid w:val="75882579"/>
    <w:rsid w:val="758A3D23"/>
    <w:rsid w:val="758A5B24"/>
    <w:rsid w:val="758A6C2A"/>
    <w:rsid w:val="758B206A"/>
    <w:rsid w:val="758B689E"/>
    <w:rsid w:val="758D282B"/>
    <w:rsid w:val="758D37CE"/>
    <w:rsid w:val="758D56DE"/>
    <w:rsid w:val="758D5DE2"/>
    <w:rsid w:val="758E00D6"/>
    <w:rsid w:val="758E3908"/>
    <w:rsid w:val="758E45D3"/>
    <w:rsid w:val="758F0CAF"/>
    <w:rsid w:val="7590142E"/>
    <w:rsid w:val="75905ACB"/>
    <w:rsid w:val="75910012"/>
    <w:rsid w:val="759156D7"/>
    <w:rsid w:val="759233F8"/>
    <w:rsid w:val="759251A6"/>
    <w:rsid w:val="75932CCC"/>
    <w:rsid w:val="759403A7"/>
    <w:rsid w:val="75956A44"/>
    <w:rsid w:val="75970A0E"/>
    <w:rsid w:val="759761F8"/>
    <w:rsid w:val="759C7DD3"/>
    <w:rsid w:val="759D0B26"/>
    <w:rsid w:val="759E017F"/>
    <w:rsid w:val="759E3629"/>
    <w:rsid w:val="759F4AB9"/>
    <w:rsid w:val="759F5B15"/>
    <w:rsid w:val="75A0385C"/>
    <w:rsid w:val="75A153E9"/>
    <w:rsid w:val="75A35605"/>
    <w:rsid w:val="75A4312B"/>
    <w:rsid w:val="75A5092B"/>
    <w:rsid w:val="75A5137D"/>
    <w:rsid w:val="75A60C51"/>
    <w:rsid w:val="75A66EA3"/>
    <w:rsid w:val="75A675E6"/>
    <w:rsid w:val="75A74C61"/>
    <w:rsid w:val="75AA4844"/>
    <w:rsid w:val="75AB5830"/>
    <w:rsid w:val="75AC4499"/>
    <w:rsid w:val="75AD31CB"/>
    <w:rsid w:val="75AD3D8E"/>
    <w:rsid w:val="75AE1BF7"/>
    <w:rsid w:val="75AE5041"/>
    <w:rsid w:val="75AF3FAA"/>
    <w:rsid w:val="75AF5D58"/>
    <w:rsid w:val="75B12711"/>
    <w:rsid w:val="75B3511C"/>
    <w:rsid w:val="75B415C0"/>
    <w:rsid w:val="75B50E95"/>
    <w:rsid w:val="75B54C4A"/>
    <w:rsid w:val="75B570E6"/>
    <w:rsid w:val="75B6295B"/>
    <w:rsid w:val="75B80AC2"/>
    <w:rsid w:val="75B90985"/>
    <w:rsid w:val="75BA46FD"/>
    <w:rsid w:val="75BA5E27"/>
    <w:rsid w:val="75BA64AB"/>
    <w:rsid w:val="75BA6AC0"/>
    <w:rsid w:val="75BA7E8C"/>
    <w:rsid w:val="75BB63EA"/>
    <w:rsid w:val="75BC5722"/>
    <w:rsid w:val="75BD03C5"/>
    <w:rsid w:val="75BD2C6D"/>
    <w:rsid w:val="75BD3A45"/>
    <w:rsid w:val="75BE243F"/>
    <w:rsid w:val="75BF1D13"/>
    <w:rsid w:val="75BF7F65"/>
    <w:rsid w:val="75C0221A"/>
    <w:rsid w:val="75C027C2"/>
    <w:rsid w:val="75C05533"/>
    <w:rsid w:val="75C1193B"/>
    <w:rsid w:val="75C31084"/>
    <w:rsid w:val="75C335B1"/>
    <w:rsid w:val="75C37A55"/>
    <w:rsid w:val="75C4732A"/>
    <w:rsid w:val="75C5116E"/>
    <w:rsid w:val="75C52CC7"/>
    <w:rsid w:val="75C5473C"/>
    <w:rsid w:val="75C612F4"/>
    <w:rsid w:val="75C7737F"/>
    <w:rsid w:val="75C86896"/>
    <w:rsid w:val="75C86E1A"/>
    <w:rsid w:val="75CB06B8"/>
    <w:rsid w:val="75CB2D0F"/>
    <w:rsid w:val="75CB3D87"/>
    <w:rsid w:val="75CB4B5C"/>
    <w:rsid w:val="75CC7A53"/>
    <w:rsid w:val="75CD4430"/>
    <w:rsid w:val="75CD61DE"/>
    <w:rsid w:val="75CD72E8"/>
    <w:rsid w:val="75CF01A8"/>
    <w:rsid w:val="75D03F20"/>
    <w:rsid w:val="75D05028"/>
    <w:rsid w:val="75D05D09"/>
    <w:rsid w:val="75D160D9"/>
    <w:rsid w:val="75D237F5"/>
    <w:rsid w:val="75D4756D"/>
    <w:rsid w:val="75D51537"/>
    <w:rsid w:val="75D532E5"/>
    <w:rsid w:val="75D61A08"/>
    <w:rsid w:val="75D67759"/>
    <w:rsid w:val="75D67789"/>
    <w:rsid w:val="75D704C8"/>
    <w:rsid w:val="75D73501"/>
    <w:rsid w:val="75D752AF"/>
    <w:rsid w:val="75D76B17"/>
    <w:rsid w:val="75D7705D"/>
    <w:rsid w:val="75D86622"/>
    <w:rsid w:val="75D9165A"/>
    <w:rsid w:val="75D94C4A"/>
    <w:rsid w:val="75D9781B"/>
    <w:rsid w:val="75DA6B4D"/>
    <w:rsid w:val="75DB4D9F"/>
    <w:rsid w:val="75DC28C5"/>
    <w:rsid w:val="75DC3E6A"/>
    <w:rsid w:val="75DC4D0C"/>
    <w:rsid w:val="75DE488F"/>
    <w:rsid w:val="75DE5D4A"/>
    <w:rsid w:val="75DE663D"/>
    <w:rsid w:val="75DF4163"/>
    <w:rsid w:val="75DF705C"/>
    <w:rsid w:val="75E0022C"/>
    <w:rsid w:val="75E023B5"/>
    <w:rsid w:val="75E02E39"/>
    <w:rsid w:val="75E04553"/>
    <w:rsid w:val="75E063AF"/>
    <w:rsid w:val="75E1612D"/>
    <w:rsid w:val="75E17EDC"/>
    <w:rsid w:val="75E21B92"/>
    <w:rsid w:val="75E31EA6"/>
    <w:rsid w:val="75E32189"/>
    <w:rsid w:val="75E33C54"/>
    <w:rsid w:val="75E4177A"/>
    <w:rsid w:val="75E56369"/>
    <w:rsid w:val="75E622AB"/>
    <w:rsid w:val="75E63F5C"/>
    <w:rsid w:val="75E654AB"/>
    <w:rsid w:val="75E654F2"/>
    <w:rsid w:val="75E74DD5"/>
    <w:rsid w:val="75E83018"/>
    <w:rsid w:val="75E874BC"/>
    <w:rsid w:val="75EA01A9"/>
    <w:rsid w:val="75EB0D5A"/>
    <w:rsid w:val="75EB1A91"/>
    <w:rsid w:val="75ED062E"/>
    <w:rsid w:val="75ED64E5"/>
    <w:rsid w:val="75EF25F8"/>
    <w:rsid w:val="75F006EE"/>
    <w:rsid w:val="75F0330A"/>
    <w:rsid w:val="75F04612"/>
    <w:rsid w:val="75F10B8C"/>
    <w:rsid w:val="75F145C2"/>
    <w:rsid w:val="75F23602"/>
    <w:rsid w:val="75F23E97"/>
    <w:rsid w:val="75F25C45"/>
    <w:rsid w:val="75F30949"/>
    <w:rsid w:val="75F419BD"/>
    <w:rsid w:val="75F47C0F"/>
    <w:rsid w:val="75F52CE2"/>
    <w:rsid w:val="75F61D2B"/>
    <w:rsid w:val="75F62069"/>
    <w:rsid w:val="75F64149"/>
    <w:rsid w:val="75F776FF"/>
    <w:rsid w:val="75F91BD5"/>
    <w:rsid w:val="75F93B96"/>
    <w:rsid w:val="75F96FD3"/>
    <w:rsid w:val="75FB46F1"/>
    <w:rsid w:val="75FC2F67"/>
    <w:rsid w:val="75FF08B1"/>
    <w:rsid w:val="76004806"/>
    <w:rsid w:val="760065B4"/>
    <w:rsid w:val="76007DF5"/>
    <w:rsid w:val="760140DA"/>
    <w:rsid w:val="76014E9B"/>
    <w:rsid w:val="76031347"/>
    <w:rsid w:val="76065B94"/>
    <w:rsid w:val="76067942"/>
    <w:rsid w:val="760717EF"/>
    <w:rsid w:val="760836BA"/>
    <w:rsid w:val="760A5684"/>
    <w:rsid w:val="760C28FB"/>
    <w:rsid w:val="760D0CD1"/>
    <w:rsid w:val="760D2A7F"/>
    <w:rsid w:val="760D77C7"/>
    <w:rsid w:val="760E3F65"/>
    <w:rsid w:val="760F4A49"/>
    <w:rsid w:val="760F67F7"/>
    <w:rsid w:val="7610431D"/>
    <w:rsid w:val="761107C1"/>
    <w:rsid w:val="76120095"/>
    <w:rsid w:val="76124A8D"/>
    <w:rsid w:val="76125D2B"/>
    <w:rsid w:val="761402B1"/>
    <w:rsid w:val="7614205F"/>
    <w:rsid w:val="761422CC"/>
    <w:rsid w:val="76143E0D"/>
    <w:rsid w:val="76157B85"/>
    <w:rsid w:val="76161BD7"/>
    <w:rsid w:val="76165DD7"/>
    <w:rsid w:val="761756AB"/>
    <w:rsid w:val="761777BD"/>
    <w:rsid w:val="761958C7"/>
    <w:rsid w:val="76197675"/>
    <w:rsid w:val="761A1D50"/>
    <w:rsid w:val="761A519B"/>
    <w:rsid w:val="761B163F"/>
    <w:rsid w:val="761C1DEC"/>
    <w:rsid w:val="761C7166"/>
    <w:rsid w:val="761D4748"/>
    <w:rsid w:val="761E4ABF"/>
    <w:rsid w:val="762010EE"/>
    <w:rsid w:val="76205AA0"/>
    <w:rsid w:val="76211B6A"/>
    <w:rsid w:val="76212261"/>
    <w:rsid w:val="7621477C"/>
    <w:rsid w:val="762248D0"/>
    <w:rsid w:val="7622555B"/>
    <w:rsid w:val="76235D60"/>
    <w:rsid w:val="76236B62"/>
    <w:rsid w:val="76237D73"/>
    <w:rsid w:val="762471F0"/>
    <w:rsid w:val="76253251"/>
    <w:rsid w:val="76263261"/>
    <w:rsid w:val="7626460D"/>
    <w:rsid w:val="7627692B"/>
    <w:rsid w:val="76277FE4"/>
    <w:rsid w:val="76285B0A"/>
    <w:rsid w:val="762A3631"/>
    <w:rsid w:val="762A44F2"/>
    <w:rsid w:val="762B5982"/>
    <w:rsid w:val="762C3EFC"/>
    <w:rsid w:val="762C5ED2"/>
    <w:rsid w:val="762F0C47"/>
    <w:rsid w:val="762F50EB"/>
    <w:rsid w:val="76320737"/>
    <w:rsid w:val="763239E7"/>
    <w:rsid w:val="763444AF"/>
    <w:rsid w:val="76346D19"/>
    <w:rsid w:val="763849CC"/>
    <w:rsid w:val="7639043D"/>
    <w:rsid w:val="763A2E2D"/>
    <w:rsid w:val="763B0C2D"/>
    <w:rsid w:val="763C15B6"/>
    <w:rsid w:val="763C5112"/>
    <w:rsid w:val="763D108C"/>
    <w:rsid w:val="763E0E8A"/>
    <w:rsid w:val="763E1393"/>
    <w:rsid w:val="763E532E"/>
    <w:rsid w:val="763F7606"/>
    <w:rsid w:val="763F7AB2"/>
    <w:rsid w:val="764010A6"/>
    <w:rsid w:val="76426BCC"/>
    <w:rsid w:val="7643463B"/>
    <w:rsid w:val="764566BC"/>
    <w:rsid w:val="76462296"/>
    <w:rsid w:val="76474013"/>
    <w:rsid w:val="7647594D"/>
    <w:rsid w:val="76481D09"/>
    <w:rsid w:val="764928A0"/>
    <w:rsid w:val="764A3379"/>
    <w:rsid w:val="764A782F"/>
    <w:rsid w:val="764C5E0A"/>
    <w:rsid w:val="764C63FC"/>
    <w:rsid w:val="764C7A4B"/>
    <w:rsid w:val="764D0DF1"/>
    <w:rsid w:val="764D731F"/>
    <w:rsid w:val="764E30F5"/>
    <w:rsid w:val="764E3F42"/>
    <w:rsid w:val="764E5B95"/>
    <w:rsid w:val="764F12E9"/>
    <w:rsid w:val="764F3097"/>
    <w:rsid w:val="764F64BE"/>
    <w:rsid w:val="764F67AD"/>
    <w:rsid w:val="76503A87"/>
    <w:rsid w:val="7650620D"/>
    <w:rsid w:val="76515061"/>
    <w:rsid w:val="76516E0F"/>
    <w:rsid w:val="76553EEB"/>
    <w:rsid w:val="76562679"/>
    <w:rsid w:val="765661D4"/>
    <w:rsid w:val="7657143C"/>
    <w:rsid w:val="76572C6A"/>
    <w:rsid w:val="76581E16"/>
    <w:rsid w:val="76592168"/>
    <w:rsid w:val="765929B4"/>
    <w:rsid w:val="765A0671"/>
    <w:rsid w:val="765C7562"/>
    <w:rsid w:val="765D0650"/>
    <w:rsid w:val="765D7C91"/>
    <w:rsid w:val="765E1BBC"/>
    <w:rsid w:val="765E32DA"/>
    <w:rsid w:val="766052A4"/>
    <w:rsid w:val="76607052"/>
    <w:rsid w:val="766108D3"/>
    <w:rsid w:val="76612DCA"/>
    <w:rsid w:val="76613B89"/>
    <w:rsid w:val="76621D63"/>
    <w:rsid w:val="766466A9"/>
    <w:rsid w:val="76646F81"/>
    <w:rsid w:val="766506E4"/>
    <w:rsid w:val="76650B0D"/>
    <w:rsid w:val="76655B13"/>
    <w:rsid w:val="766703E1"/>
    <w:rsid w:val="76674885"/>
    <w:rsid w:val="766D176F"/>
    <w:rsid w:val="766D79C1"/>
    <w:rsid w:val="766F0578"/>
    <w:rsid w:val="766F7295"/>
    <w:rsid w:val="767026A5"/>
    <w:rsid w:val="76704CDE"/>
    <w:rsid w:val="7671125F"/>
    <w:rsid w:val="7671300D"/>
    <w:rsid w:val="76726D86"/>
    <w:rsid w:val="76731E81"/>
    <w:rsid w:val="76733229"/>
    <w:rsid w:val="7673510A"/>
    <w:rsid w:val="767568EF"/>
    <w:rsid w:val="76760624"/>
    <w:rsid w:val="7677139B"/>
    <w:rsid w:val="767809D9"/>
    <w:rsid w:val="76787A26"/>
    <w:rsid w:val="767B3139"/>
    <w:rsid w:val="767D11BF"/>
    <w:rsid w:val="767D4377"/>
    <w:rsid w:val="767E0779"/>
    <w:rsid w:val="767E1BCE"/>
    <w:rsid w:val="767E29CC"/>
    <w:rsid w:val="767F76B0"/>
    <w:rsid w:val="768014A2"/>
    <w:rsid w:val="76802667"/>
    <w:rsid w:val="76810114"/>
    <w:rsid w:val="7682346D"/>
    <w:rsid w:val="7682521B"/>
    <w:rsid w:val="76830F93"/>
    <w:rsid w:val="768371E5"/>
    <w:rsid w:val="76842EA9"/>
    <w:rsid w:val="76843C6D"/>
    <w:rsid w:val="76856AB9"/>
    <w:rsid w:val="7686785D"/>
    <w:rsid w:val="76882F1E"/>
    <w:rsid w:val="76883246"/>
    <w:rsid w:val="768A0132"/>
    <w:rsid w:val="768A40CF"/>
    <w:rsid w:val="768A5163"/>
    <w:rsid w:val="768B274A"/>
    <w:rsid w:val="768C6099"/>
    <w:rsid w:val="768D26FC"/>
    <w:rsid w:val="768D4D1F"/>
    <w:rsid w:val="768E1E11"/>
    <w:rsid w:val="768E35E4"/>
    <w:rsid w:val="76902210"/>
    <w:rsid w:val="7691545E"/>
    <w:rsid w:val="76933ED8"/>
    <w:rsid w:val="76937428"/>
    <w:rsid w:val="769413F2"/>
    <w:rsid w:val="769431A0"/>
    <w:rsid w:val="76944F4E"/>
    <w:rsid w:val="76960696"/>
    <w:rsid w:val="7696709C"/>
    <w:rsid w:val="769720E3"/>
    <w:rsid w:val="769767EC"/>
    <w:rsid w:val="769812EA"/>
    <w:rsid w:val="769A2AE8"/>
    <w:rsid w:val="769A5ACE"/>
    <w:rsid w:val="769A6A08"/>
    <w:rsid w:val="769C7A84"/>
    <w:rsid w:val="769E41FE"/>
    <w:rsid w:val="769F0874"/>
    <w:rsid w:val="76A15C3A"/>
    <w:rsid w:val="76A2766B"/>
    <w:rsid w:val="76A50F09"/>
    <w:rsid w:val="76A538FE"/>
    <w:rsid w:val="76A5715B"/>
    <w:rsid w:val="76A671FA"/>
    <w:rsid w:val="76A71125"/>
    <w:rsid w:val="76A72C52"/>
    <w:rsid w:val="76AA3BBE"/>
    <w:rsid w:val="76AA4771"/>
    <w:rsid w:val="76AB532C"/>
    <w:rsid w:val="76AC2297"/>
    <w:rsid w:val="76AC673B"/>
    <w:rsid w:val="76AD22B9"/>
    <w:rsid w:val="76AD3743"/>
    <w:rsid w:val="76AD7DBE"/>
    <w:rsid w:val="76AE0F04"/>
    <w:rsid w:val="76AE24B4"/>
    <w:rsid w:val="76AE4262"/>
    <w:rsid w:val="76AE6010"/>
    <w:rsid w:val="76AE63BE"/>
    <w:rsid w:val="76AF0600"/>
    <w:rsid w:val="76AF17F9"/>
    <w:rsid w:val="76AF1D88"/>
    <w:rsid w:val="76AF7FDA"/>
    <w:rsid w:val="76B165B3"/>
    <w:rsid w:val="76B178AE"/>
    <w:rsid w:val="76B26CEA"/>
    <w:rsid w:val="76B34DC5"/>
    <w:rsid w:val="76B37ACA"/>
    <w:rsid w:val="76B406B2"/>
    <w:rsid w:val="76B41F4F"/>
    <w:rsid w:val="76B455F0"/>
    <w:rsid w:val="76B61368"/>
    <w:rsid w:val="76B63116"/>
    <w:rsid w:val="76B64EC4"/>
    <w:rsid w:val="76B66AFB"/>
    <w:rsid w:val="76B70F6A"/>
    <w:rsid w:val="76B7273F"/>
    <w:rsid w:val="76B811E3"/>
    <w:rsid w:val="76B86E8E"/>
    <w:rsid w:val="76B91E0C"/>
    <w:rsid w:val="76BB2A9F"/>
    <w:rsid w:val="76BB46B6"/>
    <w:rsid w:val="76BD26F7"/>
    <w:rsid w:val="76BD3DFD"/>
    <w:rsid w:val="76BD6253"/>
    <w:rsid w:val="76BF12EE"/>
    <w:rsid w:val="76BF7B13"/>
    <w:rsid w:val="76C025DC"/>
    <w:rsid w:val="76C0277E"/>
    <w:rsid w:val="76C03AE5"/>
    <w:rsid w:val="76C07AF1"/>
    <w:rsid w:val="76C105CA"/>
    <w:rsid w:val="76C21ABB"/>
    <w:rsid w:val="76C23869"/>
    <w:rsid w:val="76C375E1"/>
    <w:rsid w:val="76C43A85"/>
    <w:rsid w:val="76C45833"/>
    <w:rsid w:val="76C5235F"/>
    <w:rsid w:val="76C5258F"/>
    <w:rsid w:val="76C70E7F"/>
    <w:rsid w:val="76C75323"/>
    <w:rsid w:val="76C84501"/>
    <w:rsid w:val="76C85916"/>
    <w:rsid w:val="76CA0970"/>
    <w:rsid w:val="76CA4E14"/>
    <w:rsid w:val="76CB2F6F"/>
    <w:rsid w:val="76CC0B8C"/>
    <w:rsid w:val="76CC22B7"/>
    <w:rsid w:val="76CD220E"/>
    <w:rsid w:val="76CE0460"/>
    <w:rsid w:val="76CF5F86"/>
    <w:rsid w:val="76D11CFE"/>
    <w:rsid w:val="76D13A7D"/>
    <w:rsid w:val="76D17F50"/>
    <w:rsid w:val="76D35A76"/>
    <w:rsid w:val="76D37824"/>
    <w:rsid w:val="76D50943"/>
    <w:rsid w:val="76D5612A"/>
    <w:rsid w:val="76D773C6"/>
    <w:rsid w:val="76DA2A8D"/>
    <w:rsid w:val="76DA5057"/>
    <w:rsid w:val="76DB492B"/>
    <w:rsid w:val="76DC19D4"/>
    <w:rsid w:val="76DC54CC"/>
    <w:rsid w:val="76DD4B47"/>
    <w:rsid w:val="76DE441B"/>
    <w:rsid w:val="76E0616A"/>
    <w:rsid w:val="76E25CB9"/>
    <w:rsid w:val="76E41B79"/>
    <w:rsid w:val="76E539FB"/>
    <w:rsid w:val="76E557A9"/>
    <w:rsid w:val="76E61C4D"/>
    <w:rsid w:val="76E6709F"/>
    <w:rsid w:val="76E721AE"/>
    <w:rsid w:val="76E83F7B"/>
    <w:rsid w:val="76E90249"/>
    <w:rsid w:val="76E9529A"/>
    <w:rsid w:val="76E95CBD"/>
    <w:rsid w:val="76EA6FF0"/>
    <w:rsid w:val="76EB4E07"/>
    <w:rsid w:val="76EB5318"/>
    <w:rsid w:val="76EC6B38"/>
    <w:rsid w:val="76EC725A"/>
    <w:rsid w:val="76ED3E71"/>
    <w:rsid w:val="76ED4221"/>
    <w:rsid w:val="76ED5DD7"/>
    <w:rsid w:val="76ED64AD"/>
    <w:rsid w:val="76EE28B0"/>
    <w:rsid w:val="76EE465E"/>
    <w:rsid w:val="76EE4666"/>
    <w:rsid w:val="76EE5A6B"/>
    <w:rsid w:val="76EF01D5"/>
    <w:rsid w:val="76EF03D6"/>
    <w:rsid w:val="76EF6628"/>
    <w:rsid w:val="76EF67A9"/>
    <w:rsid w:val="76EF6C8C"/>
    <w:rsid w:val="76F017B6"/>
    <w:rsid w:val="76F123A0"/>
    <w:rsid w:val="76F13E27"/>
    <w:rsid w:val="76F151D9"/>
    <w:rsid w:val="76F167EA"/>
    <w:rsid w:val="76F36118"/>
    <w:rsid w:val="76F51E90"/>
    <w:rsid w:val="76F53C3E"/>
    <w:rsid w:val="76F55DCF"/>
    <w:rsid w:val="76F6043A"/>
    <w:rsid w:val="76F65C09"/>
    <w:rsid w:val="76F8372F"/>
    <w:rsid w:val="76F868AE"/>
    <w:rsid w:val="76FB0FF5"/>
    <w:rsid w:val="76FB321F"/>
    <w:rsid w:val="76FB6D7B"/>
    <w:rsid w:val="76FE2720"/>
    <w:rsid w:val="76FE5178"/>
    <w:rsid w:val="76FF4ABD"/>
    <w:rsid w:val="76FF686B"/>
    <w:rsid w:val="77003F73"/>
    <w:rsid w:val="77007C11"/>
    <w:rsid w:val="77020109"/>
    <w:rsid w:val="77035102"/>
    <w:rsid w:val="7705213C"/>
    <w:rsid w:val="77065282"/>
    <w:rsid w:val="77065E4C"/>
    <w:rsid w:val="77071BC4"/>
    <w:rsid w:val="770976EA"/>
    <w:rsid w:val="770B0327"/>
    <w:rsid w:val="770B037D"/>
    <w:rsid w:val="770C0F88"/>
    <w:rsid w:val="770D22C4"/>
    <w:rsid w:val="770F2826"/>
    <w:rsid w:val="77102E2F"/>
    <w:rsid w:val="77112A42"/>
    <w:rsid w:val="771147F0"/>
    <w:rsid w:val="77147E3D"/>
    <w:rsid w:val="77150494"/>
    <w:rsid w:val="77150E60"/>
    <w:rsid w:val="771542E1"/>
    <w:rsid w:val="7715521D"/>
    <w:rsid w:val="77156F0A"/>
    <w:rsid w:val="77161E37"/>
    <w:rsid w:val="77163956"/>
    <w:rsid w:val="77163BB5"/>
    <w:rsid w:val="77170059"/>
    <w:rsid w:val="771753F8"/>
    <w:rsid w:val="77176085"/>
    <w:rsid w:val="771816DB"/>
    <w:rsid w:val="7718631B"/>
    <w:rsid w:val="771A2B35"/>
    <w:rsid w:val="771A5453"/>
    <w:rsid w:val="771C31E3"/>
    <w:rsid w:val="771C5A14"/>
    <w:rsid w:val="771D0DDF"/>
    <w:rsid w:val="771D3195"/>
    <w:rsid w:val="771D4F43"/>
    <w:rsid w:val="771D7139"/>
    <w:rsid w:val="771F0CBB"/>
    <w:rsid w:val="771F6F0D"/>
    <w:rsid w:val="77204A34"/>
    <w:rsid w:val="772067E2"/>
    <w:rsid w:val="77216056"/>
    <w:rsid w:val="772162AB"/>
    <w:rsid w:val="772207AC"/>
    <w:rsid w:val="7722149C"/>
    <w:rsid w:val="77234AB2"/>
    <w:rsid w:val="77244524"/>
    <w:rsid w:val="77253DF8"/>
    <w:rsid w:val="772906E9"/>
    <w:rsid w:val="77296E1D"/>
    <w:rsid w:val="772A140E"/>
    <w:rsid w:val="772A5600"/>
    <w:rsid w:val="772B00F0"/>
    <w:rsid w:val="772B3B04"/>
    <w:rsid w:val="772B58B2"/>
    <w:rsid w:val="772C19A3"/>
    <w:rsid w:val="772C4101"/>
    <w:rsid w:val="772D7C00"/>
    <w:rsid w:val="772E53A2"/>
    <w:rsid w:val="772E7150"/>
    <w:rsid w:val="772F0407"/>
    <w:rsid w:val="772F687C"/>
    <w:rsid w:val="773055AF"/>
    <w:rsid w:val="77334767"/>
    <w:rsid w:val="7735228D"/>
    <w:rsid w:val="77355F62"/>
    <w:rsid w:val="77356731"/>
    <w:rsid w:val="77373B49"/>
    <w:rsid w:val="77377E94"/>
    <w:rsid w:val="77383B2B"/>
    <w:rsid w:val="773A3D47"/>
    <w:rsid w:val="773C7ABF"/>
    <w:rsid w:val="773D7ED4"/>
    <w:rsid w:val="773E41A7"/>
    <w:rsid w:val="773F0D8B"/>
    <w:rsid w:val="773F135E"/>
    <w:rsid w:val="773F2B72"/>
    <w:rsid w:val="77400C32"/>
    <w:rsid w:val="774050A4"/>
    <w:rsid w:val="77413963"/>
    <w:rsid w:val="77415857"/>
    <w:rsid w:val="77431A11"/>
    <w:rsid w:val="77443A25"/>
    <w:rsid w:val="7746477C"/>
    <w:rsid w:val="774730E9"/>
    <w:rsid w:val="77476464"/>
    <w:rsid w:val="77483330"/>
    <w:rsid w:val="774A4354"/>
    <w:rsid w:val="774A4698"/>
    <w:rsid w:val="774B4D2E"/>
    <w:rsid w:val="774C100B"/>
    <w:rsid w:val="774C5829"/>
    <w:rsid w:val="774C6F32"/>
    <w:rsid w:val="774C75D7"/>
    <w:rsid w:val="774D3A7A"/>
    <w:rsid w:val="774D725F"/>
    <w:rsid w:val="774E334F"/>
    <w:rsid w:val="774E76A8"/>
    <w:rsid w:val="774E77F3"/>
    <w:rsid w:val="775013CC"/>
    <w:rsid w:val="7750356B"/>
    <w:rsid w:val="7751155C"/>
    <w:rsid w:val="77530522"/>
    <w:rsid w:val="77531241"/>
    <w:rsid w:val="77537D5B"/>
    <w:rsid w:val="775406AE"/>
    <w:rsid w:val="77541DD9"/>
    <w:rsid w:val="775546DD"/>
    <w:rsid w:val="775672CA"/>
    <w:rsid w:val="775766A7"/>
    <w:rsid w:val="77584D6C"/>
    <w:rsid w:val="7759307A"/>
    <w:rsid w:val="775A16BE"/>
    <w:rsid w:val="775A1CF3"/>
    <w:rsid w:val="775A6197"/>
    <w:rsid w:val="775C3CBE"/>
    <w:rsid w:val="775D1368"/>
    <w:rsid w:val="775D3592"/>
    <w:rsid w:val="775F555C"/>
    <w:rsid w:val="775F6EEC"/>
    <w:rsid w:val="775F7088"/>
    <w:rsid w:val="775F730A"/>
    <w:rsid w:val="7760202A"/>
    <w:rsid w:val="77610D5D"/>
    <w:rsid w:val="776112D4"/>
    <w:rsid w:val="77613082"/>
    <w:rsid w:val="77617526"/>
    <w:rsid w:val="77620D2F"/>
    <w:rsid w:val="7762292A"/>
    <w:rsid w:val="7762504C"/>
    <w:rsid w:val="77626DFA"/>
    <w:rsid w:val="776271A4"/>
    <w:rsid w:val="776326AC"/>
    <w:rsid w:val="7763329E"/>
    <w:rsid w:val="77642B72"/>
    <w:rsid w:val="776565B6"/>
    <w:rsid w:val="77664B3C"/>
    <w:rsid w:val="776816DF"/>
    <w:rsid w:val="7769462C"/>
    <w:rsid w:val="776963DA"/>
    <w:rsid w:val="776A6C78"/>
    <w:rsid w:val="776B2153"/>
    <w:rsid w:val="776E339D"/>
    <w:rsid w:val="776E39F1"/>
    <w:rsid w:val="776F3C10"/>
    <w:rsid w:val="776F449C"/>
    <w:rsid w:val="777003CB"/>
    <w:rsid w:val="77701517"/>
    <w:rsid w:val="77705E24"/>
    <w:rsid w:val="77710016"/>
    <w:rsid w:val="7771703D"/>
    <w:rsid w:val="777234E1"/>
    <w:rsid w:val="7772528F"/>
    <w:rsid w:val="7773779A"/>
    <w:rsid w:val="77747C82"/>
    <w:rsid w:val="77770AF7"/>
    <w:rsid w:val="777728A5"/>
    <w:rsid w:val="77775308"/>
    <w:rsid w:val="77775570"/>
    <w:rsid w:val="777A05E8"/>
    <w:rsid w:val="777A2396"/>
    <w:rsid w:val="777B265B"/>
    <w:rsid w:val="777C2AA2"/>
    <w:rsid w:val="777C3234"/>
    <w:rsid w:val="777C4360"/>
    <w:rsid w:val="777C610E"/>
    <w:rsid w:val="777C6DEE"/>
    <w:rsid w:val="777C7EBC"/>
    <w:rsid w:val="777D2475"/>
    <w:rsid w:val="777D5942"/>
    <w:rsid w:val="777D59E2"/>
    <w:rsid w:val="777F0DB7"/>
    <w:rsid w:val="777F5120"/>
    <w:rsid w:val="777F64D6"/>
    <w:rsid w:val="777F7099"/>
    <w:rsid w:val="77807D67"/>
    <w:rsid w:val="77810DF6"/>
    <w:rsid w:val="7782124A"/>
    <w:rsid w:val="77844FC2"/>
    <w:rsid w:val="77856D36"/>
    <w:rsid w:val="77862AE9"/>
    <w:rsid w:val="77874C68"/>
    <w:rsid w:val="77876BA1"/>
    <w:rsid w:val="77882D05"/>
    <w:rsid w:val="7789082B"/>
    <w:rsid w:val="77890B97"/>
    <w:rsid w:val="778925D9"/>
    <w:rsid w:val="778B45A3"/>
    <w:rsid w:val="778D031B"/>
    <w:rsid w:val="778D096D"/>
    <w:rsid w:val="778E33FA"/>
    <w:rsid w:val="778E3BEF"/>
    <w:rsid w:val="778E5E41"/>
    <w:rsid w:val="778F28EB"/>
    <w:rsid w:val="77901BB9"/>
    <w:rsid w:val="779046B9"/>
    <w:rsid w:val="77905715"/>
    <w:rsid w:val="7791148D"/>
    <w:rsid w:val="779276DF"/>
    <w:rsid w:val="77942362"/>
    <w:rsid w:val="77950F7E"/>
    <w:rsid w:val="779623CA"/>
    <w:rsid w:val="77974CF6"/>
    <w:rsid w:val="77981E3E"/>
    <w:rsid w:val="779934C6"/>
    <w:rsid w:val="779A2A38"/>
    <w:rsid w:val="779A647E"/>
    <w:rsid w:val="779B2290"/>
    <w:rsid w:val="779C184E"/>
    <w:rsid w:val="779D6176"/>
    <w:rsid w:val="779D6681"/>
    <w:rsid w:val="779F1DFC"/>
    <w:rsid w:val="77A000A5"/>
    <w:rsid w:val="77A02E51"/>
    <w:rsid w:val="77A11870"/>
    <w:rsid w:val="77A13DC6"/>
    <w:rsid w:val="77A34190"/>
    <w:rsid w:val="77A45665"/>
    <w:rsid w:val="77A460F8"/>
    <w:rsid w:val="77A6318B"/>
    <w:rsid w:val="77A92F22"/>
    <w:rsid w:val="77A94A29"/>
    <w:rsid w:val="77AA1492"/>
    <w:rsid w:val="77AB69F3"/>
    <w:rsid w:val="77AE0291"/>
    <w:rsid w:val="77AE203F"/>
    <w:rsid w:val="77AE3DED"/>
    <w:rsid w:val="77AF64E3"/>
    <w:rsid w:val="77B07B65"/>
    <w:rsid w:val="77B13010"/>
    <w:rsid w:val="77B2015A"/>
    <w:rsid w:val="77B21B30"/>
    <w:rsid w:val="77B27D81"/>
    <w:rsid w:val="77B30C47"/>
    <w:rsid w:val="77B358A8"/>
    <w:rsid w:val="77B37656"/>
    <w:rsid w:val="77B47BEE"/>
    <w:rsid w:val="77B533CE"/>
    <w:rsid w:val="77B5517C"/>
    <w:rsid w:val="77B7462A"/>
    <w:rsid w:val="77B77146"/>
    <w:rsid w:val="77B91110"/>
    <w:rsid w:val="77BA09E4"/>
    <w:rsid w:val="77BA3983"/>
    <w:rsid w:val="77BA5DC7"/>
    <w:rsid w:val="77BA5F92"/>
    <w:rsid w:val="77BA6C36"/>
    <w:rsid w:val="77BB03D2"/>
    <w:rsid w:val="77BC63F4"/>
    <w:rsid w:val="77BC73F2"/>
    <w:rsid w:val="77BD37BD"/>
    <w:rsid w:val="77BE0AF9"/>
    <w:rsid w:val="77BE432D"/>
    <w:rsid w:val="77BE6726"/>
    <w:rsid w:val="77BF2C19"/>
    <w:rsid w:val="77BF424C"/>
    <w:rsid w:val="77BF7C63"/>
    <w:rsid w:val="77C07548"/>
    <w:rsid w:val="77C11573"/>
    <w:rsid w:val="77C11D73"/>
    <w:rsid w:val="77C16217"/>
    <w:rsid w:val="77C309A0"/>
    <w:rsid w:val="77C47AB5"/>
    <w:rsid w:val="77C62989"/>
    <w:rsid w:val="77C655DB"/>
    <w:rsid w:val="77C73BAE"/>
    <w:rsid w:val="77C81353"/>
    <w:rsid w:val="77C83101"/>
    <w:rsid w:val="77CB0E43"/>
    <w:rsid w:val="77CB499F"/>
    <w:rsid w:val="77CC2DD2"/>
    <w:rsid w:val="77CC5F6D"/>
    <w:rsid w:val="77CD0717"/>
    <w:rsid w:val="77CE7200"/>
    <w:rsid w:val="77CF596F"/>
    <w:rsid w:val="77D01FB6"/>
    <w:rsid w:val="77D0645A"/>
    <w:rsid w:val="77D07238"/>
    <w:rsid w:val="77D15D7E"/>
    <w:rsid w:val="77D210A2"/>
    <w:rsid w:val="77D25D2E"/>
    <w:rsid w:val="77D44597"/>
    <w:rsid w:val="77D47CF8"/>
    <w:rsid w:val="77D5197D"/>
    <w:rsid w:val="77D53A70"/>
    <w:rsid w:val="77D62AFF"/>
    <w:rsid w:val="77D62F36"/>
    <w:rsid w:val="77D93560"/>
    <w:rsid w:val="77DB696D"/>
    <w:rsid w:val="77DC095A"/>
    <w:rsid w:val="77DC6BAC"/>
    <w:rsid w:val="77DE0B76"/>
    <w:rsid w:val="77DE2A7C"/>
    <w:rsid w:val="77DF1883"/>
    <w:rsid w:val="77E048EF"/>
    <w:rsid w:val="77E12415"/>
    <w:rsid w:val="77E13C00"/>
    <w:rsid w:val="77E15873"/>
    <w:rsid w:val="77E15F71"/>
    <w:rsid w:val="77E24E16"/>
    <w:rsid w:val="77E276FA"/>
    <w:rsid w:val="77E81BEE"/>
    <w:rsid w:val="77E81DBD"/>
    <w:rsid w:val="77E85551"/>
    <w:rsid w:val="77E872FF"/>
    <w:rsid w:val="77E93077"/>
    <w:rsid w:val="77E95495"/>
    <w:rsid w:val="77EA2030"/>
    <w:rsid w:val="77EA4E4D"/>
    <w:rsid w:val="77EC24DD"/>
    <w:rsid w:val="77ED294E"/>
    <w:rsid w:val="77ED2B68"/>
    <w:rsid w:val="77ED700C"/>
    <w:rsid w:val="77EE6736"/>
    <w:rsid w:val="77F15CD9"/>
    <w:rsid w:val="77F263D0"/>
    <w:rsid w:val="77F35CA4"/>
    <w:rsid w:val="77F36EBE"/>
    <w:rsid w:val="77F43EF6"/>
    <w:rsid w:val="77F51A1C"/>
    <w:rsid w:val="77F55179"/>
    <w:rsid w:val="77F57C6E"/>
    <w:rsid w:val="77F6460A"/>
    <w:rsid w:val="77F909F3"/>
    <w:rsid w:val="77F959B0"/>
    <w:rsid w:val="77FA5292"/>
    <w:rsid w:val="77FC0C7C"/>
    <w:rsid w:val="77FC2DAB"/>
    <w:rsid w:val="77FD0061"/>
    <w:rsid w:val="77FD5BFA"/>
    <w:rsid w:val="77FE2A6C"/>
    <w:rsid w:val="78006D3F"/>
    <w:rsid w:val="780126CE"/>
    <w:rsid w:val="78014865"/>
    <w:rsid w:val="780305DD"/>
    <w:rsid w:val="78032187"/>
    <w:rsid w:val="7803607D"/>
    <w:rsid w:val="7805352D"/>
    <w:rsid w:val="780600CD"/>
    <w:rsid w:val="780879A1"/>
    <w:rsid w:val="78091377"/>
    <w:rsid w:val="780954C8"/>
    <w:rsid w:val="780A088D"/>
    <w:rsid w:val="780A196C"/>
    <w:rsid w:val="780B56E4"/>
    <w:rsid w:val="780C3400"/>
    <w:rsid w:val="780D320A"/>
    <w:rsid w:val="780E72A9"/>
    <w:rsid w:val="780F08F1"/>
    <w:rsid w:val="780F0D30"/>
    <w:rsid w:val="780F1BD2"/>
    <w:rsid w:val="780F527D"/>
    <w:rsid w:val="78104AA8"/>
    <w:rsid w:val="78112CFA"/>
    <w:rsid w:val="78125870"/>
    <w:rsid w:val="78137709"/>
    <w:rsid w:val="781400F4"/>
    <w:rsid w:val="78146346"/>
    <w:rsid w:val="78146CAE"/>
    <w:rsid w:val="781520BE"/>
    <w:rsid w:val="78153235"/>
    <w:rsid w:val="781644B1"/>
    <w:rsid w:val="78174088"/>
    <w:rsid w:val="78177BE5"/>
    <w:rsid w:val="78191BAF"/>
    <w:rsid w:val="7819395D"/>
    <w:rsid w:val="78197E01"/>
    <w:rsid w:val="781A42C2"/>
    <w:rsid w:val="781A5385"/>
    <w:rsid w:val="781B5927"/>
    <w:rsid w:val="781C169F"/>
    <w:rsid w:val="781C344D"/>
    <w:rsid w:val="781C51FB"/>
    <w:rsid w:val="781D3F22"/>
    <w:rsid w:val="781F68DB"/>
    <w:rsid w:val="781F77F6"/>
    <w:rsid w:val="78202F3D"/>
    <w:rsid w:val="782115C4"/>
    <w:rsid w:val="78216CB5"/>
    <w:rsid w:val="7822224D"/>
    <w:rsid w:val="78222FBB"/>
    <w:rsid w:val="78232A2D"/>
    <w:rsid w:val="782346E1"/>
    <w:rsid w:val="782347DB"/>
    <w:rsid w:val="78236AB5"/>
    <w:rsid w:val="78250553"/>
    <w:rsid w:val="78252301"/>
    <w:rsid w:val="78281DF2"/>
    <w:rsid w:val="78283B81"/>
    <w:rsid w:val="782A3DBC"/>
    <w:rsid w:val="782A5B6A"/>
    <w:rsid w:val="782A7918"/>
    <w:rsid w:val="782C26F1"/>
    <w:rsid w:val="782D15D9"/>
    <w:rsid w:val="782D178F"/>
    <w:rsid w:val="782D565A"/>
    <w:rsid w:val="782E04C1"/>
    <w:rsid w:val="783016DA"/>
    <w:rsid w:val="78302821"/>
    <w:rsid w:val="783066AA"/>
    <w:rsid w:val="78307070"/>
    <w:rsid w:val="78307B6F"/>
    <w:rsid w:val="7831242E"/>
    <w:rsid w:val="78316434"/>
    <w:rsid w:val="78320EC2"/>
    <w:rsid w:val="78322549"/>
    <w:rsid w:val="78324A1E"/>
    <w:rsid w:val="7832511A"/>
    <w:rsid w:val="78327AE6"/>
    <w:rsid w:val="78340645"/>
    <w:rsid w:val="78341A4E"/>
    <w:rsid w:val="783562BD"/>
    <w:rsid w:val="7836235A"/>
    <w:rsid w:val="78366D1F"/>
    <w:rsid w:val="78370287"/>
    <w:rsid w:val="78372035"/>
    <w:rsid w:val="78393FFF"/>
    <w:rsid w:val="78394E06"/>
    <w:rsid w:val="783B7462"/>
    <w:rsid w:val="783B7D77"/>
    <w:rsid w:val="783C198F"/>
    <w:rsid w:val="783C311E"/>
    <w:rsid w:val="783C589D"/>
    <w:rsid w:val="783D460A"/>
    <w:rsid w:val="783E7EBC"/>
    <w:rsid w:val="783F0EE9"/>
    <w:rsid w:val="783F155F"/>
    <w:rsid w:val="783F4291"/>
    <w:rsid w:val="7840713B"/>
    <w:rsid w:val="7841291D"/>
    <w:rsid w:val="78412EB3"/>
    <w:rsid w:val="784168BB"/>
    <w:rsid w:val="784309DA"/>
    <w:rsid w:val="784464C4"/>
    <w:rsid w:val="7845162D"/>
    <w:rsid w:val="78454752"/>
    <w:rsid w:val="784604CA"/>
    <w:rsid w:val="78482494"/>
    <w:rsid w:val="78485FF0"/>
    <w:rsid w:val="78497CF2"/>
    <w:rsid w:val="784A6072"/>
    <w:rsid w:val="784A620C"/>
    <w:rsid w:val="784A6D0C"/>
    <w:rsid w:val="784C1F84"/>
    <w:rsid w:val="784C2381"/>
    <w:rsid w:val="784C3D32"/>
    <w:rsid w:val="784D1858"/>
    <w:rsid w:val="784D5DC1"/>
    <w:rsid w:val="784D7AAA"/>
    <w:rsid w:val="784E3C31"/>
    <w:rsid w:val="784E7089"/>
    <w:rsid w:val="784F0E28"/>
    <w:rsid w:val="784F55D0"/>
    <w:rsid w:val="785109FF"/>
    <w:rsid w:val="78517DE2"/>
    <w:rsid w:val="78520386"/>
    <w:rsid w:val="78532FC3"/>
    <w:rsid w:val="78535B94"/>
    <w:rsid w:val="78540E39"/>
    <w:rsid w:val="78564BB1"/>
    <w:rsid w:val="7856695F"/>
    <w:rsid w:val="78574485"/>
    <w:rsid w:val="78576736"/>
    <w:rsid w:val="785777E6"/>
    <w:rsid w:val="785A1755"/>
    <w:rsid w:val="785A2CAB"/>
    <w:rsid w:val="785A7E98"/>
    <w:rsid w:val="785C1A9B"/>
    <w:rsid w:val="785D5C9E"/>
    <w:rsid w:val="785E1CB7"/>
    <w:rsid w:val="785E5813"/>
    <w:rsid w:val="785E6F7A"/>
    <w:rsid w:val="785F3A0F"/>
    <w:rsid w:val="7860158C"/>
    <w:rsid w:val="7860333A"/>
    <w:rsid w:val="786131D6"/>
    <w:rsid w:val="78620DA8"/>
    <w:rsid w:val="78632E2A"/>
    <w:rsid w:val="78633F48"/>
    <w:rsid w:val="78634703"/>
    <w:rsid w:val="78636666"/>
    <w:rsid w:val="78663703"/>
    <w:rsid w:val="78680440"/>
    <w:rsid w:val="786848E4"/>
    <w:rsid w:val="786931D0"/>
    <w:rsid w:val="786971B0"/>
    <w:rsid w:val="786B1CDE"/>
    <w:rsid w:val="786D1EFA"/>
    <w:rsid w:val="786D24FD"/>
    <w:rsid w:val="786D5A56"/>
    <w:rsid w:val="786F17CF"/>
    <w:rsid w:val="78702B35"/>
    <w:rsid w:val="78706AE6"/>
    <w:rsid w:val="78713799"/>
    <w:rsid w:val="787153FD"/>
    <w:rsid w:val="78715547"/>
    <w:rsid w:val="78720EB7"/>
    <w:rsid w:val="787212BF"/>
    <w:rsid w:val="78742EF2"/>
    <w:rsid w:val="78743289"/>
    <w:rsid w:val="787463FD"/>
    <w:rsid w:val="7875580A"/>
    <w:rsid w:val="787573B1"/>
    <w:rsid w:val="78760DAF"/>
    <w:rsid w:val="787669BC"/>
    <w:rsid w:val="7876713D"/>
    <w:rsid w:val="78774B27"/>
    <w:rsid w:val="787A15B6"/>
    <w:rsid w:val="787B2E98"/>
    <w:rsid w:val="787B4617"/>
    <w:rsid w:val="787B63C5"/>
    <w:rsid w:val="787C4DA0"/>
    <w:rsid w:val="787E5EB6"/>
    <w:rsid w:val="787E7C64"/>
    <w:rsid w:val="7880578A"/>
    <w:rsid w:val="78826FCA"/>
    <w:rsid w:val="78827754"/>
    <w:rsid w:val="78830961"/>
    <w:rsid w:val="788334CC"/>
    <w:rsid w:val="7883527A"/>
    <w:rsid w:val="78857E0B"/>
    <w:rsid w:val="78862230"/>
    <w:rsid w:val="78872FBC"/>
    <w:rsid w:val="78882890"/>
    <w:rsid w:val="78896BB7"/>
    <w:rsid w:val="788A485A"/>
    <w:rsid w:val="788A6608"/>
    <w:rsid w:val="788B1CC4"/>
    <w:rsid w:val="788B412F"/>
    <w:rsid w:val="788C2381"/>
    <w:rsid w:val="788C6D98"/>
    <w:rsid w:val="788D434B"/>
    <w:rsid w:val="788D60F9"/>
    <w:rsid w:val="788D7EA7"/>
    <w:rsid w:val="788E7FF8"/>
    <w:rsid w:val="788F3C1F"/>
    <w:rsid w:val="789065FF"/>
    <w:rsid w:val="78910071"/>
    <w:rsid w:val="78922CE5"/>
    <w:rsid w:val="789254BD"/>
    <w:rsid w:val="78926368"/>
    <w:rsid w:val="7893072C"/>
    <w:rsid w:val="78947487"/>
    <w:rsid w:val="78955947"/>
    <w:rsid w:val="789570C3"/>
    <w:rsid w:val="78970EFA"/>
    <w:rsid w:val="78986F77"/>
    <w:rsid w:val="78992AF0"/>
    <w:rsid w:val="78992CEF"/>
    <w:rsid w:val="78994A9D"/>
    <w:rsid w:val="789A1FE9"/>
    <w:rsid w:val="789B17B9"/>
    <w:rsid w:val="789B3E8B"/>
    <w:rsid w:val="789B436E"/>
    <w:rsid w:val="789D1F52"/>
    <w:rsid w:val="789D7871"/>
    <w:rsid w:val="789E0306"/>
    <w:rsid w:val="789F69F9"/>
    <w:rsid w:val="78A07BDA"/>
    <w:rsid w:val="78A1403E"/>
    <w:rsid w:val="78A2380F"/>
    <w:rsid w:val="78A32EF1"/>
    <w:rsid w:val="78A34A0C"/>
    <w:rsid w:val="78A353BD"/>
    <w:rsid w:val="78A3591C"/>
    <w:rsid w:val="78A53442"/>
    <w:rsid w:val="78A551F0"/>
    <w:rsid w:val="78A7489E"/>
    <w:rsid w:val="78A83DBD"/>
    <w:rsid w:val="78A84CE1"/>
    <w:rsid w:val="78A872A5"/>
    <w:rsid w:val="78AA3B0C"/>
    <w:rsid w:val="78AA5450"/>
    <w:rsid w:val="78AC0FFD"/>
    <w:rsid w:val="78AC657F"/>
    <w:rsid w:val="78AD0549"/>
    <w:rsid w:val="78AD08B8"/>
    <w:rsid w:val="78B139DF"/>
    <w:rsid w:val="78B1532E"/>
    <w:rsid w:val="78B30ED0"/>
    <w:rsid w:val="78B33DB1"/>
    <w:rsid w:val="78B47B29"/>
    <w:rsid w:val="78B611AB"/>
    <w:rsid w:val="78B614E1"/>
    <w:rsid w:val="78B64646"/>
    <w:rsid w:val="78B64C80"/>
    <w:rsid w:val="78B673FD"/>
    <w:rsid w:val="78B8149D"/>
    <w:rsid w:val="78B94D42"/>
    <w:rsid w:val="78B96EEE"/>
    <w:rsid w:val="78BB0EEC"/>
    <w:rsid w:val="78BB7662"/>
    <w:rsid w:val="78BC253A"/>
    <w:rsid w:val="78BD078C"/>
    <w:rsid w:val="78BE1FA4"/>
    <w:rsid w:val="78C0027C"/>
    <w:rsid w:val="78C00D2A"/>
    <w:rsid w:val="78C02044"/>
    <w:rsid w:val="78C064CE"/>
    <w:rsid w:val="78C11D93"/>
    <w:rsid w:val="78C134D4"/>
    <w:rsid w:val="78C2023F"/>
    <w:rsid w:val="78C2422D"/>
    <w:rsid w:val="78C57641"/>
    <w:rsid w:val="78C63702"/>
    <w:rsid w:val="78C714D4"/>
    <w:rsid w:val="78C7160B"/>
    <w:rsid w:val="78C7252D"/>
    <w:rsid w:val="78C7390D"/>
    <w:rsid w:val="78C80EDF"/>
    <w:rsid w:val="78C902FB"/>
    <w:rsid w:val="78C935D5"/>
    <w:rsid w:val="78C936A7"/>
    <w:rsid w:val="78C95383"/>
    <w:rsid w:val="78C9620B"/>
    <w:rsid w:val="78CA1360"/>
    <w:rsid w:val="78CA2EA9"/>
    <w:rsid w:val="78CA3B59"/>
    <w:rsid w:val="78CC341C"/>
    <w:rsid w:val="78CC4062"/>
    <w:rsid w:val="78CC6C21"/>
    <w:rsid w:val="78CE0BEB"/>
    <w:rsid w:val="78CE1A49"/>
    <w:rsid w:val="78CE2999"/>
    <w:rsid w:val="78CF4397"/>
    <w:rsid w:val="78CF4963"/>
    <w:rsid w:val="78D02DFD"/>
    <w:rsid w:val="78D11888"/>
    <w:rsid w:val="78D14237"/>
    <w:rsid w:val="78D15FE5"/>
    <w:rsid w:val="78D24459"/>
    <w:rsid w:val="78D31B37"/>
    <w:rsid w:val="78D340B3"/>
    <w:rsid w:val="78D36201"/>
    <w:rsid w:val="78D41ECB"/>
    <w:rsid w:val="78D43D28"/>
    <w:rsid w:val="78D46973"/>
    <w:rsid w:val="78D51699"/>
    <w:rsid w:val="78D621FB"/>
    <w:rsid w:val="78D67AA0"/>
    <w:rsid w:val="78D8530B"/>
    <w:rsid w:val="78D87374"/>
    <w:rsid w:val="78D9133E"/>
    <w:rsid w:val="78D9175B"/>
    <w:rsid w:val="78DA0A0F"/>
    <w:rsid w:val="78DA407B"/>
    <w:rsid w:val="78DA53DD"/>
    <w:rsid w:val="78DA7590"/>
    <w:rsid w:val="78DB6E64"/>
    <w:rsid w:val="78DC497A"/>
    <w:rsid w:val="78DC4B30"/>
    <w:rsid w:val="78DD2BDC"/>
    <w:rsid w:val="78DD498A"/>
    <w:rsid w:val="78DE6ACF"/>
    <w:rsid w:val="78DF6A5D"/>
    <w:rsid w:val="78E33F6B"/>
    <w:rsid w:val="78E36010"/>
    <w:rsid w:val="78E37FCE"/>
    <w:rsid w:val="78E40D03"/>
    <w:rsid w:val="78E4163F"/>
    <w:rsid w:val="78E55F35"/>
    <w:rsid w:val="78E63D5F"/>
    <w:rsid w:val="78E71CAD"/>
    <w:rsid w:val="78E74094"/>
    <w:rsid w:val="78E81581"/>
    <w:rsid w:val="78E8667F"/>
    <w:rsid w:val="78E905DA"/>
    <w:rsid w:val="78E93069"/>
    <w:rsid w:val="78EA69E9"/>
    <w:rsid w:val="78EA70A7"/>
    <w:rsid w:val="78EC1557"/>
    <w:rsid w:val="78EC6490"/>
    <w:rsid w:val="78ED0238"/>
    <w:rsid w:val="78ED1F71"/>
    <w:rsid w:val="78EE303B"/>
    <w:rsid w:val="78EF13EB"/>
    <w:rsid w:val="78EF290F"/>
    <w:rsid w:val="78EF29B1"/>
    <w:rsid w:val="78EF46BD"/>
    <w:rsid w:val="78F16688"/>
    <w:rsid w:val="78F30652"/>
    <w:rsid w:val="78F33792"/>
    <w:rsid w:val="78F47F26"/>
    <w:rsid w:val="78F53509"/>
    <w:rsid w:val="78F543CA"/>
    <w:rsid w:val="78F61EF0"/>
    <w:rsid w:val="78F65A4C"/>
    <w:rsid w:val="78F85C68"/>
    <w:rsid w:val="78F91097"/>
    <w:rsid w:val="78F93137"/>
    <w:rsid w:val="78F9378E"/>
    <w:rsid w:val="78FB3062"/>
    <w:rsid w:val="78FB7506"/>
    <w:rsid w:val="78FD0B56"/>
    <w:rsid w:val="78FD327E"/>
    <w:rsid w:val="78FE08A5"/>
    <w:rsid w:val="78FE31EC"/>
    <w:rsid w:val="78FF0DA4"/>
    <w:rsid w:val="78FF4906"/>
    <w:rsid w:val="790068CB"/>
    <w:rsid w:val="790112B4"/>
    <w:rsid w:val="790243F1"/>
    <w:rsid w:val="79044717"/>
    <w:rsid w:val="79050385"/>
    <w:rsid w:val="79052133"/>
    <w:rsid w:val="79060688"/>
    <w:rsid w:val="7906295E"/>
    <w:rsid w:val="7906574A"/>
    <w:rsid w:val="79085C69"/>
    <w:rsid w:val="7909350D"/>
    <w:rsid w:val="790970F9"/>
    <w:rsid w:val="790A14F7"/>
    <w:rsid w:val="790B12D0"/>
    <w:rsid w:val="790C5919"/>
    <w:rsid w:val="790E2D96"/>
    <w:rsid w:val="790E2F6B"/>
    <w:rsid w:val="790E4617"/>
    <w:rsid w:val="79112AAE"/>
    <w:rsid w:val="79116D1B"/>
    <w:rsid w:val="79116D2A"/>
    <w:rsid w:val="7912128E"/>
    <w:rsid w:val="79132AA2"/>
    <w:rsid w:val="79134850"/>
    <w:rsid w:val="79137765"/>
    <w:rsid w:val="791505C8"/>
    <w:rsid w:val="79151485"/>
    <w:rsid w:val="791643F9"/>
    <w:rsid w:val="791660EE"/>
    <w:rsid w:val="79166901"/>
    <w:rsid w:val="79167E9C"/>
    <w:rsid w:val="791800B8"/>
    <w:rsid w:val="791954AD"/>
    <w:rsid w:val="791A5BDE"/>
    <w:rsid w:val="791B54B2"/>
    <w:rsid w:val="791E2EC2"/>
    <w:rsid w:val="791F1447"/>
    <w:rsid w:val="79200D1B"/>
    <w:rsid w:val="79202AC9"/>
    <w:rsid w:val="792151BF"/>
    <w:rsid w:val="79221A26"/>
    <w:rsid w:val="79232871"/>
    <w:rsid w:val="792425B9"/>
    <w:rsid w:val="79253602"/>
    <w:rsid w:val="79254583"/>
    <w:rsid w:val="79256059"/>
    <w:rsid w:val="79270181"/>
    <w:rsid w:val="79273E57"/>
    <w:rsid w:val="792749DE"/>
    <w:rsid w:val="7927654D"/>
    <w:rsid w:val="79282B5C"/>
    <w:rsid w:val="79297BCF"/>
    <w:rsid w:val="792A1003"/>
    <w:rsid w:val="792B6A91"/>
    <w:rsid w:val="792D7857"/>
    <w:rsid w:val="792E7984"/>
    <w:rsid w:val="792F0F5E"/>
    <w:rsid w:val="79305402"/>
    <w:rsid w:val="79314BD9"/>
    <w:rsid w:val="79334EF2"/>
    <w:rsid w:val="79336CA0"/>
    <w:rsid w:val="79346574"/>
    <w:rsid w:val="79350A41"/>
    <w:rsid w:val="79352A18"/>
    <w:rsid w:val="79356755"/>
    <w:rsid w:val="7936053E"/>
    <w:rsid w:val="79360EEF"/>
    <w:rsid w:val="79366790"/>
    <w:rsid w:val="79366A42"/>
    <w:rsid w:val="79382031"/>
    <w:rsid w:val="79382508"/>
    <w:rsid w:val="79387CB6"/>
    <w:rsid w:val="793A122E"/>
    <w:rsid w:val="793B5B55"/>
    <w:rsid w:val="793D18CD"/>
    <w:rsid w:val="793D7B1F"/>
    <w:rsid w:val="793F3897"/>
    <w:rsid w:val="793F6D72"/>
    <w:rsid w:val="794013BD"/>
    <w:rsid w:val="79406C7D"/>
    <w:rsid w:val="79414195"/>
    <w:rsid w:val="79415DFA"/>
    <w:rsid w:val="7941623B"/>
    <w:rsid w:val="79416D50"/>
    <w:rsid w:val="79425123"/>
    <w:rsid w:val="79426EE3"/>
    <w:rsid w:val="794434A4"/>
    <w:rsid w:val="7945440C"/>
    <w:rsid w:val="7945781C"/>
    <w:rsid w:val="79464C25"/>
    <w:rsid w:val="7946583C"/>
    <w:rsid w:val="7947274B"/>
    <w:rsid w:val="79490272"/>
    <w:rsid w:val="79492020"/>
    <w:rsid w:val="7949756C"/>
    <w:rsid w:val="794B3FEA"/>
    <w:rsid w:val="794B4C77"/>
    <w:rsid w:val="794B6CEB"/>
    <w:rsid w:val="794C5FB4"/>
    <w:rsid w:val="794E3ADA"/>
    <w:rsid w:val="794E5888"/>
    <w:rsid w:val="794E7636"/>
    <w:rsid w:val="79501926"/>
    <w:rsid w:val="79504B59"/>
    <w:rsid w:val="795064ED"/>
    <w:rsid w:val="7950692B"/>
    <w:rsid w:val="79510601"/>
    <w:rsid w:val="7951077C"/>
    <w:rsid w:val="795135CA"/>
    <w:rsid w:val="79515378"/>
    <w:rsid w:val="79517126"/>
    <w:rsid w:val="79520AB6"/>
    <w:rsid w:val="79532E9E"/>
    <w:rsid w:val="79537342"/>
    <w:rsid w:val="7954580D"/>
    <w:rsid w:val="79550811"/>
    <w:rsid w:val="79556326"/>
    <w:rsid w:val="79556C16"/>
    <w:rsid w:val="79560479"/>
    <w:rsid w:val="79570BE0"/>
    <w:rsid w:val="7957700A"/>
    <w:rsid w:val="795773B7"/>
    <w:rsid w:val="7959575E"/>
    <w:rsid w:val="795A3AA2"/>
    <w:rsid w:val="795A604A"/>
    <w:rsid w:val="795B05A6"/>
    <w:rsid w:val="795B748B"/>
    <w:rsid w:val="795C1802"/>
    <w:rsid w:val="795C61F7"/>
    <w:rsid w:val="795D3040"/>
    <w:rsid w:val="795D34C2"/>
    <w:rsid w:val="795D3C37"/>
    <w:rsid w:val="795D662A"/>
    <w:rsid w:val="796055BB"/>
    <w:rsid w:val="7960632D"/>
    <w:rsid w:val="79610C5D"/>
    <w:rsid w:val="796110D2"/>
    <w:rsid w:val="79612BEC"/>
    <w:rsid w:val="796230E1"/>
    <w:rsid w:val="796432FD"/>
    <w:rsid w:val="796450AB"/>
    <w:rsid w:val="79652BD2"/>
    <w:rsid w:val="79665F1D"/>
    <w:rsid w:val="7967301D"/>
    <w:rsid w:val="79677B15"/>
    <w:rsid w:val="796926C2"/>
    <w:rsid w:val="7969375C"/>
    <w:rsid w:val="796A28E5"/>
    <w:rsid w:val="796B01E8"/>
    <w:rsid w:val="796B4D55"/>
    <w:rsid w:val="796C1A43"/>
    <w:rsid w:val="796C21B2"/>
    <w:rsid w:val="796C437B"/>
    <w:rsid w:val="796C624D"/>
    <w:rsid w:val="796E0486"/>
    <w:rsid w:val="796E1A86"/>
    <w:rsid w:val="796E3B0E"/>
    <w:rsid w:val="796E5F2A"/>
    <w:rsid w:val="79716E49"/>
    <w:rsid w:val="79725A1A"/>
    <w:rsid w:val="797352EE"/>
    <w:rsid w:val="797360FE"/>
    <w:rsid w:val="797404E8"/>
    <w:rsid w:val="79742119"/>
    <w:rsid w:val="79744F4D"/>
    <w:rsid w:val="79751067"/>
    <w:rsid w:val="79752091"/>
    <w:rsid w:val="7975290A"/>
    <w:rsid w:val="79776764"/>
    <w:rsid w:val="797777F3"/>
    <w:rsid w:val="79780A9A"/>
    <w:rsid w:val="797846B3"/>
    <w:rsid w:val="797866AB"/>
    <w:rsid w:val="79786DA9"/>
    <w:rsid w:val="79791F2A"/>
    <w:rsid w:val="797956D9"/>
    <w:rsid w:val="797969AC"/>
    <w:rsid w:val="79797A2E"/>
    <w:rsid w:val="797A05F4"/>
    <w:rsid w:val="797B0413"/>
    <w:rsid w:val="797B2F0E"/>
    <w:rsid w:val="797B41A3"/>
    <w:rsid w:val="797B7924"/>
    <w:rsid w:val="797C0647"/>
    <w:rsid w:val="797C47CC"/>
    <w:rsid w:val="797C64A0"/>
    <w:rsid w:val="797D1D3B"/>
    <w:rsid w:val="797D616D"/>
    <w:rsid w:val="797D7F1B"/>
    <w:rsid w:val="797E432F"/>
    <w:rsid w:val="7980556E"/>
    <w:rsid w:val="79806766"/>
    <w:rsid w:val="79823784"/>
    <w:rsid w:val="79825532"/>
    <w:rsid w:val="79833549"/>
    <w:rsid w:val="79836945"/>
    <w:rsid w:val="79843952"/>
    <w:rsid w:val="7984574E"/>
    <w:rsid w:val="79873D34"/>
    <w:rsid w:val="79876FEC"/>
    <w:rsid w:val="79882D39"/>
    <w:rsid w:val="7988663E"/>
    <w:rsid w:val="79892D64"/>
    <w:rsid w:val="798949F8"/>
    <w:rsid w:val="79894B12"/>
    <w:rsid w:val="798A58C6"/>
    <w:rsid w:val="798B2638"/>
    <w:rsid w:val="798B6ADC"/>
    <w:rsid w:val="798C015E"/>
    <w:rsid w:val="798E037A"/>
    <w:rsid w:val="798E3ED6"/>
    <w:rsid w:val="798F1CDA"/>
    <w:rsid w:val="799004E1"/>
    <w:rsid w:val="799040F2"/>
    <w:rsid w:val="79904614"/>
    <w:rsid w:val="79905EA0"/>
    <w:rsid w:val="79907C4E"/>
    <w:rsid w:val="7991107F"/>
    <w:rsid w:val="79943522"/>
    <w:rsid w:val="79946B31"/>
    <w:rsid w:val="799700EE"/>
    <w:rsid w:val="799728E1"/>
    <w:rsid w:val="79975481"/>
    <w:rsid w:val="7997756D"/>
    <w:rsid w:val="79983DEF"/>
    <w:rsid w:val="79984D47"/>
    <w:rsid w:val="79994B66"/>
    <w:rsid w:val="799A0ACD"/>
    <w:rsid w:val="799A6D1F"/>
    <w:rsid w:val="799B077A"/>
    <w:rsid w:val="799B46CB"/>
    <w:rsid w:val="799B6859"/>
    <w:rsid w:val="799C1319"/>
    <w:rsid w:val="799C1B31"/>
    <w:rsid w:val="799C2A97"/>
    <w:rsid w:val="799E2892"/>
    <w:rsid w:val="799F161C"/>
    <w:rsid w:val="799F4335"/>
    <w:rsid w:val="799F6815"/>
    <w:rsid w:val="799F7E92"/>
    <w:rsid w:val="79A06363"/>
    <w:rsid w:val="79A3307E"/>
    <w:rsid w:val="79A436FA"/>
    <w:rsid w:val="79A454A8"/>
    <w:rsid w:val="79A71777"/>
    <w:rsid w:val="79A731EA"/>
    <w:rsid w:val="79A77C75"/>
    <w:rsid w:val="79A833ED"/>
    <w:rsid w:val="79A90D10"/>
    <w:rsid w:val="79AB16E0"/>
    <w:rsid w:val="79AB2CDA"/>
    <w:rsid w:val="79AB4A88"/>
    <w:rsid w:val="79AB4DB8"/>
    <w:rsid w:val="79AC0800"/>
    <w:rsid w:val="79AC25AE"/>
    <w:rsid w:val="79AC464A"/>
    <w:rsid w:val="79AD0D03"/>
    <w:rsid w:val="79AD76D8"/>
    <w:rsid w:val="79AE27CB"/>
    <w:rsid w:val="79AE4579"/>
    <w:rsid w:val="79AF6F1F"/>
    <w:rsid w:val="79B0089F"/>
    <w:rsid w:val="79B0209F"/>
    <w:rsid w:val="79B160B4"/>
    <w:rsid w:val="79B241BA"/>
    <w:rsid w:val="79B3393D"/>
    <w:rsid w:val="79B35BA8"/>
    <w:rsid w:val="79B439CB"/>
    <w:rsid w:val="79B46545"/>
    <w:rsid w:val="79B53B59"/>
    <w:rsid w:val="79B5467D"/>
    <w:rsid w:val="79B576B5"/>
    <w:rsid w:val="79B62A46"/>
    <w:rsid w:val="79B67EF4"/>
    <w:rsid w:val="79B7342D"/>
    <w:rsid w:val="79B772FD"/>
    <w:rsid w:val="79B779A0"/>
    <w:rsid w:val="79B80F53"/>
    <w:rsid w:val="79B853F7"/>
    <w:rsid w:val="79B91716"/>
    <w:rsid w:val="79BA2F1D"/>
    <w:rsid w:val="79BD47BC"/>
    <w:rsid w:val="79BD4C47"/>
    <w:rsid w:val="79BD71CD"/>
    <w:rsid w:val="79BE0C60"/>
    <w:rsid w:val="79BE1EA8"/>
    <w:rsid w:val="79C06B2F"/>
    <w:rsid w:val="79C142AC"/>
    <w:rsid w:val="79C14961"/>
    <w:rsid w:val="79C1605A"/>
    <w:rsid w:val="79C21DD2"/>
    <w:rsid w:val="79C245B1"/>
    <w:rsid w:val="79C30024"/>
    <w:rsid w:val="79C35690"/>
    <w:rsid w:val="79C36276"/>
    <w:rsid w:val="79C370CB"/>
    <w:rsid w:val="79C426A2"/>
    <w:rsid w:val="79C45B4A"/>
    <w:rsid w:val="79C67B14"/>
    <w:rsid w:val="79C847EB"/>
    <w:rsid w:val="79C947A0"/>
    <w:rsid w:val="79CA2CA8"/>
    <w:rsid w:val="79CB0C87"/>
    <w:rsid w:val="79CC49FF"/>
    <w:rsid w:val="79CD2C51"/>
    <w:rsid w:val="79CD397D"/>
    <w:rsid w:val="79CD5089"/>
    <w:rsid w:val="79CD5581"/>
    <w:rsid w:val="79CD6B2E"/>
    <w:rsid w:val="79CE0777"/>
    <w:rsid w:val="79CE4C1B"/>
    <w:rsid w:val="79CF7393"/>
    <w:rsid w:val="79D041B3"/>
    <w:rsid w:val="79D05643"/>
    <w:rsid w:val="79D134F7"/>
    <w:rsid w:val="79D20267"/>
    <w:rsid w:val="79D233D9"/>
    <w:rsid w:val="79D2573A"/>
    <w:rsid w:val="79D404C9"/>
    <w:rsid w:val="79D41BA0"/>
    <w:rsid w:val="79D435A8"/>
    <w:rsid w:val="79D43BE1"/>
    <w:rsid w:val="79D51B05"/>
    <w:rsid w:val="79D57D57"/>
    <w:rsid w:val="79D73ACF"/>
    <w:rsid w:val="79D73EB5"/>
    <w:rsid w:val="79D833A4"/>
    <w:rsid w:val="79D8414E"/>
    <w:rsid w:val="79D85143"/>
    <w:rsid w:val="79D97847"/>
    <w:rsid w:val="79DA35C0"/>
    <w:rsid w:val="79DA3D19"/>
    <w:rsid w:val="79DC0856"/>
    <w:rsid w:val="79DD09BA"/>
    <w:rsid w:val="79DE7E7D"/>
    <w:rsid w:val="79DF4732"/>
    <w:rsid w:val="79DF76E6"/>
    <w:rsid w:val="79E007A3"/>
    <w:rsid w:val="79E033A0"/>
    <w:rsid w:val="79E05138"/>
    <w:rsid w:val="79E166FC"/>
    <w:rsid w:val="79E26C4A"/>
    <w:rsid w:val="79E3359C"/>
    <w:rsid w:val="79E461EC"/>
    <w:rsid w:val="79E57412"/>
    <w:rsid w:val="79E71B6B"/>
    <w:rsid w:val="79E87A8A"/>
    <w:rsid w:val="79E955B1"/>
    <w:rsid w:val="79E9735F"/>
    <w:rsid w:val="79EA0DBB"/>
    <w:rsid w:val="79EA43EA"/>
    <w:rsid w:val="79EA61EA"/>
    <w:rsid w:val="79EB1329"/>
    <w:rsid w:val="79EB30D7"/>
    <w:rsid w:val="79EB37FE"/>
    <w:rsid w:val="79ED068D"/>
    <w:rsid w:val="79ED6E4F"/>
    <w:rsid w:val="79EE0E19"/>
    <w:rsid w:val="79EE38C3"/>
    <w:rsid w:val="79F006ED"/>
    <w:rsid w:val="79F04B91"/>
    <w:rsid w:val="79F134EC"/>
    <w:rsid w:val="79F20909"/>
    <w:rsid w:val="79F30561"/>
    <w:rsid w:val="79F3642F"/>
    <w:rsid w:val="79F521A7"/>
    <w:rsid w:val="79F62775"/>
    <w:rsid w:val="79F948F9"/>
    <w:rsid w:val="79F956AA"/>
    <w:rsid w:val="79F95EA5"/>
    <w:rsid w:val="79FA3F2A"/>
    <w:rsid w:val="79FA77BE"/>
    <w:rsid w:val="79FC1788"/>
    <w:rsid w:val="79FC5BD4"/>
    <w:rsid w:val="79FC7092"/>
    <w:rsid w:val="79FE5AF0"/>
    <w:rsid w:val="7A022643"/>
    <w:rsid w:val="7A0238EE"/>
    <w:rsid w:val="7A0348C4"/>
    <w:rsid w:val="7A052DF2"/>
    <w:rsid w:val="7A053CA8"/>
    <w:rsid w:val="7A064CBA"/>
    <w:rsid w:val="7A066E53"/>
    <w:rsid w:val="7A067F11"/>
    <w:rsid w:val="7A08012D"/>
    <w:rsid w:val="7A081EDB"/>
    <w:rsid w:val="7A0A2583"/>
    <w:rsid w:val="7A0B002E"/>
    <w:rsid w:val="7A0B162F"/>
    <w:rsid w:val="7A0B3779"/>
    <w:rsid w:val="7A0D3075"/>
    <w:rsid w:val="7A0D5743"/>
    <w:rsid w:val="7A0E3B15"/>
    <w:rsid w:val="7A102AD6"/>
    <w:rsid w:val="7A1071F2"/>
    <w:rsid w:val="7A124DB3"/>
    <w:rsid w:val="7A13262E"/>
    <w:rsid w:val="7A145A3C"/>
    <w:rsid w:val="7A146AD1"/>
    <w:rsid w:val="7A15430F"/>
    <w:rsid w:val="7A1545F8"/>
    <w:rsid w:val="7A1563A6"/>
    <w:rsid w:val="7A157A2C"/>
    <w:rsid w:val="7A173ECC"/>
    <w:rsid w:val="7A187C44"/>
    <w:rsid w:val="7A1932EE"/>
    <w:rsid w:val="7A195D65"/>
    <w:rsid w:val="7A1A0982"/>
    <w:rsid w:val="7A1A118E"/>
    <w:rsid w:val="7A1A5A45"/>
    <w:rsid w:val="7A1C7E11"/>
    <w:rsid w:val="7A1D3808"/>
    <w:rsid w:val="7A1E0906"/>
    <w:rsid w:val="7A1F0FD2"/>
    <w:rsid w:val="7A1F7224"/>
    <w:rsid w:val="7A20651F"/>
    <w:rsid w:val="7A213A5B"/>
    <w:rsid w:val="7A214D4A"/>
    <w:rsid w:val="7A224018"/>
    <w:rsid w:val="7A226B24"/>
    <w:rsid w:val="7A232871"/>
    <w:rsid w:val="7A24483B"/>
    <w:rsid w:val="7A245757"/>
    <w:rsid w:val="7A2465E9"/>
    <w:rsid w:val="7A251B8D"/>
    <w:rsid w:val="7A262361"/>
    <w:rsid w:val="7A2778CD"/>
    <w:rsid w:val="7A28257D"/>
    <w:rsid w:val="7A2860D9"/>
    <w:rsid w:val="7A291382"/>
    <w:rsid w:val="7A293BFF"/>
    <w:rsid w:val="7A2A4A0B"/>
    <w:rsid w:val="7A2A6524"/>
    <w:rsid w:val="7A2B0E98"/>
    <w:rsid w:val="7A2D1941"/>
    <w:rsid w:val="7A2D1FEB"/>
    <w:rsid w:val="7A2E1215"/>
    <w:rsid w:val="7A3251AA"/>
    <w:rsid w:val="7A33329F"/>
    <w:rsid w:val="7A342E0A"/>
    <w:rsid w:val="7A344A7E"/>
    <w:rsid w:val="7A34524A"/>
    <w:rsid w:val="7A35088C"/>
    <w:rsid w:val="7A356A48"/>
    <w:rsid w:val="7A363361"/>
    <w:rsid w:val="7A385B78"/>
    <w:rsid w:val="7A392094"/>
    <w:rsid w:val="7A3B4602"/>
    <w:rsid w:val="7A3C1B84"/>
    <w:rsid w:val="7A3D5C5B"/>
    <w:rsid w:val="7A3E76AA"/>
    <w:rsid w:val="7A3F3423"/>
    <w:rsid w:val="7A401675"/>
    <w:rsid w:val="7A403EB0"/>
    <w:rsid w:val="7A410F49"/>
    <w:rsid w:val="7A43056D"/>
    <w:rsid w:val="7A434CC1"/>
    <w:rsid w:val="7A450285"/>
    <w:rsid w:val="7A454EDD"/>
    <w:rsid w:val="7A456C8B"/>
    <w:rsid w:val="7A462A03"/>
    <w:rsid w:val="7A464DEA"/>
    <w:rsid w:val="7A473C89"/>
    <w:rsid w:val="7A480529"/>
    <w:rsid w:val="7A48677B"/>
    <w:rsid w:val="7A486C06"/>
    <w:rsid w:val="7A4A2C67"/>
    <w:rsid w:val="7A4B0019"/>
    <w:rsid w:val="7A4B626B"/>
    <w:rsid w:val="7A4E4855"/>
    <w:rsid w:val="7A4F18B8"/>
    <w:rsid w:val="7A4F7B0A"/>
    <w:rsid w:val="7A505630"/>
    <w:rsid w:val="7A5073DE"/>
    <w:rsid w:val="7A5075EF"/>
    <w:rsid w:val="7A513882"/>
    <w:rsid w:val="7A522889"/>
    <w:rsid w:val="7A523156"/>
    <w:rsid w:val="7A523952"/>
    <w:rsid w:val="7A53393E"/>
    <w:rsid w:val="7A543372"/>
    <w:rsid w:val="7A562445"/>
    <w:rsid w:val="7A57076C"/>
    <w:rsid w:val="7A570D6F"/>
    <w:rsid w:val="7A5769BE"/>
    <w:rsid w:val="7A58524B"/>
    <w:rsid w:val="7A587C3C"/>
    <w:rsid w:val="7A590988"/>
    <w:rsid w:val="7A593A77"/>
    <w:rsid w:val="7A5A025C"/>
    <w:rsid w:val="7A5A200A"/>
    <w:rsid w:val="7A5A7845"/>
    <w:rsid w:val="7A5B0994"/>
    <w:rsid w:val="7A5C2227"/>
    <w:rsid w:val="7A5C3FD5"/>
    <w:rsid w:val="7A5C650C"/>
    <w:rsid w:val="7A5D2F51"/>
    <w:rsid w:val="7A5E5F9F"/>
    <w:rsid w:val="7A5E74D2"/>
    <w:rsid w:val="7A603652"/>
    <w:rsid w:val="7A603AC5"/>
    <w:rsid w:val="7A612A5E"/>
    <w:rsid w:val="7A6278B7"/>
    <w:rsid w:val="7A6335B5"/>
    <w:rsid w:val="7A6510DB"/>
    <w:rsid w:val="7A652E89"/>
    <w:rsid w:val="7A664E53"/>
    <w:rsid w:val="7A666C01"/>
    <w:rsid w:val="7A672FC0"/>
    <w:rsid w:val="7A676123"/>
    <w:rsid w:val="7A682979"/>
    <w:rsid w:val="7A69678E"/>
    <w:rsid w:val="7A6A2BD3"/>
    <w:rsid w:val="7A6B03EC"/>
    <w:rsid w:val="7A6B246A"/>
    <w:rsid w:val="7A6B4228"/>
    <w:rsid w:val="7A6B4B71"/>
    <w:rsid w:val="7A6C06BC"/>
    <w:rsid w:val="7A6D1D3E"/>
    <w:rsid w:val="7A6D3779"/>
    <w:rsid w:val="7A6E0921"/>
    <w:rsid w:val="7A70182E"/>
    <w:rsid w:val="7A707A80"/>
    <w:rsid w:val="7A715CD2"/>
    <w:rsid w:val="7A721E73"/>
    <w:rsid w:val="7A7237F8"/>
    <w:rsid w:val="7A7255A6"/>
    <w:rsid w:val="7A735C28"/>
    <w:rsid w:val="7A7474B9"/>
    <w:rsid w:val="7A7521C0"/>
    <w:rsid w:val="7A765096"/>
    <w:rsid w:val="7A770E0E"/>
    <w:rsid w:val="7A7719E1"/>
    <w:rsid w:val="7A77448A"/>
    <w:rsid w:val="7A785D11"/>
    <w:rsid w:val="7A795A34"/>
    <w:rsid w:val="7A7A0605"/>
    <w:rsid w:val="7A7C0E76"/>
    <w:rsid w:val="7A7C4677"/>
    <w:rsid w:val="7A7F1A71"/>
    <w:rsid w:val="7A7F70CA"/>
    <w:rsid w:val="7A800F51"/>
    <w:rsid w:val="7A805F15"/>
    <w:rsid w:val="7A8111B2"/>
    <w:rsid w:val="7A82285A"/>
    <w:rsid w:val="7A822A45"/>
    <w:rsid w:val="7A83522E"/>
    <w:rsid w:val="7A835A05"/>
    <w:rsid w:val="7A8377B3"/>
    <w:rsid w:val="7A83793A"/>
    <w:rsid w:val="7A846E66"/>
    <w:rsid w:val="7A85177D"/>
    <w:rsid w:val="7A857DDB"/>
    <w:rsid w:val="7A862E00"/>
    <w:rsid w:val="7A866BA8"/>
    <w:rsid w:val="7A866F6C"/>
    <w:rsid w:val="7A88301C"/>
    <w:rsid w:val="7A8844B1"/>
    <w:rsid w:val="7A8A00FA"/>
    <w:rsid w:val="7A8A017B"/>
    <w:rsid w:val="7A8A0B42"/>
    <w:rsid w:val="7A8A69B9"/>
    <w:rsid w:val="7A8B666F"/>
    <w:rsid w:val="7A8B6C25"/>
    <w:rsid w:val="7A8D23E0"/>
    <w:rsid w:val="7A8F1A03"/>
    <w:rsid w:val="7A8F43AA"/>
    <w:rsid w:val="7A8F7F06"/>
    <w:rsid w:val="7A903C7E"/>
    <w:rsid w:val="7A904DD0"/>
    <w:rsid w:val="7A905A80"/>
    <w:rsid w:val="7A91596F"/>
    <w:rsid w:val="7A917106"/>
    <w:rsid w:val="7A9279F6"/>
    <w:rsid w:val="7A9419C0"/>
    <w:rsid w:val="7A94314B"/>
    <w:rsid w:val="7A965738"/>
    <w:rsid w:val="7A9726FE"/>
    <w:rsid w:val="7A97500D"/>
    <w:rsid w:val="7A975929"/>
    <w:rsid w:val="7A986D79"/>
    <w:rsid w:val="7A990A69"/>
    <w:rsid w:val="7A990D85"/>
    <w:rsid w:val="7A995229"/>
    <w:rsid w:val="7A9C2623"/>
    <w:rsid w:val="7A9D1F05"/>
    <w:rsid w:val="7A9E453C"/>
    <w:rsid w:val="7A9E62BF"/>
    <w:rsid w:val="7A9E639B"/>
    <w:rsid w:val="7A9F774F"/>
    <w:rsid w:val="7AA02081"/>
    <w:rsid w:val="7AA03EC1"/>
    <w:rsid w:val="7AA15E8B"/>
    <w:rsid w:val="7AA24A88"/>
    <w:rsid w:val="7AA24C40"/>
    <w:rsid w:val="7AA27174"/>
    <w:rsid w:val="7AA31C03"/>
    <w:rsid w:val="7AA339B1"/>
    <w:rsid w:val="7AA33F4E"/>
    <w:rsid w:val="7AA551BB"/>
    <w:rsid w:val="7AA80FC8"/>
    <w:rsid w:val="7AA93C53"/>
    <w:rsid w:val="7AAA326B"/>
    <w:rsid w:val="7AAA73AE"/>
    <w:rsid w:val="7AAA7DCA"/>
    <w:rsid w:val="7AAB02D3"/>
    <w:rsid w:val="7AAC4F5C"/>
    <w:rsid w:val="7AAC5314"/>
    <w:rsid w:val="7AAD20EF"/>
    <w:rsid w:val="7AAD4830"/>
    <w:rsid w:val="7AAD65DE"/>
    <w:rsid w:val="7AAD715B"/>
    <w:rsid w:val="7AAE4AF0"/>
    <w:rsid w:val="7AAE6A84"/>
    <w:rsid w:val="7AAF67FA"/>
    <w:rsid w:val="7AB01E15"/>
    <w:rsid w:val="7AB10B4B"/>
    <w:rsid w:val="7AB160CE"/>
    <w:rsid w:val="7AB21513"/>
    <w:rsid w:val="7AB21E46"/>
    <w:rsid w:val="7AB33333"/>
    <w:rsid w:val="7AB364C5"/>
    <w:rsid w:val="7AB43E11"/>
    <w:rsid w:val="7AB45BBF"/>
    <w:rsid w:val="7AB4796D"/>
    <w:rsid w:val="7AB636E5"/>
    <w:rsid w:val="7AB83901"/>
    <w:rsid w:val="7AB85E35"/>
    <w:rsid w:val="7AB92EC7"/>
    <w:rsid w:val="7ABB519F"/>
    <w:rsid w:val="7AC202DC"/>
    <w:rsid w:val="7AC2652D"/>
    <w:rsid w:val="7AC26915"/>
    <w:rsid w:val="7AC276AD"/>
    <w:rsid w:val="7AC51215"/>
    <w:rsid w:val="7AC51B7A"/>
    <w:rsid w:val="7AC643F3"/>
    <w:rsid w:val="7AC676A0"/>
    <w:rsid w:val="7AC86183"/>
    <w:rsid w:val="7AC9063C"/>
    <w:rsid w:val="7AC9642D"/>
    <w:rsid w:val="7ACB4CB6"/>
    <w:rsid w:val="7ACC115A"/>
    <w:rsid w:val="7ACC2F08"/>
    <w:rsid w:val="7ACD00E7"/>
    <w:rsid w:val="7ACD6C80"/>
    <w:rsid w:val="7ACF29F8"/>
    <w:rsid w:val="7AD1051F"/>
    <w:rsid w:val="7AD24297"/>
    <w:rsid w:val="7AD26045"/>
    <w:rsid w:val="7AD41DBD"/>
    <w:rsid w:val="7AD53BBF"/>
    <w:rsid w:val="7AD601C9"/>
    <w:rsid w:val="7AD61FD9"/>
    <w:rsid w:val="7AD62C5C"/>
    <w:rsid w:val="7AD63D87"/>
    <w:rsid w:val="7AD67243"/>
    <w:rsid w:val="7AD8748F"/>
    <w:rsid w:val="7AD87AFF"/>
    <w:rsid w:val="7AD926AB"/>
    <w:rsid w:val="7ADA3941"/>
    <w:rsid w:val="7ADC6EC3"/>
    <w:rsid w:val="7ADD1BA5"/>
    <w:rsid w:val="7ADD3367"/>
    <w:rsid w:val="7ADD76F1"/>
    <w:rsid w:val="7ADE0E8D"/>
    <w:rsid w:val="7ADE49EA"/>
    <w:rsid w:val="7ADF0D25"/>
    <w:rsid w:val="7ADF5D04"/>
    <w:rsid w:val="7AE07E53"/>
    <w:rsid w:val="7AE137D5"/>
    <w:rsid w:val="7AE2097E"/>
    <w:rsid w:val="7AE2567C"/>
    <w:rsid w:val="7AE30252"/>
    <w:rsid w:val="7AE3084F"/>
    <w:rsid w:val="7AE528A2"/>
    <w:rsid w:val="7AE61CC6"/>
    <w:rsid w:val="7AE71AF0"/>
    <w:rsid w:val="7AE75F94"/>
    <w:rsid w:val="7AE85868"/>
    <w:rsid w:val="7AE934B3"/>
    <w:rsid w:val="7AE95A0F"/>
    <w:rsid w:val="7AEB48C6"/>
    <w:rsid w:val="7AEC5358"/>
    <w:rsid w:val="7AEC5D56"/>
    <w:rsid w:val="7AED0096"/>
    <w:rsid w:val="7AED7BDE"/>
    <w:rsid w:val="7AEE7323"/>
    <w:rsid w:val="7AEF4E49"/>
    <w:rsid w:val="7AF02C32"/>
    <w:rsid w:val="7AF1296F"/>
    <w:rsid w:val="7AF16E13"/>
    <w:rsid w:val="7AF366E7"/>
    <w:rsid w:val="7AF406B1"/>
    <w:rsid w:val="7AF43C80"/>
    <w:rsid w:val="7AF4420D"/>
    <w:rsid w:val="7AF4605B"/>
    <w:rsid w:val="7AF50549"/>
    <w:rsid w:val="7AF745AA"/>
    <w:rsid w:val="7AF75AAB"/>
    <w:rsid w:val="7AF81F4F"/>
    <w:rsid w:val="7AF83F54"/>
    <w:rsid w:val="7AF85A3A"/>
    <w:rsid w:val="7AF924A6"/>
    <w:rsid w:val="7AF97048"/>
    <w:rsid w:val="7AF976AF"/>
    <w:rsid w:val="7AFA3202"/>
    <w:rsid w:val="7AFB1A3F"/>
    <w:rsid w:val="7AFB37ED"/>
    <w:rsid w:val="7AFD30B1"/>
    <w:rsid w:val="7AFD3360"/>
    <w:rsid w:val="7AFD44AA"/>
    <w:rsid w:val="7AFE0079"/>
    <w:rsid w:val="7AFE32DE"/>
    <w:rsid w:val="7B002BB2"/>
    <w:rsid w:val="7B012A0E"/>
    <w:rsid w:val="7B0207B1"/>
    <w:rsid w:val="7B024B7C"/>
    <w:rsid w:val="7B0326A2"/>
    <w:rsid w:val="7B036D36"/>
    <w:rsid w:val="7B046F71"/>
    <w:rsid w:val="7B05466C"/>
    <w:rsid w:val="7B057924"/>
    <w:rsid w:val="7B077B8D"/>
    <w:rsid w:val="7B08205F"/>
    <w:rsid w:val="7B08258E"/>
    <w:rsid w:val="7B083579"/>
    <w:rsid w:val="7B087CB8"/>
    <w:rsid w:val="7B097E4E"/>
    <w:rsid w:val="7B0A3A31"/>
    <w:rsid w:val="7B0A3DB8"/>
    <w:rsid w:val="7B0C1557"/>
    <w:rsid w:val="7B0C59FB"/>
    <w:rsid w:val="7B0D52CF"/>
    <w:rsid w:val="7B0E3521"/>
    <w:rsid w:val="7B0E3709"/>
    <w:rsid w:val="7B0E7903"/>
    <w:rsid w:val="7B0F3CC0"/>
    <w:rsid w:val="7B0F54EB"/>
    <w:rsid w:val="7B1228E5"/>
    <w:rsid w:val="7B136D89"/>
    <w:rsid w:val="7B1418AD"/>
    <w:rsid w:val="7B143DF5"/>
    <w:rsid w:val="7B1448AF"/>
    <w:rsid w:val="7B1565B0"/>
    <w:rsid w:val="7B160627"/>
    <w:rsid w:val="7B164183"/>
    <w:rsid w:val="7B166879"/>
    <w:rsid w:val="7B172D1E"/>
    <w:rsid w:val="7B191EC6"/>
    <w:rsid w:val="7B1A6E15"/>
    <w:rsid w:val="7B1B3E90"/>
    <w:rsid w:val="7B1B710D"/>
    <w:rsid w:val="7B1C1A01"/>
    <w:rsid w:val="7B1D19B6"/>
    <w:rsid w:val="7B1D4B83"/>
    <w:rsid w:val="7B1D62C4"/>
    <w:rsid w:val="7B1F572E"/>
    <w:rsid w:val="7B1F6449"/>
    <w:rsid w:val="7B1F7EC6"/>
    <w:rsid w:val="7B203254"/>
    <w:rsid w:val="7B220D7A"/>
    <w:rsid w:val="7B230F7E"/>
    <w:rsid w:val="7B242D44"/>
    <w:rsid w:val="7B252618"/>
    <w:rsid w:val="7B257C83"/>
    <w:rsid w:val="7B276F1B"/>
    <w:rsid w:val="7B287380"/>
    <w:rsid w:val="7B29035B"/>
    <w:rsid w:val="7B292109"/>
    <w:rsid w:val="7B2A08C8"/>
    <w:rsid w:val="7B2A386F"/>
    <w:rsid w:val="7B2A40D3"/>
    <w:rsid w:val="7B2B4D24"/>
    <w:rsid w:val="7B2B6B32"/>
    <w:rsid w:val="7B2C7EDF"/>
    <w:rsid w:val="7B2D7A9F"/>
    <w:rsid w:val="7B2E3BC3"/>
    <w:rsid w:val="7B2F0CBD"/>
    <w:rsid w:val="7B2F24DB"/>
    <w:rsid w:val="7B2F4C29"/>
    <w:rsid w:val="7B2F514A"/>
    <w:rsid w:val="7B3048BE"/>
    <w:rsid w:val="7B304A74"/>
    <w:rsid w:val="7B306AFA"/>
    <w:rsid w:val="7B324450"/>
    <w:rsid w:val="7B3313E4"/>
    <w:rsid w:val="7B33143D"/>
    <w:rsid w:val="7B346CFF"/>
    <w:rsid w:val="7B352E0A"/>
    <w:rsid w:val="7B362A78"/>
    <w:rsid w:val="7B36478B"/>
    <w:rsid w:val="7B3867F0"/>
    <w:rsid w:val="7B3A24AD"/>
    <w:rsid w:val="7B3B008E"/>
    <w:rsid w:val="7B3B1E3C"/>
    <w:rsid w:val="7B3C200A"/>
    <w:rsid w:val="7B3D0475"/>
    <w:rsid w:val="7B3F192C"/>
    <w:rsid w:val="7B4038F6"/>
    <w:rsid w:val="7B407452"/>
    <w:rsid w:val="7B417854"/>
    <w:rsid w:val="7B42141C"/>
    <w:rsid w:val="7B424F78"/>
    <w:rsid w:val="7B42766E"/>
    <w:rsid w:val="7B430ADD"/>
    <w:rsid w:val="7B430CF1"/>
    <w:rsid w:val="7B4414B7"/>
    <w:rsid w:val="7B4714E2"/>
    <w:rsid w:val="7B4A207F"/>
    <w:rsid w:val="7B4A6711"/>
    <w:rsid w:val="7B4C1F4E"/>
    <w:rsid w:val="7B4D1357"/>
    <w:rsid w:val="7B4E1B6F"/>
    <w:rsid w:val="7B4E7DC1"/>
    <w:rsid w:val="7B4F58E7"/>
    <w:rsid w:val="7B4F5C06"/>
    <w:rsid w:val="7B4F7695"/>
    <w:rsid w:val="7B50217B"/>
    <w:rsid w:val="7B503B39"/>
    <w:rsid w:val="7B507A12"/>
    <w:rsid w:val="7B5139BE"/>
    <w:rsid w:val="7B5178B1"/>
    <w:rsid w:val="7B517E33"/>
    <w:rsid w:val="7B5332CE"/>
    <w:rsid w:val="7B5353D8"/>
    <w:rsid w:val="7B537AD4"/>
    <w:rsid w:val="7B542CEA"/>
    <w:rsid w:val="7B551150"/>
    <w:rsid w:val="7B553327"/>
    <w:rsid w:val="7B5573A2"/>
    <w:rsid w:val="7B56407B"/>
    <w:rsid w:val="7B577FE5"/>
    <w:rsid w:val="7B5829EE"/>
    <w:rsid w:val="7B593CB9"/>
    <w:rsid w:val="7B5956F1"/>
    <w:rsid w:val="7B5A516D"/>
    <w:rsid w:val="7B5A549E"/>
    <w:rsid w:val="7B5A6766"/>
    <w:rsid w:val="7B5B603A"/>
    <w:rsid w:val="7B5D1DB2"/>
    <w:rsid w:val="7B5D3757"/>
    <w:rsid w:val="7B5D6256"/>
    <w:rsid w:val="7B5E0E8D"/>
    <w:rsid w:val="7B5E34A6"/>
    <w:rsid w:val="7B6018A2"/>
    <w:rsid w:val="7B606759"/>
    <w:rsid w:val="7B611E27"/>
    <w:rsid w:val="7B62386D"/>
    <w:rsid w:val="7B641393"/>
    <w:rsid w:val="7B643141"/>
    <w:rsid w:val="7B6472EC"/>
    <w:rsid w:val="7B6475E5"/>
    <w:rsid w:val="7B662B8E"/>
    <w:rsid w:val="7B666A49"/>
    <w:rsid w:val="7B670E83"/>
    <w:rsid w:val="7B6770D5"/>
    <w:rsid w:val="7B690757"/>
    <w:rsid w:val="7B691201"/>
    <w:rsid w:val="7B6969A9"/>
    <w:rsid w:val="7B6A2168"/>
    <w:rsid w:val="7B6A2721"/>
    <w:rsid w:val="7B6A461A"/>
    <w:rsid w:val="7B6A569E"/>
    <w:rsid w:val="7B6A770C"/>
    <w:rsid w:val="7B6B1BFD"/>
    <w:rsid w:val="7B6B4F2D"/>
    <w:rsid w:val="7B6C379D"/>
    <w:rsid w:val="7B6C46EB"/>
    <w:rsid w:val="7B6C6499"/>
    <w:rsid w:val="7B6E0463"/>
    <w:rsid w:val="7B6E21CE"/>
    <w:rsid w:val="7B6E5D6D"/>
    <w:rsid w:val="7B71246B"/>
    <w:rsid w:val="7B712812"/>
    <w:rsid w:val="7B7143CE"/>
    <w:rsid w:val="7B71585E"/>
    <w:rsid w:val="7B7227DD"/>
    <w:rsid w:val="7B735A7A"/>
    <w:rsid w:val="7B7363D1"/>
    <w:rsid w:val="7B7369D2"/>
    <w:rsid w:val="7B741218"/>
    <w:rsid w:val="7B7470FC"/>
    <w:rsid w:val="7B75534E"/>
    <w:rsid w:val="7B7610C6"/>
    <w:rsid w:val="7B767318"/>
    <w:rsid w:val="7B783090"/>
    <w:rsid w:val="7B786BEC"/>
    <w:rsid w:val="7B786C1E"/>
    <w:rsid w:val="7B797300"/>
    <w:rsid w:val="7B797EF7"/>
    <w:rsid w:val="7B7A1617"/>
    <w:rsid w:val="7B7A6E08"/>
    <w:rsid w:val="7B7B3C4F"/>
    <w:rsid w:val="7B7B492E"/>
    <w:rsid w:val="7B7B66DC"/>
    <w:rsid w:val="7B7C4440"/>
    <w:rsid w:val="7B7E2A90"/>
    <w:rsid w:val="7B7E7C87"/>
    <w:rsid w:val="7B7F61CD"/>
    <w:rsid w:val="7B803CF3"/>
    <w:rsid w:val="7B810030"/>
    <w:rsid w:val="7B810197"/>
    <w:rsid w:val="7B8228A1"/>
    <w:rsid w:val="7B831783"/>
    <w:rsid w:val="7B8330AA"/>
    <w:rsid w:val="7B845591"/>
    <w:rsid w:val="7B846A51"/>
    <w:rsid w:val="7B8620AF"/>
    <w:rsid w:val="7B8657AD"/>
    <w:rsid w:val="7B86755B"/>
    <w:rsid w:val="7B871525"/>
    <w:rsid w:val="7B872E86"/>
    <w:rsid w:val="7B892774"/>
    <w:rsid w:val="7B892BA7"/>
    <w:rsid w:val="7B897BA3"/>
    <w:rsid w:val="7B8A438C"/>
    <w:rsid w:val="7B8B4B71"/>
    <w:rsid w:val="7B8C08E9"/>
    <w:rsid w:val="7B8C1E20"/>
    <w:rsid w:val="7B8C2698"/>
    <w:rsid w:val="7B8C6B1A"/>
    <w:rsid w:val="7B8D365B"/>
    <w:rsid w:val="7B8E085C"/>
    <w:rsid w:val="7B8F3F36"/>
    <w:rsid w:val="7B8F73CC"/>
    <w:rsid w:val="7B902188"/>
    <w:rsid w:val="7B904B39"/>
    <w:rsid w:val="7B917B79"/>
    <w:rsid w:val="7B93032E"/>
    <w:rsid w:val="7B95154C"/>
    <w:rsid w:val="7B95573E"/>
    <w:rsid w:val="7B9559F0"/>
    <w:rsid w:val="7B963516"/>
    <w:rsid w:val="7B973637"/>
    <w:rsid w:val="7B985992"/>
    <w:rsid w:val="7B991080"/>
    <w:rsid w:val="7B992269"/>
    <w:rsid w:val="7B997A56"/>
    <w:rsid w:val="7B9A05A5"/>
    <w:rsid w:val="7B9A3006"/>
    <w:rsid w:val="7B9A6B62"/>
    <w:rsid w:val="7B9B28DB"/>
    <w:rsid w:val="7B9D2AF7"/>
    <w:rsid w:val="7B9D6653"/>
    <w:rsid w:val="7B9F061D"/>
    <w:rsid w:val="7B9F686F"/>
    <w:rsid w:val="7B9F6CEE"/>
    <w:rsid w:val="7BA05E2A"/>
    <w:rsid w:val="7BA06143"/>
    <w:rsid w:val="7BA1686F"/>
    <w:rsid w:val="7BA172BA"/>
    <w:rsid w:val="7BA2010D"/>
    <w:rsid w:val="7BA22B7A"/>
    <w:rsid w:val="7BA268EC"/>
    <w:rsid w:val="7BA3331B"/>
    <w:rsid w:val="7BA43E85"/>
    <w:rsid w:val="7BA501B2"/>
    <w:rsid w:val="7BA568E2"/>
    <w:rsid w:val="7BA619AB"/>
    <w:rsid w:val="7BA7127F"/>
    <w:rsid w:val="7BA760EB"/>
    <w:rsid w:val="7BA774D1"/>
    <w:rsid w:val="7BA94FF8"/>
    <w:rsid w:val="7BAC0D87"/>
    <w:rsid w:val="7BAC0FA5"/>
    <w:rsid w:val="7BAC4AE8"/>
    <w:rsid w:val="7BAC723C"/>
    <w:rsid w:val="7BAD0F8C"/>
    <w:rsid w:val="7BAE0860"/>
    <w:rsid w:val="7BAE6AB2"/>
    <w:rsid w:val="7BAF255C"/>
    <w:rsid w:val="7BB045D8"/>
    <w:rsid w:val="7BB0591F"/>
    <w:rsid w:val="7BB06386"/>
    <w:rsid w:val="7BB10350"/>
    <w:rsid w:val="7BB265A2"/>
    <w:rsid w:val="7BB46E71"/>
    <w:rsid w:val="7BB53769"/>
    <w:rsid w:val="7BB57E40"/>
    <w:rsid w:val="7BB64288"/>
    <w:rsid w:val="7BB6701C"/>
    <w:rsid w:val="7BB8348D"/>
    <w:rsid w:val="7BB87930"/>
    <w:rsid w:val="7BBA361E"/>
    <w:rsid w:val="7BBB1E8A"/>
    <w:rsid w:val="7BBB455F"/>
    <w:rsid w:val="7BBB7A53"/>
    <w:rsid w:val="7BBC11CF"/>
    <w:rsid w:val="7BBC17CF"/>
    <w:rsid w:val="7BBC487D"/>
    <w:rsid w:val="7BBD6B13"/>
    <w:rsid w:val="7BBE7C38"/>
    <w:rsid w:val="7BBF0AAC"/>
    <w:rsid w:val="7BBF2A6D"/>
    <w:rsid w:val="7BBF481B"/>
    <w:rsid w:val="7BC10593"/>
    <w:rsid w:val="7BC13896"/>
    <w:rsid w:val="7BC163F3"/>
    <w:rsid w:val="7BC167E5"/>
    <w:rsid w:val="7BC3285F"/>
    <w:rsid w:val="7BC41E31"/>
    <w:rsid w:val="7BC45653"/>
    <w:rsid w:val="7BC462D5"/>
    <w:rsid w:val="7BC55260"/>
    <w:rsid w:val="7BC57958"/>
    <w:rsid w:val="7BC6204D"/>
    <w:rsid w:val="7BC63DFB"/>
    <w:rsid w:val="7BC70ADA"/>
    <w:rsid w:val="7BC71922"/>
    <w:rsid w:val="7BC874AF"/>
    <w:rsid w:val="7BC9569A"/>
    <w:rsid w:val="7BC97448"/>
    <w:rsid w:val="7BCC0CE6"/>
    <w:rsid w:val="7BCD6588"/>
    <w:rsid w:val="7BCE2CB0"/>
    <w:rsid w:val="7BCE4A5E"/>
    <w:rsid w:val="7BCF6905"/>
    <w:rsid w:val="7BD02338"/>
    <w:rsid w:val="7BD04C7A"/>
    <w:rsid w:val="7BD209F2"/>
    <w:rsid w:val="7BD215B2"/>
    <w:rsid w:val="7BD25CB0"/>
    <w:rsid w:val="7BD302C6"/>
    <w:rsid w:val="7BD32074"/>
    <w:rsid w:val="7BD44D1A"/>
    <w:rsid w:val="7BD561AA"/>
    <w:rsid w:val="7BD73D86"/>
    <w:rsid w:val="7BD8369B"/>
    <w:rsid w:val="7BD83B2F"/>
    <w:rsid w:val="7BD8451B"/>
    <w:rsid w:val="7BD858DD"/>
    <w:rsid w:val="7BDA1655"/>
    <w:rsid w:val="7BDA7B3A"/>
    <w:rsid w:val="7BDB2A44"/>
    <w:rsid w:val="7BDB49F2"/>
    <w:rsid w:val="7BDD17B9"/>
    <w:rsid w:val="7BDD2162"/>
    <w:rsid w:val="7BDD681E"/>
    <w:rsid w:val="7BDE04EB"/>
    <w:rsid w:val="7BDE3C19"/>
    <w:rsid w:val="7BDE504F"/>
    <w:rsid w:val="7BDE7397"/>
    <w:rsid w:val="7BDE750D"/>
    <w:rsid w:val="7BDE7533"/>
    <w:rsid w:val="7BDE7755"/>
    <w:rsid w:val="7BDF2246"/>
    <w:rsid w:val="7BDF4EBD"/>
    <w:rsid w:val="7BDF7AA9"/>
    <w:rsid w:val="7BE05BB5"/>
    <w:rsid w:val="7BE10C35"/>
    <w:rsid w:val="7BE14791"/>
    <w:rsid w:val="7BE40F02"/>
    <w:rsid w:val="7BE44282"/>
    <w:rsid w:val="7BE660A5"/>
    <w:rsid w:val="7BE73D72"/>
    <w:rsid w:val="7BE97AEA"/>
    <w:rsid w:val="7BEA5AB0"/>
    <w:rsid w:val="7BEB1568"/>
    <w:rsid w:val="7BEB3862"/>
    <w:rsid w:val="7BEB5610"/>
    <w:rsid w:val="7BEC1388"/>
    <w:rsid w:val="7BEC1688"/>
    <w:rsid w:val="7BEC3136"/>
    <w:rsid w:val="7BED2D36"/>
    <w:rsid w:val="7BEE5100"/>
    <w:rsid w:val="7BEF6D51"/>
    <w:rsid w:val="7BF02C26"/>
    <w:rsid w:val="7BF14EF2"/>
    <w:rsid w:val="7BF24BF0"/>
    <w:rsid w:val="7BF2699E"/>
    <w:rsid w:val="7BF471EA"/>
    <w:rsid w:val="7BF546E1"/>
    <w:rsid w:val="7BF579CE"/>
    <w:rsid w:val="7BF72207"/>
    <w:rsid w:val="7BF81ADB"/>
    <w:rsid w:val="7BF85F7F"/>
    <w:rsid w:val="7BF87D2D"/>
    <w:rsid w:val="7BFA6DC5"/>
    <w:rsid w:val="7BFC15CB"/>
    <w:rsid w:val="7BFE17E7"/>
    <w:rsid w:val="7BFF2E69"/>
    <w:rsid w:val="7C003181"/>
    <w:rsid w:val="7C016BE2"/>
    <w:rsid w:val="7C036DFE"/>
    <w:rsid w:val="7C041228"/>
    <w:rsid w:val="7C044924"/>
    <w:rsid w:val="7C05087F"/>
    <w:rsid w:val="7C056D62"/>
    <w:rsid w:val="7C05739D"/>
    <w:rsid w:val="7C0641F8"/>
    <w:rsid w:val="7C0B7A60"/>
    <w:rsid w:val="7C0D22DA"/>
    <w:rsid w:val="7C0D37D8"/>
    <w:rsid w:val="7C10151B"/>
    <w:rsid w:val="7C10714B"/>
    <w:rsid w:val="7C1219F5"/>
    <w:rsid w:val="7C122B9D"/>
    <w:rsid w:val="7C1475DC"/>
    <w:rsid w:val="7C1508DF"/>
    <w:rsid w:val="7C151FF6"/>
    <w:rsid w:val="7C1521AD"/>
    <w:rsid w:val="7C154A8E"/>
    <w:rsid w:val="7C160DA1"/>
    <w:rsid w:val="7C175F5D"/>
    <w:rsid w:val="7C1903CF"/>
    <w:rsid w:val="7C192497"/>
    <w:rsid w:val="7C1A4147"/>
    <w:rsid w:val="7C1A6706"/>
    <w:rsid w:val="7C1B39D9"/>
    <w:rsid w:val="7C1B78EE"/>
    <w:rsid w:val="7C1D1021"/>
    <w:rsid w:val="7C1D7794"/>
    <w:rsid w:val="7C1E59E5"/>
    <w:rsid w:val="7C211032"/>
    <w:rsid w:val="7C2154D6"/>
    <w:rsid w:val="7C2175B2"/>
    <w:rsid w:val="7C221F45"/>
    <w:rsid w:val="7C224DAA"/>
    <w:rsid w:val="7C23124E"/>
    <w:rsid w:val="7C236500"/>
    <w:rsid w:val="7C240683"/>
    <w:rsid w:val="7C244DCF"/>
    <w:rsid w:val="7C246D74"/>
    <w:rsid w:val="7C2619F1"/>
    <w:rsid w:val="7C262AEC"/>
    <w:rsid w:val="7C266648"/>
    <w:rsid w:val="7C270361"/>
    <w:rsid w:val="7C291555"/>
    <w:rsid w:val="7C29535A"/>
    <w:rsid w:val="7C2A25DC"/>
    <w:rsid w:val="7C2B43D3"/>
    <w:rsid w:val="7C2B6FA4"/>
    <w:rsid w:val="7C2D6356"/>
    <w:rsid w:val="7C2E028A"/>
    <w:rsid w:val="7C2E19A1"/>
    <w:rsid w:val="7C303ADD"/>
    <w:rsid w:val="7C305719"/>
    <w:rsid w:val="7C3074C7"/>
    <w:rsid w:val="7C3149B5"/>
    <w:rsid w:val="7C32150A"/>
    <w:rsid w:val="7C332759"/>
    <w:rsid w:val="7C335736"/>
    <w:rsid w:val="7C336FB7"/>
    <w:rsid w:val="7C34421F"/>
    <w:rsid w:val="7C345209"/>
    <w:rsid w:val="7C346054"/>
    <w:rsid w:val="7C346788"/>
    <w:rsid w:val="7C346BC6"/>
    <w:rsid w:val="7C350F81"/>
    <w:rsid w:val="7C352D2F"/>
    <w:rsid w:val="7C35301B"/>
    <w:rsid w:val="7C370855"/>
    <w:rsid w:val="7C37425F"/>
    <w:rsid w:val="7C380051"/>
    <w:rsid w:val="7C3945CD"/>
    <w:rsid w:val="7C3A0345"/>
    <w:rsid w:val="7C3B04AB"/>
    <w:rsid w:val="7C3D1E80"/>
    <w:rsid w:val="7C3D3992"/>
    <w:rsid w:val="7C3F3BAE"/>
    <w:rsid w:val="7C4111CA"/>
    <w:rsid w:val="7C431044"/>
    <w:rsid w:val="7C43369E"/>
    <w:rsid w:val="7C4411C4"/>
    <w:rsid w:val="7C442F72"/>
    <w:rsid w:val="7C445AF7"/>
    <w:rsid w:val="7C4571E2"/>
    <w:rsid w:val="7C460A98"/>
    <w:rsid w:val="7C4823FE"/>
    <w:rsid w:val="7C4828D6"/>
    <w:rsid w:val="7C483F95"/>
    <w:rsid w:val="7C484810"/>
    <w:rsid w:val="7C491437"/>
    <w:rsid w:val="7C492337"/>
    <w:rsid w:val="7C4A4A2C"/>
    <w:rsid w:val="7C4A67DB"/>
    <w:rsid w:val="7C4B38E5"/>
    <w:rsid w:val="7C4B7342"/>
    <w:rsid w:val="7C4D0079"/>
    <w:rsid w:val="7C4D1E27"/>
    <w:rsid w:val="7C4E5B9F"/>
    <w:rsid w:val="7C4F582A"/>
    <w:rsid w:val="7C4F5B14"/>
    <w:rsid w:val="7C505453"/>
    <w:rsid w:val="7C52743D"/>
    <w:rsid w:val="7C5325F8"/>
    <w:rsid w:val="7C535A68"/>
    <w:rsid w:val="7C547659"/>
    <w:rsid w:val="7C570EF7"/>
    <w:rsid w:val="7C572CA5"/>
    <w:rsid w:val="7C574A54"/>
    <w:rsid w:val="7C584880"/>
    <w:rsid w:val="7C594C70"/>
    <w:rsid w:val="7C5B09E8"/>
    <w:rsid w:val="7C5B1D71"/>
    <w:rsid w:val="7C5B76DB"/>
    <w:rsid w:val="7C5C02BC"/>
    <w:rsid w:val="7C5C3201"/>
    <w:rsid w:val="7C5C650E"/>
    <w:rsid w:val="7C5D630B"/>
    <w:rsid w:val="7C5E5DE2"/>
    <w:rsid w:val="7C5E6466"/>
    <w:rsid w:val="7C5E7F92"/>
    <w:rsid w:val="7C60077C"/>
    <w:rsid w:val="7C602892"/>
    <w:rsid w:val="7C615A99"/>
    <w:rsid w:val="7C623E0B"/>
    <w:rsid w:val="7C631993"/>
    <w:rsid w:val="7C6324D3"/>
    <w:rsid w:val="7C64432A"/>
    <w:rsid w:val="7C645B4E"/>
    <w:rsid w:val="7C662EE9"/>
    <w:rsid w:val="7C66510B"/>
    <w:rsid w:val="7C67064E"/>
    <w:rsid w:val="7C690F55"/>
    <w:rsid w:val="7C693446"/>
    <w:rsid w:val="7C6A0C2B"/>
    <w:rsid w:val="7C6A6C95"/>
    <w:rsid w:val="7C6B0C5E"/>
    <w:rsid w:val="7C6B49A3"/>
    <w:rsid w:val="7C6D24C9"/>
    <w:rsid w:val="7C6D303B"/>
    <w:rsid w:val="7C6E0182"/>
    <w:rsid w:val="7C6E0CB7"/>
    <w:rsid w:val="7C6E40A4"/>
    <w:rsid w:val="7C6F37CB"/>
    <w:rsid w:val="7C6F4493"/>
    <w:rsid w:val="7C6F6241"/>
    <w:rsid w:val="7C6F7EC1"/>
    <w:rsid w:val="7C702B07"/>
    <w:rsid w:val="7C703D67"/>
    <w:rsid w:val="7C706666"/>
    <w:rsid w:val="7C707EF5"/>
    <w:rsid w:val="7C712545"/>
    <w:rsid w:val="7C725D31"/>
    <w:rsid w:val="7C735BF5"/>
    <w:rsid w:val="7C74031C"/>
    <w:rsid w:val="7C743857"/>
    <w:rsid w:val="7C75137E"/>
    <w:rsid w:val="7C7554E9"/>
    <w:rsid w:val="7C7575D0"/>
    <w:rsid w:val="7C7750F6"/>
    <w:rsid w:val="7C790E6E"/>
    <w:rsid w:val="7C7B5EF8"/>
    <w:rsid w:val="7C7C44BA"/>
    <w:rsid w:val="7C7C522F"/>
    <w:rsid w:val="7C7D04B4"/>
    <w:rsid w:val="7C7D4343"/>
    <w:rsid w:val="7C7E0232"/>
    <w:rsid w:val="7C7E46D6"/>
    <w:rsid w:val="7C7E6484"/>
    <w:rsid w:val="7C7E659B"/>
    <w:rsid w:val="7C7F379D"/>
    <w:rsid w:val="7C801B3B"/>
    <w:rsid w:val="7C8021FC"/>
    <w:rsid w:val="7C815F74"/>
    <w:rsid w:val="7C8166E2"/>
    <w:rsid w:val="7C833DC2"/>
    <w:rsid w:val="7C85517D"/>
    <w:rsid w:val="7C855A65"/>
    <w:rsid w:val="7C857813"/>
    <w:rsid w:val="7C8617DD"/>
    <w:rsid w:val="7C8810B1"/>
    <w:rsid w:val="7C8820DB"/>
    <w:rsid w:val="7C8909CB"/>
    <w:rsid w:val="7C893E5D"/>
    <w:rsid w:val="7C8A307B"/>
    <w:rsid w:val="7C8A3680"/>
    <w:rsid w:val="7C8A4013"/>
    <w:rsid w:val="7C8A627E"/>
    <w:rsid w:val="7C8B294F"/>
    <w:rsid w:val="7C8B5C72"/>
    <w:rsid w:val="7C8C0B9E"/>
    <w:rsid w:val="7C8C13F1"/>
    <w:rsid w:val="7C8C53D1"/>
    <w:rsid w:val="7C8C5D31"/>
    <w:rsid w:val="7C8F0691"/>
    <w:rsid w:val="7C8F243F"/>
    <w:rsid w:val="7C8F68E3"/>
    <w:rsid w:val="7C900BC8"/>
    <w:rsid w:val="7C907F65"/>
    <w:rsid w:val="7C916ACD"/>
    <w:rsid w:val="7C920181"/>
    <w:rsid w:val="7C920497"/>
    <w:rsid w:val="7C9264AE"/>
    <w:rsid w:val="7C926ED7"/>
    <w:rsid w:val="7C93023C"/>
    <w:rsid w:val="7C944118"/>
    <w:rsid w:val="7C946DC4"/>
    <w:rsid w:val="7C95557C"/>
    <w:rsid w:val="7C990638"/>
    <w:rsid w:val="7C9A48A8"/>
    <w:rsid w:val="7C9B7036"/>
    <w:rsid w:val="7C9B7203"/>
    <w:rsid w:val="7C9C0693"/>
    <w:rsid w:val="7C9C4B5C"/>
    <w:rsid w:val="7C9E2682"/>
    <w:rsid w:val="7C9E3300"/>
    <w:rsid w:val="7C9E6B26"/>
    <w:rsid w:val="7C9F63FA"/>
    <w:rsid w:val="7C9F747B"/>
    <w:rsid w:val="7CA02200"/>
    <w:rsid w:val="7CA037AB"/>
    <w:rsid w:val="7CA103C5"/>
    <w:rsid w:val="7CA11E8A"/>
    <w:rsid w:val="7CA12173"/>
    <w:rsid w:val="7CA35EEB"/>
    <w:rsid w:val="7CA37C99"/>
    <w:rsid w:val="7CA37D1E"/>
    <w:rsid w:val="7CA47AC9"/>
    <w:rsid w:val="7CA53A11"/>
    <w:rsid w:val="7CA552F2"/>
    <w:rsid w:val="7CA5738C"/>
    <w:rsid w:val="7CA57EB5"/>
    <w:rsid w:val="7CA67789"/>
    <w:rsid w:val="7CA81753"/>
    <w:rsid w:val="7CA852AF"/>
    <w:rsid w:val="7CA91CC9"/>
    <w:rsid w:val="7CA91EDA"/>
    <w:rsid w:val="7CAA09FC"/>
    <w:rsid w:val="7CAA1027"/>
    <w:rsid w:val="7CAB06FC"/>
    <w:rsid w:val="7CAB2E22"/>
    <w:rsid w:val="7CAC1243"/>
    <w:rsid w:val="7CAC4108"/>
    <w:rsid w:val="7CAD3D08"/>
    <w:rsid w:val="7CAF0836"/>
    <w:rsid w:val="7CAF2AE1"/>
    <w:rsid w:val="7CAF4890"/>
    <w:rsid w:val="7CB00608"/>
    <w:rsid w:val="7CB22E59"/>
    <w:rsid w:val="7CB34DC6"/>
    <w:rsid w:val="7CB43C54"/>
    <w:rsid w:val="7CB4634A"/>
    <w:rsid w:val="7CB579CC"/>
    <w:rsid w:val="7CB63E70"/>
    <w:rsid w:val="7CB65C1E"/>
    <w:rsid w:val="7CB71095"/>
    <w:rsid w:val="7CB7338C"/>
    <w:rsid w:val="7CB73744"/>
    <w:rsid w:val="7CB92B03"/>
    <w:rsid w:val="7CB93960"/>
    <w:rsid w:val="7CB9705D"/>
    <w:rsid w:val="7CBA3C1C"/>
    <w:rsid w:val="7CBA6883"/>
    <w:rsid w:val="7CBC05CB"/>
    <w:rsid w:val="7CBC0D5A"/>
    <w:rsid w:val="7CBC7B4E"/>
    <w:rsid w:val="7CBE0F77"/>
    <w:rsid w:val="7CBF4E17"/>
    <w:rsid w:val="7CC01B84"/>
    <w:rsid w:val="7CC022C5"/>
    <w:rsid w:val="7CC16371"/>
    <w:rsid w:val="7CC24816"/>
    <w:rsid w:val="7CC52305"/>
    <w:rsid w:val="7CC52470"/>
    <w:rsid w:val="7CC6608C"/>
    <w:rsid w:val="7CC7607D"/>
    <w:rsid w:val="7CC8486F"/>
    <w:rsid w:val="7CC876FF"/>
    <w:rsid w:val="7CC94468"/>
    <w:rsid w:val="7CCA3477"/>
    <w:rsid w:val="7CCB71F0"/>
    <w:rsid w:val="7CCC2FDC"/>
    <w:rsid w:val="7CCC74A6"/>
    <w:rsid w:val="7CCD32A4"/>
    <w:rsid w:val="7CCD4D16"/>
    <w:rsid w:val="7CCF24AF"/>
    <w:rsid w:val="7CCF4F32"/>
    <w:rsid w:val="7CCF6F3E"/>
    <w:rsid w:val="7CD04806"/>
    <w:rsid w:val="7CD06363"/>
    <w:rsid w:val="7CD10A13"/>
    <w:rsid w:val="7CD118B9"/>
    <w:rsid w:val="7CD12A58"/>
    <w:rsid w:val="7CD33333"/>
    <w:rsid w:val="7CD35F04"/>
    <w:rsid w:val="7CD36C81"/>
    <w:rsid w:val="7CD41461"/>
    <w:rsid w:val="7CD460A4"/>
    <w:rsid w:val="7CD50824"/>
    <w:rsid w:val="7CD673E6"/>
    <w:rsid w:val="7CD73DE6"/>
    <w:rsid w:val="7CD75D15"/>
    <w:rsid w:val="7CD8259A"/>
    <w:rsid w:val="7CD93392"/>
    <w:rsid w:val="7CDB45ED"/>
    <w:rsid w:val="7CDB7433"/>
    <w:rsid w:val="7CDC3642"/>
    <w:rsid w:val="7CDD6217"/>
    <w:rsid w:val="7CE10DA7"/>
    <w:rsid w:val="7CE16A13"/>
    <w:rsid w:val="7CE22869"/>
    <w:rsid w:val="7CE309DD"/>
    <w:rsid w:val="7CE32CDB"/>
    <w:rsid w:val="7CE441D6"/>
    <w:rsid w:val="7CE443B9"/>
    <w:rsid w:val="7CE54755"/>
    <w:rsid w:val="7CE56AB5"/>
    <w:rsid w:val="7CE64029"/>
    <w:rsid w:val="7CE65DD7"/>
    <w:rsid w:val="7CE7291C"/>
    <w:rsid w:val="7CE81B50"/>
    <w:rsid w:val="7CE85FF3"/>
    <w:rsid w:val="7CEA3B1A"/>
    <w:rsid w:val="7CEC5AE4"/>
    <w:rsid w:val="7CEE2B0C"/>
    <w:rsid w:val="7CEF1130"/>
    <w:rsid w:val="7CEF7382"/>
    <w:rsid w:val="7CF01299"/>
    <w:rsid w:val="7CF14F79"/>
    <w:rsid w:val="7CF2291D"/>
    <w:rsid w:val="7CF25DDF"/>
    <w:rsid w:val="7CF6129E"/>
    <w:rsid w:val="7CF624BE"/>
    <w:rsid w:val="7CF71F3E"/>
    <w:rsid w:val="7CF73BB6"/>
    <w:rsid w:val="7CF77FE5"/>
    <w:rsid w:val="7CF95B0B"/>
    <w:rsid w:val="7CFB5D27"/>
    <w:rsid w:val="7CFE1373"/>
    <w:rsid w:val="7CFE5817"/>
    <w:rsid w:val="7D0107D4"/>
    <w:rsid w:val="7D012C11"/>
    <w:rsid w:val="7D0132C6"/>
    <w:rsid w:val="7D0270B5"/>
    <w:rsid w:val="7D034BDB"/>
    <w:rsid w:val="7D052701"/>
    <w:rsid w:val="7D060228"/>
    <w:rsid w:val="7D062504"/>
    <w:rsid w:val="7D064108"/>
    <w:rsid w:val="7D0821F2"/>
    <w:rsid w:val="7D0836B3"/>
    <w:rsid w:val="7D0A5F6A"/>
    <w:rsid w:val="7D0B583E"/>
    <w:rsid w:val="7D0B6DDA"/>
    <w:rsid w:val="7D0C1CE2"/>
    <w:rsid w:val="7D0C2494"/>
    <w:rsid w:val="7D0C4C05"/>
    <w:rsid w:val="7D0C7D3D"/>
    <w:rsid w:val="7D0D7808"/>
    <w:rsid w:val="7D0E2935"/>
    <w:rsid w:val="7D0F3580"/>
    <w:rsid w:val="7D1032D5"/>
    <w:rsid w:val="7D117DBC"/>
    <w:rsid w:val="7D120477"/>
    <w:rsid w:val="7D121F07"/>
    <w:rsid w:val="7D124E1E"/>
    <w:rsid w:val="7D126BCC"/>
    <w:rsid w:val="7D162B61"/>
    <w:rsid w:val="7D1633C4"/>
    <w:rsid w:val="7D1636D9"/>
    <w:rsid w:val="7D16490F"/>
    <w:rsid w:val="7D166AE1"/>
    <w:rsid w:val="7D167147"/>
    <w:rsid w:val="7D1705D7"/>
    <w:rsid w:val="7D172435"/>
    <w:rsid w:val="7D182D45"/>
    <w:rsid w:val="7D184AEA"/>
    <w:rsid w:val="7D186509"/>
    <w:rsid w:val="7D1943FF"/>
    <w:rsid w:val="7D1B3CD3"/>
    <w:rsid w:val="7D1D3EEF"/>
    <w:rsid w:val="7D1D76DE"/>
    <w:rsid w:val="7D1E37C3"/>
    <w:rsid w:val="7D1F0335"/>
    <w:rsid w:val="7D202DCA"/>
    <w:rsid w:val="7D217FDA"/>
    <w:rsid w:val="7D225061"/>
    <w:rsid w:val="7D231636"/>
    <w:rsid w:val="7D2428A3"/>
    <w:rsid w:val="7D24527D"/>
    <w:rsid w:val="7D24661A"/>
    <w:rsid w:val="7D256900"/>
    <w:rsid w:val="7D265279"/>
    <w:rsid w:val="7D2708CA"/>
    <w:rsid w:val="7D292894"/>
    <w:rsid w:val="7D2A03BA"/>
    <w:rsid w:val="7D2A2168"/>
    <w:rsid w:val="7D2A6997"/>
    <w:rsid w:val="7D2C2AAE"/>
    <w:rsid w:val="7D2C5EE0"/>
    <w:rsid w:val="7D2C7C8E"/>
    <w:rsid w:val="7D2E65C2"/>
    <w:rsid w:val="7D2E66DA"/>
    <w:rsid w:val="7D2F777E"/>
    <w:rsid w:val="7D310360"/>
    <w:rsid w:val="7D310C85"/>
    <w:rsid w:val="7D3134F6"/>
    <w:rsid w:val="7D315B7B"/>
    <w:rsid w:val="7D317CE3"/>
    <w:rsid w:val="7D33726F"/>
    <w:rsid w:val="7D342FE7"/>
    <w:rsid w:val="7D344D95"/>
    <w:rsid w:val="7D353B60"/>
    <w:rsid w:val="7D3628E0"/>
    <w:rsid w:val="7D3667B4"/>
    <w:rsid w:val="7D370C2D"/>
    <w:rsid w:val="7D382AD7"/>
    <w:rsid w:val="7D38498B"/>
    <w:rsid w:val="7D3905FD"/>
    <w:rsid w:val="7D3923AB"/>
    <w:rsid w:val="7D392B2F"/>
    <w:rsid w:val="7D3B1113"/>
    <w:rsid w:val="7D3B25C7"/>
    <w:rsid w:val="7D3B2F91"/>
    <w:rsid w:val="7D3C6F98"/>
    <w:rsid w:val="7D3D00ED"/>
    <w:rsid w:val="7D3D16E9"/>
    <w:rsid w:val="7D3D3A33"/>
    <w:rsid w:val="7D3D62E9"/>
    <w:rsid w:val="7D401CB4"/>
    <w:rsid w:val="7D405CBE"/>
    <w:rsid w:val="7D433490"/>
    <w:rsid w:val="7D450D50"/>
    <w:rsid w:val="7D455CFB"/>
    <w:rsid w:val="7D470F6C"/>
    <w:rsid w:val="7D494CE4"/>
    <w:rsid w:val="7D496A92"/>
    <w:rsid w:val="7D4A45B8"/>
    <w:rsid w:val="7D4B27D4"/>
    <w:rsid w:val="7D4B7BF1"/>
    <w:rsid w:val="7D4D0687"/>
    <w:rsid w:val="7D4D49B8"/>
    <w:rsid w:val="7D4E34F1"/>
    <w:rsid w:val="7D4F0A19"/>
    <w:rsid w:val="7D4F3893"/>
    <w:rsid w:val="7D4F7E21"/>
    <w:rsid w:val="7D511DEB"/>
    <w:rsid w:val="7D515947"/>
    <w:rsid w:val="7D515F99"/>
    <w:rsid w:val="7D52346D"/>
    <w:rsid w:val="7D52733A"/>
    <w:rsid w:val="7D537911"/>
    <w:rsid w:val="7D537FCF"/>
    <w:rsid w:val="7D555F63"/>
    <w:rsid w:val="7D562F5D"/>
    <w:rsid w:val="7D567140"/>
    <w:rsid w:val="7D5766A3"/>
    <w:rsid w:val="7D5823F5"/>
    <w:rsid w:val="7D584F27"/>
    <w:rsid w:val="7D585220"/>
    <w:rsid w:val="7D592A4D"/>
    <w:rsid w:val="7D592F9F"/>
    <w:rsid w:val="7D5947FB"/>
    <w:rsid w:val="7D5A1439"/>
    <w:rsid w:val="7D5B0E13"/>
    <w:rsid w:val="7D5B4A17"/>
    <w:rsid w:val="7D5B67C5"/>
    <w:rsid w:val="7D5E16F7"/>
    <w:rsid w:val="7D5E593D"/>
    <w:rsid w:val="7D5F4597"/>
    <w:rsid w:val="7D600596"/>
    <w:rsid w:val="7D60202E"/>
    <w:rsid w:val="7D602EE1"/>
    <w:rsid w:val="7D603C8B"/>
    <w:rsid w:val="7D603DDC"/>
    <w:rsid w:val="7D606064"/>
    <w:rsid w:val="7D6077F4"/>
    <w:rsid w:val="7D617D11"/>
    <w:rsid w:val="7D63567A"/>
    <w:rsid w:val="7D6417AF"/>
    <w:rsid w:val="7D6514FE"/>
    <w:rsid w:val="7D6624D5"/>
    <w:rsid w:val="7D6640CF"/>
    <w:rsid w:val="7D667823"/>
    <w:rsid w:val="7D667E12"/>
    <w:rsid w:val="7D670C49"/>
    <w:rsid w:val="7D684963"/>
    <w:rsid w:val="7D6925F0"/>
    <w:rsid w:val="7D692C90"/>
    <w:rsid w:val="7D6A0795"/>
    <w:rsid w:val="7D6A07B6"/>
    <w:rsid w:val="7D6A0A1A"/>
    <w:rsid w:val="7D6A6067"/>
    <w:rsid w:val="7D6A6A08"/>
    <w:rsid w:val="7D6A7C65"/>
    <w:rsid w:val="7D6C2E27"/>
    <w:rsid w:val="7D6E474B"/>
    <w:rsid w:val="7D6E64F9"/>
    <w:rsid w:val="7D6F401F"/>
    <w:rsid w:val="7D6F6057"/>
    <w:rsid w:val="7D711B45"/>
    <w:rsid w:val="7D725243"/>
    <w:rsid w:val="7D731D61"/>
    <w:rsid w:val="7D7358BD"/>
    <w:rsid w:val="7D742C1C"/>
    <w:rsid w:val="7D7513B3"/>
    <w:rsid w:val="7D755AD9"/>
    <w:rsid w:val="7D7609EC"/>
    <w:rsid w:val="7D7711F3"/>
    <w:rsid w:val="7D773F74"/>
    <w:rsid w:val="7D781125"/>
    <w:rsid w:val="7D796C4C"/>
    <w:rsid w:val="7D7A30EF"/>
    <w:rsid w:val="7D7A4671"/>
    <w:rsid w:val="7D7B0C16"/>
    <w:rsid w:val="7D7B413C"/>
    <w:rsid w:val="7D7B4E65"/>
    <w:rsid w:val="7D7C2E74"/>
    <w:rsid w:val="7D7D04EA"/>
    <w:rsid w:val="7D7D2BE0"/>
    <w:rsid w:val="7D7D4246"/>
    <w:rsid w:val="7D7E489C"/>
    <w:rsid w:val="7D7E6B8B"/>
    <w:rsid w:val="7D7F0706"/>
    <w:rsid w:val="7D7F16D3"/>
    <w:rsid w:val="7D7F24B4"/>
    <w:rsid w:val="7D7F63B7"/>
    <w:rsid w:val="7D807FDA"/>
    <w:rsid w:val="7D812AA0"/>
    <w:rsid w:val="7D8201F6"/>
    <w:rsid w:val="7D821FA4"/>
    <w:rsid w:val="7D82324C"/>
    <w:rsid w:val="7D823BC5"/>
    <w:rsid w:val="7D823D52"/>
    <w:rsid w:val="7D8433BB"/>
    <w:rsid w:val="7D851A94"/>
    <w:rsid w:val="7D853013"/>
    <w:rsid w:val="7D853842"/>
    <w:rsid w:val="7D873408"/>
    <w:rsid w:val="7D8813A9"/>
    <w:rsid w:val="7D8A0E59"/>
    <w:rsid w:val="7D8A3C7F"/>
    <w:rsid w:val="7D8B1C08"/>
    <w:rsid w:val="7D8B57D4"/>
    <w:rsid w:val="7D8B70AB"/>
    <w:rsid w:val="7D8C5DEA"/>
    <w:rsid w:val="7D8D38E4"/>
    <w:rsid w:val="7D8E26F7"/>
    <w:rsid w:val="7D8E7F71"/>
    <w:rsid w:val="7D9107CC"/>
    <w:rsid w:val="7D913F95"/>
    <w:rsid w:val="7D917A20"/>
    <w:rsid w:val="7D920543"/>
    <w:rsid w:val="7D926908"/>
    <w:rsid w:val="7D9330EC"/>
    <w:rsid w:val="7D9615AC"/>
    <w:rsid w:val="7D97463E"/>
    <w:rsid w:val="7D985324"/>
    <w:rsid w:val="7D995258"/>
    <w:rsid w:val="7D997FC8"/>
    <w:rsid w:val="7D9A6477"/>
    <w:rsid w:val="7D9C12B8"/>
    <w:rsid w:val="7D9D293A"/>
    <w:rsid w:val="7D9D6A12"/>
    <w:rsid w:val="7D9D6DDE"/>
    <w:rsid w:val="7DA0067C"/>
    <w:rsid w:val="7DA10DF3"/>
    <w:rsid w:val="7DA20010"/>
    <w:rsid w:val="7DA22646"/>
    <w:rsid w:val="7DA243F4"/>
    <w:rsid w:val="7DA261A2"/>
    <w:rsid w:val="7DA4016C"/>
    <w:rsid w:val="7DA5687D"/>
    <w:rsid w:val="7DA737B9"/>
    <w:rsid w:val="7DA755C3"/>
    <w:rsid w:val="7DA902DA"/>
    <w:rsid w:val="7DA912DF"/>
    <w:rsid w:val="7DA939D5"/>
    <w:rsid w:val="7DA95783"/>
    <w:rsid w:val="7DAA34B8"/>
    <w:rsid w:val="7DAE0FEB"/>
    <w:rsid w:val="7DAE2D99"/>
    <w:rsid w:val="7DAE4B47"/>
    <w:rsid w:val="7DAE50CD"/>
    <w:rsid w:val="7DAF1184"/>
    <w:rsid w:val="7DAF2614"/>
    <w:rsid w:val="7DAF266D"/>
    <w:rsid w:val="7DB14637"/>
    <w:rsid w:val="7DB201D3"/>
    <w:rsid w:val="7DB25A91"/>
    <w:rsid w:val="7DB303AF"/>
    <w:rsid w:val="7DB3215D"/>
    <w:rsid w:val="7DB36601"/>
    <w:rsid w:val="7DB50889"/>
    <w:rsid w:val="7DB50BAF"/>
    <w:rsid w:val="7DB6020D"/>
    <w:rsid w:val="7DB61442"/>
    <w:rsid w:val="7DB67EA0"/>
    <w:rsid w:val="7DB82508"/>
    <w:rsid w:val="7DB83C18"/>
    <w:rsid w:val="7DB90084"/>
    <w:rsid w:val="7DB979D8"/>
    <w:rsid w:val="7DBA34EC"/>
    <w:rsid w:val="7DBA7990"/>
    <w:rsid w:val="7DBB04D1"/>
    <w:rsid w:val="7DBB1012"/>
    <w:rsid w:val="7DBB3FAE"/>
    <w:rsid w:val="7DBB4CCC"/>
    <w:rsid w:val="7DBB54B6"/>
    <w:rsid w:val="7DBB7264"/>
    <w:rsid w:val="7DBD122E"/>
    <w:rsid w:val="7DBE0C79"/>
    <w:rsid w:val="7DBE565E"/>
    <w:rsid w:val="7DBF4FA6"/>
    <w:rsid w:val="7DBF6D54"/>
    <w:rsid w:val="7DC0325A"/>
    <w:rsid w:val="7DC16401"/>
    <w:rsid w:val="7DC26844"/>
    <w:rsid w:val="7DC331AA"/>
    <w:rsid w:val="7DC44094"/>
    <w:rsid w:val="7DC4441A"/>
    <w:rsid w:val="7DC51C1A"/>
    <w:rsid w:val="7DC51E91"/>
    <w:rsid w:val="7DC66335"/>
    <w:rsid w:val="7DC720AD"/>
    <w:rsid w:val="7DC73E5B"/>
    <w:rsid w:val="7DC81DB1"/>
    <w:rsid w:val="7DC9372F"/>
    <w:rsid w:val="7DC93E75"/>
    <w:rsid w:val="7DC974BE"/>
    <w:rsid w:val="7DCB56F9"/>
    <w:rsid w:val="7DCC0512"/>
    <w:rsid w:val="7DCC321F"/>
    <w:rsid w:val="7DCC6CD8"/>
    <w:rsid w:val="7DCC7AD0"/>
    <w:rsid w:val="7DCD68E5"/>
    <w:rsid w:val="7DCE48A6"/>
    <w:rsid w:val="7DCE6F97"/>
    <w:rsid w:val="7DCF05C7"/>
    <w:rsid w:val="7DD0035F"/>
    <w:rsid w:val="7DD02D0F"/>
    <w:rsid w:val="7DD10366"/>
    <w:rsid w:val="7DD10836"/>
    <w:rsid w:val="7DD15C5F"/>
    <w:rsid w:val="7DD16A88"/>
    <w:rsid w:val="7DD20BA9"/>
    <w:rsid w:val="7DD24CD9"/>
    <w:rsid w:val="7DD32800"/>
    <w:rsid w:val="7DD33C45"/>
    <w:rsid w:val="7DD345AE"/>
    <w:rsid w:val="7DD34BB2"/>
    <w:rsid w:val="7DD520D4"/>
    <w:rsid w:val="7DD557CB"/>
    <w:rsid w:val="7DD6409E"/>
    <w:rsid w:val="7DD70339"/>
    <w:rsid w:val="7DD77E14"/>
    <w:rsid w:val="7DD81BC4"/>
    <w:rsid w:val="7DDA1DE0"/>
    <w:rsid w:val="7DDA593C"/>
    <w:rsid w:val="7DDB16B4"/>
    <w:rsid w:val="7DDB18E2"/>
    <w:rsid w:val="7DDB22AD"/>
    <w:rsid w:val="7DDB26D7"/>
    <w:rsid w:val="7DDB3462"/>
    <w:rsid w:val="7DDD367E"/>
    <w:rsid w:val="7DDE5CD1"/>
    <w:rsid w:val="7DDF11A4"/>
    <w:rsid w:val="7DDF16F3"/>
    <w:rsid w:val="7DDF2F52"/>
    <w:rsid w:val="7DDF73F6"/>
    <w:rsid w:val="7DE14D56"/>
    <w:rsid w:val="7DE14F1D"/>
    <w:rsid w:val="7DE26B99"/>
    <w:rsid w:val="7DE400C9"/>
    <w:rsid w:val="7DE4116A"/>
    <w:rsid w:val="7DE60785"/>
    <w:rsid w:val="7DE62533"/>
    <w:rsid w:val="7DE642E1"/>
    <w:rsid w:val="7DE71E07"/>
    <w:rsid w:val="7DE762AB"/>
    <w:rsid w:val="7DEA43A0"/>
    <w:rsid w:val="7DEB7B49"/>
    <w:rsid w:val="7DEB7C96"/>
    <w:rsid w:val="7DEC38C1"/>
    <w:rsid w:val="7DED25B6"/>
    <w:rsid w:val="7DED7C18"/>
    <w:rsid w:val="7DEE13E8"/>
    <w:rsid w:val="7DEE7639"/>
    <w:rsid w:val="7DEF005C"/>
    <w:rsid w:val="7DF00F37"/>
    <w:rsid w:val="7DF02678"/>
    <w:rsid w:val="7DF033B2"/>
    <w:rsid w:val="7DF05160"/>
    <w:rsid w:val="7DF1015F"/>
    <w:rsid w:val="7DF10ED8"/>
    <w:rsid w:val="7DF12D3D"/>
    <w:rsid w:val="7DF13B08"/>
    <w:rsid w:val="7DF32EA2"/>
    <w:rsid w:val="7DF34C50"/>
    <w:rsid w:val="7DF369FE"/>
    <w:rsid w:val="7DF46127"/>
    <w:rsid w:val="7DF509C8"/>
    <w:rsid w:val="7DF52776"/>
    <w:rsid w:val="7DF6029C"/>
    <w:rsid w:val="7DF627CA"/>
    <w:rsid w:val="7DF719A7"/>
    <w:rsid w:val="7DF74740"/>
    <w:rsid w:val="7DF775D2"/>
    <w:rsid w:val="7DF84014"/>
    <w:rsid w:val="7DFA0C29"/>
    <w:rsid w:val="7DFA5FDE"/>
    <w:rsid w:val="7DFA7D8C"/>
    <w:rsid w:val="7DFB04BA"/>
    <w:rsid w:val="7DFC0C1A"/>
    <w:rsid w:val="7DFD5ACF"/>
    <w:rsid w:val="7DFF0B5C"/>
    <w:rsid w:val="7DFF31A8"/>
    <w:rsid w:val="7DFF53A3"/>
    <w:rsid w:val="7E002EC9"/>
    <w:rsid w:val="7E01111B"/>
    <w:rsid w:val="7E014556"/>
    <w:rsid w:val="7E0155BF"/>
    <w:rsid w:val="7E01736D"/>
    <w:rsid w:val="7E024E93"/>
    <w:rsid w:val="7E037809"/>
    <w:rsid w:val="7E0429B9"/>
    <w:rsid w:val="7E094EFF"/>
    <w:rsid w:val="7E0B1F99"/>
    <w:rsid w:val="7E0B3D48"/>
    <w:rsid w:val="7E0C5521"/>
    <w:rsid w:val="7E0C7AC0"/>
    <w:rsid w:val="7E0D5D12"/>
    <w:rsid w:val="7E0E1A8A"/>
    <w:rsid w:val="7E0E3838"/>
    <w:rsid w:val="7E105802"/>
    <w:rsid w:val="7E1119B0"/>
    <w:rsid w:val="7E114A86"/>
    <w:rsid w:val="7E123328"/>
    <w:rsid w:val="7E125364"/>
    <w:rsid w:val="7E130E4E"/>
    <w:rsid w:val="7E140881"/>
    <w:rsid w:val="7E1431CA"/>
    <w:rsid w:val="7E146EA1"/>
    <w:rsid w:val="7E15247E"/>
    <w:rsid w:val="7E154BC6"/>
    <w:rsid w:val="7E156974"/>
    <w:rsid w:val="7E17093E"/>
    <w:rsid w:val="7E1846B6"/>
    <w:rsid w:val="7E192908"/>
    <w:rsid w:val="7E1C0426"/>
    <w:rsid w:val="7E1C1010"/>
    <w:rsid w:val="7E1C1595"/>
    <w:rsid w:val="7E1C57BB"/>
    <w:rsid w:val="7E1C5F55"/>
    <w:rsid w:val="7E1C7D03"/>
    <w:rsid w:val="7E1D2AD0"/>
    <w:rsid w:val="7E1D3DE3"/>
    <w:rsid w:val="7E1E7F1F"/>
    <w:rsid w:val="7E1F3C97"/>
    <w:rsid w:val="7E2117BD"/>
    <w:rsid w:val="7E2150AF"/>
    <w:rsid w:val="7E2154DD"/>
    <w:rsid w:val="7E221091"/>
    <w:rsid w:val="7E221D3B"/>
    <w:rsid w:val="7E226204"/>
    <w:rsid w:val="7E235535"/>
    <w:rsid w:val="7E236693"/>
    <w:rsid w:val="7E26259C"/>
    <w:rsid w:val="7E266DD3"/>
    <w:rsid w:val="7E282B4B"/>
    <w:rsid w:val="7E2A0282"/>
    <w:rsid w:val="7E2A0BCA"/>
    <w:rsid w:val="7E2A3C98"/>
    <w:rsid w:val="7E2B263C"/>
    <w:rsid w:val="7E2C3CBE"/>
    <w:rsid w:val="7E2C5FEA"/>
    <w:rsid w:val="7E2E3EDA"/>
    <w:rsid w:val="7E2E5C88"/>
    <w:rsid w:val="7E3037AE"/>
    <w:rsid w:val="7E307C52"/>
    <w:rsid w:val="7E3100D6"/>
    <w:rsid w:val="7E324B9A"/>
    <w:rsid w:val="7E340E8C"/>
    <w:rsid w:val="7E356BC8"/>
    <w:rsid w:val="7E3601E8"/>
    <w:rsid w:val="7E374B3D"/>
    <w:rsid w:val="7E3808B5"/>
    <w:rsid w:val="7E386B07"/>
    <w:rsid w:val="7E391026"/>
    <w:rsid w:val="7E3A378D"/>
    <w:rsid w:val="7E3C291C"/>
    <w:rsid w:val="7E3D3F53"/>
    <w:rsid w:val="7E3D5ECB"/>
    <w:rsid w:val="7E3E361B"/>
    <w:rsid w:val="7E3E606D"/>
    <w:rsid w:val="7E3F39F1"/>
    <w:rsid w:val="7E411E5F"/>
    <w:rsid w:val="7E4159BB"/>
    <w:rsid w:val="7E431733"/>
    <w:rsid w:val="7E437985"/>
    <w:rsid w:val="7E440EAA"/>
    <w:rsid w:val="7E4436FD"/>
    <w:rsid w:val="7E44676F"/>
    <w:rsid w:val="7E447259"/>
    <w:rsid w:val="7E451F3F"/>
    <w:rsid w:val="7E455CCF"/>
    <w:rsid w:val="7E461224"/>
    <w:rsid w:val="7E4827ED"/>
    <w:rsid w:val="7E484C48"/>
    <w:rsid w:val="7E48554F"/>
    <w:rsid w:val="7E491E00"/>
    <w:rsid w:val="7E492AC2"/>
    <w:rsid w:val="7E494870"/>
    <w:rsid w:val="7E4C610E"/>
    <w:rsid w:val="7E4D3E3E"/>
    <w:rsid w:val="7E4F6D38"/>
    <w:rsid w:val="7E5020A2"/>
    <w:rsid w:val="7E503E50"/>
    <w:rsid w:val="7E511A4F"/>
    <w:rsid w:val="7E514FA3"/>
    <w:rsid w:val="7E5202D3"/>
    <w:rsid w:val="7E520FC7"/>
    <w:rsid w:val="7E521976"/>
    <w:rsid w:val="7E527BC8"/>
    <w:rsid w:val="7E5356EF"/>
    <w:rsid w:val="7E543940"/>
    <w:rsid w:val="7E553215"/>
    <w:rsid w:val="7E5576B9"/>
    <w:rsid w:val="7E574376"/>
    <w:rsid w:val="7E5751DF"/>
    <w:rsid w:val="7E576F8D"/>
    <w:rsid w:val="7E582D05"/>
    <w:rsid w:val="7E58387E"/>
    <w:rsid w:val="7E5A082B"/>
    <w:rsid w:val="7E5C27F5"/>
    <w:rsid w:val="7E5C3F56"/>
    <w:rsid w:val="7E5C45A3"/>
    <w:rsid w:val="7E5C5697"/>
    <w:rsid w:val="7E5E47BF"/>
    <w:rsid w:val="7E5E6964"/>
    <w:rsid w:val="7E5E705F"/>
    <w:rsid w:val="7E5E7184"/>
    <w:rsid w:val="7E5F4093"/>
    <w:rsid w:val="7E6054A8"/>
    <w:rsid w:val="7E6077BC"/>
    <w:rsid w:val="7E621509"/>
    <w:rsid w:val="7E630622"/>
    <w:rsid w:val="7E6416AA"/>
    <w:rsid w:val="7E6426E8"/>
    <w:rsid w:val="7E6478FC"/>
    <w:rsid w:val="7E653381"/>
    <w:rsid w:val="7E653D41"/>
    <w:rsid w:val="7E655B4E"/>
    <w:rsid w:val="7E66131A"/>
    <w:rsid w:val="7E663674"/>
    <w:rsid w:val="7E6671D0"/>
    <w:rsid w:val="7E68119A"/>
    <w:rsid w:val="7E696CC0"/>
    <w:rsid w:val="7E6A655A"/>
    <w:rsid w:val="7E6B0C8A"/>
    <w:rsid w:val="7E6B1884"/>
    <w:rsid w:val="7E6B25BB"/>
    <w:rsid w:val="7E6B47E6"/>
    <w:rsid w:val="7E6B6157"/>
    <w:rsid w:val="7E6B79EA"/>
    <w:rsid w:val="7E6D0858"/>
    <w:rsid w:val="7E6E2528"/>
    <w:rsid w:val="7E6F077A"/>
    <w:rsid w:val="7E6F6191"/>
    <w:rsid w:val="7E700404"/>
    <w:rsid w:val="7E713DE3"/>
    <w:rsid w:val="7E721CFC"/>
    <w:rsid w:val="7E722019"/>
    <w:rsid w:val="7E747B3F"/>
    <w:rsid w:val="7E751B09"/>
    <w:rsid w:val="7E755665"/>
    <w:rsid w:val="7E760E0F"/>
    <w:rsid w:val="7E762895"/>
    <w:rsid w:val="7E77762F"/>
    <w:rsid w:val="7E7933A7"/>
    <w:rsid w:val="7E797790"/>
    <w:rsid w:val="7E7A2C7B"/>
    <w:rsid w:val="7E7A711F"/>
    <w:rsid w:val="7E7B36FD"/>
    <w:rsid w:val="7E7C3540"/>
    <w:rsid w:val="7E7C45FB"/>
    <w:rsid w:val="7E7D2421"/>
    <w:rsid w:val="7E7E09BD"/>
    <w:rsid w:val="7E7F0D2E"/>
    <w:rsid w:val="7E813F71"/>
    <w:rsid w:val="7E81400A"/>
    <w:rsid w:val="7E843AFA"/>
    <w:rsid w:val="7E857F9E"/>
    <w:rsid w:val="7E861620"/>
    <w:rsid w:val="7E862917"/>
    <w:rsid w:val="7E86618E"/>
    <w:rsid w:val="7E867872"/>
    <w:rsid w:val="7E885398"/>
    <w:rsid w:val="7E8858D3"/>
    <w:rsid w:val="7E8A12F1"/>
    <w:rsid w:val="7E8B65F9"/>
    <w:rsid w:val="7E8B6FD4"/>
    <w:rsid w:val="7E8E5955"/>
    <w:rsid w:val="7E8E6727"/>
    <w:rsid w:val="7E8F2BCB"/>
    <w:rsid w:val="7E8F4979"/>
    <w:rsid w:val="7E900275"/>
    <w:rsid w:val="7E9006F1"/>
    <w:rsid w:val="7E90249F"/>
    <w:rsid w:val="7E924469"/>
    <w:rsid w:val="7E924F7F"/>
    <w:rsid w:val="7E927FC5"/>
    <w:rsid w:val="7E933D3D"/>
    <w:rsid w:val="7E941F8F"/>
    <w:rsid w:val="7E9446DB"/>
    <w:rsid w:val="7E9471B0"/>
    <w:rsid w:val="7E9521CD"/>
    <w:rsid w:val="7E954A46"/>
    <w:rsid w:val="7E967FEE"/>
    <w:rsid w:val="7E975577"/>
    <w:rsid w:val="7E977CD1"/>
    <w:rsid w:val="7E982429"/>
    <w:rsid w:val="7E9A1880"/>
    <w:rsid w:val="7E9B156F"/>
    <w:rsid w:val="7E9B6833"/>
    <w:rsid w:val="7E9C0E44"/>
    <w:rsid w:val="7E9C22B0"/>
    <w:rsid w:val="7E9C52E7"/>
    <w:rsid w:val="7E9C60F0"/>
    <w:rsid w:val="7E9C62E9"/>
    <w:rsid w:val="7E9D249C"/>
    <w:rsid w:val="7E9D25B5"/>
    <w:rsid w:val="7E9E0514"/>
    <w:rsid w:val="7E9F26E2"/>
    <w:rsid w:val="7E9F38CD"/>
    <w:rsid w:val="7EA0042C"/>
    <w:rsid w:val="7EA0293B"/>
    <w:rsid w:val="7EA053AE"/>
    <w:rsid w:val="7EA07D6A"/>
    <w:rsid w:val="7EA13DCB"/>
    <w:rsid w:val="7EA146AC"/>
    <w:rsid w:val="7EA613D3"/>
    <w:rsid w:val="7EA61A6E"/>
    <w:rsid w:val="7EA61CC2"/>
    <w:rsid w:val="7EA62F51"/>
    <w:rsid w:val="7EA63A70"/>
    <w:rsid w:val="7EA701BB"/>
    <w:rsid w:val="7EA7690A"/>
    <w:rsid w:val="7EA83C8C"/>
    <w:rsid w:val="7EA87443"/>
    <w:rsid w:val="7EA87F40"/>
    <w:rsid w:val="7EA9255D"/>
    <w:rsid w:val="7EA96A04"/>
    <w:rsid w:val="7EA96F2E"/>
    <w:rsid w:val="7EAA17B2"/>
    <w:rsid w:val="7EAD12A3"/>
    <w:rsid w:val="7EAD2014"/>
    <w:rsid w:val="7EAE37FE"/>
    <w:rsid w:val="7EAF0B77"/>
    <w:rsid w:val="7EAF501B"/>
    <w:rsid w:val="7EB02B41"/>
    <w:rsid w:val="7EB048EF"/>
    <w:rsid w:val="7EB0669D"/>
    <w:rsid w:val="7EB10D93"/>
    <w:rsid w:val="7EB138C0"/>
    <w:rsid w:val="7EB16167"/>
    <w:rsid w:val="7EB22415"/>
    <w:rsid w:val="7EB63962"/>
    <w:rsid w:val="7EB63B18"/>
    <w:rsid w:val="7EB663A9"/>
    <w:rsid w:val="7EB74F38"/>
    <w:rsid w:val="7EB75C7D"/>
    <w:rsid w:val="7EB83B95"/>
    <w:rsid w:val="7EB85585"/>
    <w:rsid w:val="7EB97C47"/>
    <w:rsid w:val="7EBB37E0"/>
    <w:rsid w:val="7EBB454A"/>
    <w:rsid w:val="7EBC14E6"/>
    <w:rsid w:val="7EBD1E63"/>
    <w:rsid w:val="7EBE700C"/>
    <w:rsid w:val="7EC07354"/>
    <w:rsid w:val="7EC10816"/>
    <w:rsid w:val="7EC108AA"/>
    <w:rsid w:val="7EC16AFC"/>
    <w:rsid w:val="7EC20776"/>
    <w:rsid w:val="7EC32874"/>
    <w:rsid w:val="7EC46E4B"/>
    <w:rsid w:val="7EC5039A"/>
    <w:rsid w:val="7EC65EC0"/>
    <w:rsid w:val="7EC674D2"/>
    <w:rsid w:val="7EC72A00"/>
    <w:rsid w:val="7EC97D8B"/>
    <w:rsid w:val="7ECA59B1"/>
    <w:rsid w:val="7ECB1729"/>
    <w:rsid w:val="7ECC009B"/>
    <w:rsid w:val="7ECC6D87"/>
    <w:rsid w:val="7ECC7ED2"/>
    <w:rsid w:val="7ECD54A1"/>
    <w:rsid w:val="7ECE75B2"/>
    <w:rsid w:val="7ECF2FC7"/>
    <w:rsid w:val="7ED00AED"/>
    <w:rsid w:val="7ED06E49"/>
    <w:rsid w:val="7ED1262C"/>
    <w:rsid w:val="7ED24865"/>
    <w:rsid w:val="7ED33985"/>
    <w:rsid w:val="7ED34089"/>
    <w:rsid w:val="7ED40090"/>
    <w:rsid w:val="7ED4682F"/>
    <w:rsid w:val="7ED52322"/>
    <w:rsid w:val="7ED54355"/>
    <w:rsid w:val="7ED625A7"/>
    <w:rsid w:val="7ED72141"/>
    <w:rsid w:val="7ED90FD3"/>
    <w:rsid w:val="7ED94394"/>
    <w:rsid w:val="7EDA2ACC"/>
    <w:rsid w:val="7EDC1B88"/>
    <w:rsid w:val="7EDC3936"/>
    <w:rsid w:val="7EDC636B"/>
    <w:rsid w:val="7EDD144D"/>
    <w:rsid w:val="7EDD4593"/>
    <w:rsid w:val="7EDD7600"/>
    <w:rsid w:val="7EDD7D0C"/>
    <w:rsid w:val="7EDE145C"/>
    <w:rsid w:val="7EDE6C59"/>
    <w:rsid w:val="7EDE7FD1"/>
    <w:rsid w:val="7EE051D4"/>
    <w:rsid w:val="7EE06F82"/>
    <w:rsid w:val="7EE07DCE"/>
    <w:rsid w:val="7EE11B50"/>
    <w:rsid w:val="7EE16E36"/>
    <w:rsid w:val="7EE2719E"/>
    <w:rsid w:val="7EE30820"/>
    <w:rsid w:val="7EE34CC4"/>
    <w:rsid w:val="7EE541BF"/>
    <w:rsid w:val="7EE65C33"/>
    <w:rsid w:val="7EE66563"/>
    <w:rsid w:val="7EE750D0"/>
    <w:rsid w:val="7EEA6053"/>
    <w:rsid w:val="7EEA6238"/>
    <w:rsid w:val="7EEB3B79"/>
    <w:rsid w:val="7EEC1DCB"/>
    <w:rsid w:val="7EED753E"/>
    <w:rsid w:val="7EED78F1"/>
    <w:rsid w:val="7EEE015B"/>
    <w:rsid w:val="7EEF18BB"/>
    <w:rsid w:val="7EEF3669"/>
    <w:rsid w:val="7EEF3862"/>
    <w:rsid w:val="7EEF3F9C"/>
    <w:rsid w:val="7EF04CF2"/>
    <w:rsid w:val="7EF15125"/>
    <w:rsid w:val="7EF173E1"/>
    <w:rsid w:val="7EF23899"/>
    <w:rsid w:val="7EF27612"/>
    <w:rsid w:val="7EF32454"/>
    <w:rsid w:val="7EF33E90"/>
    <w:rsid w:val="7EF40C80"/>
    <w:rsid w:val="7EF41428"/>
    <w:rsid w:val="7EF667A6"/>
    <w:rsid w:val="7EF70FBC"/>
    <w:rsid w:val="7EF76D04"/>
    <w:rsid w:val="7EF90044"/>
    <w:rsid w:val="7EF944E8"/>
    <w:rsid w:val="7EFB0260"/>
    <w:rsid w:val="7EFB3F31"/>
    <w:rsid w:val="7EFB5185"/>
    <w:rsid w:val="7EFC18E2"/>
    <w:rsid w:val="7EFC5586"/>
    <w:rsid w:val="7EFD18A2"/>
    <w:rsid w:val="7EFF162D"/>
    <w:rsid w:val="7F006A4E"/>
    <w:rsid w:val="7F007624"/>
    <w:rsid w:val="7F0314A2"/>
    <w:rsid w:val="7F03171F"/>
    <w:rsid w:val="7F032C71"/>
    <w:rsid w:val="7F0445F8"/>
    <w:rsid w:val="7F08066E"/>
    <w:rsid w:val="7F0A04A3"/>
    <w:rsid w:val="7F0A2251"/>
    <w:rsid w:val="7F0A623D"/>
    <w:rsid w:val="7F0B0A5C"/>
    <w:rsid w:val="7F0B5721"/>
    <w:rsid w:val="7F0B7D77"/>
    <w:rsid w:val="7F0C421B"/>
    <w:rsid w:val="7F0D1D41"/>
    <w:rsid w:val="7F0D56AA"/>
    <w:rsid w:val="7F0D7F93"/>
    <w:rsid w:val="7F0F5AB9"/>
    <w:rsid w:val="7F102B9B"/>
    <w:rsid w:val="7F107805"/>
    <w:rsid w:val="7F11402B"/>
    <w:rsid w:val="7F132824"/>
    <w:rsid w:val="7F1430D0"/>
    <w:rsid w:val="7F143209"/>
    <w:rsid w:val="7F165C70"/>
    <w:rsid w:val="7F166A0D"/>
    <w:rsid w:val="7F17411F"/>
    <w:rsid w:val="7F17496E"/>
    <w:rsid w:val="7F17534F"/>
    <w:rsid w:val="7F17671C"/>
    <w:rsid w:val="7F1878FF"/>
    <w:rsid w:val="7F190FA6"/>
    <w:rsid w:val="7F196938"/>
    <w:rsid w:val="7F196975"/>
    <w:rsid w:val="7F1B4CBC"/>
    <w:rsid w:val="7F1B7FBA"/>
    <w:rsid w:val="7F1C3D32"/>
    <w:rsid w:val="7F1D01D6"/>
    <w:rsid w:val="7F1D519F"/>
    <w:rsid w:val="7F1D7072"/>
    <w:rsid w:val="7F1E6C64"/>
    <w:rsid w:val="7F1F3911"/>
    <w:rsid w:val="7F203823"/>
    <w:rsid w:val="7F217509"/>
    <w:rsid w:val="7F21759B"/>
    <w:rsid w:val="7F23182C"/>
    <w:rsid w:val="7F25708B"/>
    <w:rsid w:val="7F271055"/>
    <w:rsid w:val="7F2A46A1"/>
    <w:rsid w:val="7F2A72D7"/>
    <w:rsid w:val="7F2C21C7"/>
    <w:rsid w:val="7F2D4191"/>
    <w:rsid w:val="7F2D4659"/>
    <w:rsid w:val="7F2D5F40"/>
    <w:rsid w:val="7F2D79F7"/>
    <w:rsid w:val="7F2E617B"/>
    <w:rsid w:val="7F2F1CB8"/>
    <w:rsid w:val="7F2F740A"/>
    <w:rsid w:val="7F307C5D"/>
    <w:rsid w:val="7F3217A8"/>
    <w:rsid w:val="7F350D9D"/>
    <w:rsid w:val="7F354A2F"/>
    <w:rsid w:val="7F355636"/>
    <w:rsid w:val="7F370917"/>
    <w:rsid w:val="7F372A6A"/>
    <w:rsid w:val="7F372DD5"/>
    <w:rsid w:val="7F393237"/>
    <w:rsid w:val="7F3948E4"/>
    <w:rsid w:val="7F3C32F0"/>
    <w:rsid w:val="7F3C343F"/>
    <w:rsid w:val="7F3E1EFB"/>
    <w:rsid w:val="7F3E23E2"/>
    <w:rsid w:val="7F3E639F"/>
    <w:rsid w:val="7F3F5CCD"/>
    <w:rsid w:val="7F413799"/>
    <w:rsid w:val="7F415A78"/>
    <w:rsid w:val="7F427C3D"/>
    <w:rsid w:val="7F433D8A"/>
    <w:rsid w:val="7F435763"/>
    <w:rsid w:val="7F4514DB"/>
    <w:rsid w:val="7F46449A"/>
    <w:rsid w:val="7F475253"/>
    <w:rsid w:val="7F482D79"/>
    <w:rsid w:val="7F486AB4"/>
    <w:rsid w:val="7F494366"/>
    <w:rsid w:val="7F4A08A0"/>
    <w:rsid w:val="7F4A4D43"/>
    <w:rsid w:val="7F4B5D33"/>
    <w:rsid w:val="7F4C0ABC"/>
    <w:rsid w:val="7F4C0E14"/>
    <w:rsid w:val="7F4C57A7"/>
    <w:rsid w:val="7F4D213E"/>
    <w:rsid w:val="7F4D338D"/>
    <w:rsid w:val="7F4E24C8"/>
    <w:rsid w:val="7F4F4108"/>
    <w:rsid w:val="7F511FCB"/>
    <w:rsid w:val="7F524C6F"/>
    <w:rsid w:val="7F530BA5"/>
    <w:rsid w:val="7F5355D5"/>
    <w:rsid w:val="7F54171E"/>
    <w:rsid w:val="7F58120E"/>
    <w:rsid w:val="7F581804"/>
    <w:rsid w:val="7F592821"/>
    <w:rsid w:val="7F596D35"/>
    <w:rsid w:val="7F5A3CB1"/>
    <w:rsid w:val="7F5B485B"/>
    <w:rsid w:val="7F5B6882"/>
    <w:rsid w:val="7F5C05D3"/>
    <w:rsid w:val="7F5C78AC"/>
    <w:rsid w:val="7F5D4A77"/>
    <w:rsid w:val="7F5D4E94"/>
    <w:rsid w:val="7F5E259D"/>
    <w:rsid w:val="7F5E434B"/>
    <w:rsid w:val="7F601E71"/>
    <w:rsid w:val="7F623E3B"/>
    <w:rsid w:val="7F6601D1"/>
    <w:rsid w:val="7F663BB5"/>
    <w:rsid w:val="7F6851CA"/>
    <w:rsid w:val="7F6A0F42"/>
    <w:rsid w:val="7F6A2D11"/>
    <w:rsid w:val="7F6B1C68"/>
    <w:rsid w:val="7F6C4C41"/>
    <w:rsid w:val="7F6C4CBA"/>
    <w:rsid w:val="7F6C6A68"/>
    <w:rsid w:val="7F6D3735"/>
    <w:rsid w:val="7F6E0BF4"/>
    <w:rsid w:val="7F6F0306"/>
    <w:rsid w:val="7F6F47AA"/>
    <w:rsid w:val="7F6F4D29"/>
    <w:rsid w:val="7F700308"/>
    <w:rsid w:val="7F704FAF"/>
    <w:rsid w:val="7F7069AE"/>
    <w:rsid w:val="7F710522"/>
    <w:rsid w:val="7F71407E"/>
    <w:rsid w:val="7F7211CD"/>
    <w:rsid w:val="7F731836"/>
    <w:rsid w:val="7F7333C7"/>
    <w:rsid w:val="7F73429A"/>
    <w:rsid w:val="7F742ACB"/>
    <w:rsid w:val="7F745694"/>
    <w:rsid w:val="7F75661B"/>
    <w:rsid w:val="7F764AC8"/>
    <w:rsid w:val="7F7735E3"/>
    <w:rsid w:val="7F792E5F"/>
    <w:rsid w:val="7F7A235A"/>
    <w:rsid w:val="7F7B1BCA"/>
    <w:rsid w:val="7F7B314F"/>
    <w:rsid w:val="7F7B4EFD"/>
    <w:rsid w:val="7F7B72FB"/>
    <w:rsid w:val="7F7C5BBA"/>
    <w:rsid w:val="7F7C7921"/>
    <w:rsid w:val="7F7D2A23"/>
    <w:rsid w:val="7F7D478D"/>
    <w:rsid w:val="7F7E49ED"/>
    <w:rsid w:val="7F800DCB"/>
    <w:rsid w:val="7F802513"/>
    <w:rsid w:val="7F8042C1"/>
    <w:rsid w:val="7F805B09"/>
    <w:rsid w:val="7F8110CB"/>
    <w:rsid w:val="7F85088C"/>
    <w:rsid w:val="7F8508D9"/>
    <w:rsid w:val="7F8518D8"/>
    <w:rsid w:val="7F855D7C"/>
    <w:rsid w:val="7F862F7E"/>
    <w:rsid w:val="7F875650"/>
    <w:rsid w:val="7F8918FF"/>
    <w:rsid w:val="7F89761A"/>
    <w:rsid w:val="7F8A15E4"/>
    <w:rsid w:val="7F8B7CF5"/>
    <w:rsid w:val="7F8C561A"/>
    <w:rsid w:val="7F8D3E75"/>
    <w:rsid w:val="7F8F09A8"/>
    <w:rsid w:val="7F9057D5"/>
    <w:rsid w:val="7F9145F0"/>
    <w:rsid w:val="7F9164CE"/>
    <w:rsid w:val="7F9229B1"/>
    <w:rsid w:val="7F923FF5"/>
    <w:rsid w:val="7F930498"/>
    <w:rsid w:val="7F932247"/>
    <w:rsid w:val="7F941FDD"/>
    <w:rsid w:val="7F945FBF"/>
    <w:rsid w:val="7F963AE5"/>
    <w:rsid w:val="7F983D01"/>
    <w:rsid w:val="7F9854AF"/>
    <w:rsid w:val="7F99269D"/>
    <w:rsid w:val="7F9935D5"/>
    <w:rsid w:val="7F995383"/>
    <w:rsid w:val="7F9B10FB"/>
    <w:rsid w:val="7F9B559F"/>
    <w:rsid w:val="7F9C7A2B"/>
    <w:rsid w:val="7F9D38C9"/>
    <w:rsid w:val="7F9D4E73"/>
    <w:rsid w:val="7F9E642B"/>
    <w:rsid w:val="7F9F7499"/>
    <w:rsid w:val="7FA03C77"/>
    <w:rsid w:val="7FA06711"/>
    <w:rsid w:val="7FA245A1"/>
    <w:rsid w:val="7FA2692E"/>
    <w:rsid w:val="7FA26CDE"/>
    <w:rsid w:val="7FA33936"/>
    <w:rsid w:val="7FA33F02"/>
    <w:rsid w:val="7FA53D28"/>
    <w:rsid w:val="7FA56256"/>
    <w:rsid w:val="7FA73F44"/>
    <w:rsid w:val="7FA75CF2"/>
    <w:rsid w:val="7FA77AA0"/>
    <w:rsid w:val="7FA86047"/>
    <w:rsid w:val="7FA93818"/>
    <w:rsid w:val="7FA977A8"/>
    <w:rsid w:val="7FAA1B7B"/>
    <w:rsid w:val="7FAA57E2"/>
    <w:rsid w:val="7FAA6087"/>
    <w:rsid w:val="7FAB58CB"/>
    <w:rsid w:val="7FAC21CC"/>
    <w:rsid w:val="7FAC50B6"/>
    <w:rsid w:val="7FAC6129"/>
    <w:rsid w:val="7FAD0BF4"/>
    <w:rsid w:val="7FAE0E2E"/>
    <w:rsid w:val="7FAE2B19"/>
    <w:rsid w:val="7FAE6775"/>
    <w:rsid w:val="7FAE7080"/>
    <w:rsid w:val="7FAF224A"/>
    <w:rsid w:val="7FAF4BA7"/>
    <w:rsid w:val="7FB0104A"/>
    <w:rsid w:val="7FB1091F"/>
    <w:rsid w:val="7FB26024"/>
    <w:rsid w:val="7FB34697"/>
    <w:rsid w:val="7FB34A90"/>
    <w:rsid w:val="7FB4040F"/>
    <w:rsid w:val="7FB472A6"/>
    <w:rsid w:val="7FB56661"/>
    <w:rsid w:val="7FB6091C"/>
    <w:rsid w:val="7FB623D9"/>
    <w:rsid w:val="7FB7320F"/>
    <w:rsid w:val="7FB80376"/>
    <w:rsid w:val="7FB83A5B"/>
    <w:rsid w:val="7FBA3C77"/>
    <w:rsid w:val="7FBB22C9"/>
    <w:rsid w:val="7FBB4F9D"/>
    <w:rsid w:val="7FBD72C3"/>
    <w:rsid w:val="7FC0459F"/>
    <w:rsid w:val="7FC05B1E"/>
    <w:rsid w:val="7FC137AD"/>
    <w:rsid w:val="7FC1615D"/>
    <w:rsid w:val="7FC2035B"/>
    <w:rsid w:val="7FC248DA"/>
    <w:rsid w:val="7FC35E95"/>
    <w:rsid w:val="7FC42C6F"/>
    <w:rsid w:val="7FC515EC"/>
    <w:rsid w:val="7FC5261C"/>
    <w:rsid w:val="7FC543CA"/>
    <w:rsid w:val="7FC63BE1"/>
    <w:rsid w:val="7FC71EF0"/>
    <w:rsid w:val="7FC732F5"/>
    <w:rsid w:val="7FC76394"/>
    <w:rsid w:val="7FC841C1"/>
    <w:rsid w:val="7FC876DB"/>
    <w:rsid w:val="7FC911BC"/>
    <w:rsid w:val="7FC9210C"/>
    <w:rsid w:val="7FC93EBA"/>
    <w:rsid w:val="7FCA49DF"/>
    <w:rsid w:val="7FCC1EC0"/>
    <w:rsid w:val="7FCC5758"/>
    <w:rsid w:val="7FCD74F5"/>
    <w:rsid w:val="7FCE327F"/>
    <w:rsid w:val="7FCE7BC9"/>
    <w:rsid w:val="7FD02953"/>
    <w:rsid w:val="7FD0349B"/>
    <w:rsid w:val="7FD05249"/>
    <w:rsid w:val="7FD14881"/>
    <w:rsid w:val="7FD21699"/>
    <w:rsid w:val="7FD30895"/>
    <w:rsid w:val="7FD36AE7"/>
    <w:rsid w:val="7FD50AB1"/>
    <w:rsid w:val="7FD5285F"/>
    <w:rsid w:val="7FD55677"/>
    <w:rsid w:val="7FD60385"/>
    <w:rsid w:val="7FD64829"/>
    <w:rsid w:val="7FD665D7"/>
    <w:rsid w:val="7FDB04BF"/>
    <w:rsid w:val="7FDB7A66"/>
    <w:rsid w:val="7FDC2637"/>
    <w:rsid w:val="7FDD34C2"/>
    <w:rsid w:val="7FDD7966"/>
    <w:rsid w:val="7FDE16D0"/>
    <w:rsid w:val="7FDF36DE"/>
    <w:rsid w:val="7FDF38B7"/>
    <w:rsid w:val="7FDF548C"/>
    <w:rsid w:val="7FDF723A"/>
    <w:rsid w:val="7FE15DC2"/>
    <w:rsid w:val="7FE35B18"/>
    <w:rsid w:val="7FE40CF7"/>
    <w:rsid w:val="7FE44850"/>
    <w:rsid w:val="7FE45DBF"/>
    <w:rsid w:val="7FE536E9"/>
    <w:rsid w:val="7FE5681A"/>
    <w:rsid w:val="7FE64B79"/>
    <w:rsid w:val="7FE7151F"/>
    <w:rsid w:val="7FE74CF3"/>
    <w:rsid w:val="7FE83C65"/>
    <w:rsid w:val="7FEA3E31"/>
    <w:rsid w:val="7FEA5BDF"/>
    <w:rsid w:val="7FEB2083"/>
    <w:rsid w:val="7FEB5D6F"/>
    <w:rsid w:val="7FEC0EEF"/>
    <w:rsid w:val="7FEC1957"/>
    <w:rsid w:val="7FEC212C"/>
    <w:rsid w:val="7FEC6A4B"/>
    <w:rsid w:val="7FEC7BA9"/>
    <w:rsid w:val="7FED3E48"/>
    <w:rsid w:val="7FEE496E"/>
    <w:rsid w:val="7FEE56CF"/>
    <w:rsid w:val="7FEF5758"/>
    <w:rsid w:val="7FF00A35"/>
    <w:rsid w:val="7FF01447"/>
    <w:rsid w:val="7FF01F3D"/>
    <w:rsid w:val="7FF058EB"/>
    <w:rsid w:val="7FF05D2C"/>
    <w:rsid w:val="7FF07699"/>
    <w:rsid w:val="7FF13411"/>
    <w:rsid w:val="7FF151BF"/>
    <w:rsid w:val="7FF226E1"/>
    <w:rsid w:val="7FF52F01"/>
    <w:rsid w:val="7FF56A5D"/>
    <w:rsid w:val="7FF600BA"/>
    <w:rsid w:val="7FF60A27"/>
    <w:rsid w:val="7FF64583"/>
    <w:rsid w:val="7FF657F3"/>
    <w:rsid w:val="7FF65C01"/>
    <w:rsid w:val="7FF73220"/>
    <w:rsid w:val="7FF76C79"/>
    <w:rsid w:val="7FF8654D"/>
    <w:rsid w:val="7FFA0518"/>
    <w:rsid w:val="7FFA5BC0"/>
    <w:rsid w:val="7FFB2E5D"/>
    <w:rsid w:val="7FFB590F"/>
    <w:rsid w:val="7FFB6722"/>
    <w:rsid w:val="7FFC4290"/>
    <w:rsid w:val="7FFF710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40"/>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autoRedefine/>
    <w:unhideWhenUsed/>
    <w:qFormat/>
    <w:uiPriority w:val="0"/>
    <w:pPr>
      <w:keepNext/>
      <w:keepLines/>
      <w:spacing w:beforeLines="0" w:afterLines="0" w:line="360" w:lineRule="auto"/>
      <w:jc w:val="left"/>
      <w:outlineLvl w:val="2"/>
    </w:pPr>
    <w:rPr>
      <w:rFonts w:ascii="Times New Roman" w:hAnsi="Times New Roman" w:eastAsia="黑体"/>
      <w:bCs/>
      <w:sz w:val="28"/>
      <w:szCs w:val="32"/>
    </w:rPr>
  </w:style>
  <w:style w:type="paragraph" w:styleId="5">
    <w:name w:val="heading 4"/>
    <w:basedOn w:val="1"/>
    <w:next w:val="6"/>
    <w:autoRedefine/>
    <w:qFormat/>
    <w:uiPriority w:val="0"/>
    <w:pPr>
      <w:keepNext w:val="0"/>
      <w:keepLines w:val="0"/>
      <w:spacing w:line="240" w:lineRule="auto"/>
      <w:ind w:firstLine="0" w:firstLineChars="0"/>
      <w:jc w:val="center"/>
      <w:outlineLvl w:val="3"/>
    </w:pPr>
    <w:rPr>
      <w:rFonts w:ascii="Times New Roman" w:hAnsi="Times New Roman" w:eastAsia="宋体"/>
      <w:sz w:val="21"/>
      <w:szCs w:val="21"/>
    </w:rPr>
  </w:style>
  <w:style w:type="character" w:default="1" w:styleId="25">
    <w:name w:val="Default Paragraph Font"/>
    <w:link w:val="26"/>
    <w:autoRedefine/>
    <w:semiHidden/>
    <w:unhideWhenUsed/>
    <w:qFormat/>
    <w:uiPriority w:val="1"/>
    <w:rPr>
      <w:sz w:val="24"/>
      <w:szCs w:val="24"/>
    </w:rPr>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6">
    <w:name w:val="表文字52"/>
    <w:basedOn w:val="1"/>
    <w:autoRedefine/>
    <w:qFormat/>
    <w:uiPriority w:val="0"/>
    <w:pPr>
      <w:adjustRightInd w:val="0"/>
      <w:jc w:val="left"/>
    </w:pPr>
    <w:rPr>
      <w:rFonts w:ascii="宋体"/>
      <w:kern w:val="0"/>
      <w:szCs w:val="20"/>
    </w:rPr>
  </w:style>
  <w:style w:type="paragraph" w:styleId="7">
    <w:name w:val="Normal Indent"/>
    <w:basedOn w:val="1"/>
    <w:next w:val="1"/>
    <w:autoRedefine/>
    <w:qFormat/>
    <w:uiPriority w:val="0"/>
    <w:pPr>
      <w:ind w:firstLine="420"/>
    </w:pPr>
    <w:rPr>
      <w:rFonts w:eastAsia="宋体"/>
      <w:kern w:val="2"/>
      <w:sz w:val="21"/>
      <w:lang w:val="en-US" w:eastAsia="zh-CN" w:bidi="ar-SA"/>
    </w:rPr>
  </w:style>
  <w:style w:type="paragraph" w:styleId="8">
    <w:name w:val="Document Map"/>
    <w:basedOn w:val="1"/>
    <w:link w:val="42"/>
    <w:autoRedefine/>
    <w:semiHidden/>
    <w:unhideWhenUsed/>
    <w:qFormat/>
    <w:uiPriority w:val="99"/>
    <w:rPr>
      <w:rFonts w:ascii="宋体" w:eastAsia="宋体"/>
      <w:sz w:val="18"/>
      <w:szCs w:val="18"/>
    </w:rPr>
  </w:style>
  <w:style w:type="paragraph" w:styleId="9">
    <w:name w:val="annotation text"/>
    <w:basedOn w:val="1"/>
    <w:autoRedefine/>
    <w:semiHidden/>
    <w:unhideWhenUsed/>
    <w:qFormat/>
    <w:uiPriority w:val="99"/>
    <w:pPr>
      <w:jc w:val="left"/>
    </w:pPr>
  </w:style>
  <w:style w:type="paragraph" w:styleId="10">
    <w:name w:val="Body Text"/>
    <w:basedOn w:val="1"/>
    <w:next w:val="1"/>
    <w:autoRedefine/>
    <w:semiHidden/>
    <w:unhideWhenUsed/>
    <w:qFormat/>
    <w:uiPriority w:val="99"/>
    <w:pPr>
      <w:spacing w:after="120" w:afterLines="0" w:afterAutospacing="0"/>
    </w:pPr>
  </w:style>
  <w:style w:type="paragraph" w:styleId="11">
    <w:name w:val="Body Text Indent"/>
    <w:basedOn w:val="1"/>
    <w:next w:val="1"/>
    <w:autoRedefine/>
    <w:qFormat/>
    <w:uiPriority w:val="0"/>
    <w:pPr>
      <w:ind w:firstLine="480" w:firstLineChars="200"/>
    </w:pPr>
    <w:rPr>
      <w:rFonts w:ascii="宋体"/>
      <w:color w:val="000000"/>
      <w:sz w:val="24"/>
    </w:rPr>
  </w:style>
  <w:style w:type="paragraph" w:styleId="12">
    <w:name w:val="toc 3"/>
    <w:basedOn w:val="1"/>
    <w:next w:val="1"/>
    <w:autoRedefine/>
    <w:semiHidden/>
    <w:unhideWhenUsed/>
    <w:qFormat/>
    <w:uiPriority w:val="39"/>
    <w:pPr>
      <w:ind w:left="840" w:leftChars="400"/>
    </w:pPr>
  </w:style>
  <w:style w:type="paragraph" w:styleId="13">
    <w:name w:val="Plain Text"/>
    <w:basedOn w:val="1"/>
    <w:next w:val="14"/>
    <w:autoRedefine/>
    <w:qFormat/>
    <w:uiPriority w:val="0"/>
    <w:rPr>
      <w:rFonts w:hint="eastAsia" w:hAnsi="Courier New"/>
    </w:rPr>
  </w:style>
  <w:style w:type="paragraph" w:styleId="14">
    <w:name w:val="toc 1"/>
    <w:basedOn w:val="1"/>
    <w:next w:val="1"/>
    <w:autoRedefine/>
    <w:qFormat/>
    <w:uiPriority w:val="0"/>
    <w:pPr>
      <w:numPr>
        <w:ilvl w:val="0"/>
        <w:numId w:val="1"/>
      </w:numPr>
      <w:tabs>
        <w:tab w:val="right" w:leader="dot" w:pos="8303"/>
        <w:tab w:val="clear" w:pos="420"/>
      </w:tabs>
      <w:spacing w:line="360" w:lineRule="auto"/>
    </w:pPr>
  </w:style>
  <w:style w:type="paragraph" w:styleId="15">
    <w:name w:val="footer"/>
    <w:basedOn w:val="1"/>
    <w:link w:val="39"/>
    <w:autoRedefine/>
    <w:semiHidden/>
    <w:unhideWhenUsed/>
    <w:qFormat/>
    <w:uiPriority w:val="99"/>
    <w:pPr>
      <w:tabs>
        <w:tab w:val="center" w:pos="4153"/>
        <w:tab w:val="right" w:pos="8306"/>
      </w:tabs>
      <w:snapToGrid w:val="0"/>
      <w:jc w:val="left"/>
    </w:pPr>
    <w:rPr>
      <w:sz w:val="18"/>
      <w:szCs w:val="18"/>
    </w:rPr>
  </w:style>
  <w:style w:type="paragraph" w:styleId="16">
    <w:name w:val="header"/>
    <w:basedOn w:val="1"/>
    <w:link w:val="3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ind w:left="200" w:hanging="200" w:hangingChars="200"/>
    </w:pPr>
  </w:style>
  <w:style w:type="paragraph" w:styleId="18">
    <w:name w:val="Body Text Indent 3"/>
    <w:basedOn w:val="1"/>
    <w:autoRedefine/>
    <w:qFormat/>
    <w:uiPriority w:val="0"/>
    <w:pPr>
      <w:spacing w:line="288" w:lineRule="auto"/>
      <w:ind w:firstLine="405"/>
    </w:pPr>
    <w:rPr>
      <w:color w:val="000000"/>
    </w:rPr>
  </w:style>
  <w:style w:type="paragraph" w:styleId="19">
    <w:name w:val="toc 2"/>
    <w:basedOn w:val="1"/>
    <w:next w:val="1"/>
    <w:autoRedefine/>
    <w:semiHidden/>
    <w:unhideWhenUsed/>
    <w:qFormat/>
    <w:uiPriority w:val="39"/>
    <w:pPr>
      <w:ind w:left="420" w:leftChars="200"/>
    </w:p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Body Text First Indent"/>
    <w:basedOn w:val="10"/>
    <w:next w:val="1"/>
    <w:autoRedefine/>
    <w:qFormat/>
    <w:uiPriority w:val="0"/>
    <w:pPr>
      <w:spacing w:after="120" w:afterLines="0"/>
      <w:ind w:firstLine="420" w:firstLineChars="100"/>
    </w:pPr>
    <w:rPr>
      <w:sz w:val="21"/>
    </w:rPr>
  </w:style>
  <w:style w:type="paragraph" w:styleId="22">
    <w:name w:val="Body Text First Indent 2"/>
    <w:basedOn w:val="11"/>
    <w:next w:val="1"/>
    <w:autoRedefine/>
    <w:qFormat/>
    <w:uiPriority w:val="0"/>
    <w:pPr>
      <w:spacing w:after="120" w:line="240" w:lineRule="auto"/>
      <w:ind w:left="420" w:leftChars="200" w:firstLine="420" w:firstLineChars="200"/>
    </w:pPr>
    <w:rPr>
      <w:rFonts w:eastAsia="仿宋_GB2312"/>
      <w:snapToGrid w:val="0"/>
      <w:color w:val="000000"/>
      <w:kern w:val="0"/>
      <w:sz w:val="28"/>
      <w:szCs w:val="20"/>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 Char Char Char1 Char Char Char Char Char Char Char Char Char Char Char Char Char"/>
    <w:basedOn w:val="1"/>
    <w:link w:val="25"/>
    <w:autoRedefine/>
    <w:qFormat/>
    <w:uiPriority w:val="0"/>
    <w:rPr>
      <w:sz w:val="24"/>
      <w:szCs w:val="24"/>
    </w:rPr>
  </w:style>
  <w:style w:type="character" w:styleId="27">
    <w:name w:val="Strong"/>
    <w:basedOn w:val="25"/>
    <w:autoRedefine/>
    <w:qFormat/>
    <w:uiPriority w:val="0"/>
    <w:rPr>
      <w:b/>
      <w:bCs/>
    </w:rPr>
  </w:style>
  <w:style w:type="character" w:styleId="28">
    <w:name w:val="page number"/>
    <w:basedOn w:val="25"/>
    <w:autoRedefine/>
    <w:qFormat/>
    <w:uiPriority w:val="0"/>
  </w:style>
  <w:style w:type="character" w:styleId="29">
    <w:name w:val="FollowedHyperlink"/>
    <w:basedOn w:val="25"/>
    <w:autoRedefine/>
    <w:semiHidden/>
    <w:unhideWhenUsed/>
    <w:qFormat/>
    <w:uiPriority w:val="99"/>
    <w:rPr>
      <w:color w:val="000000"/>
      <w:u w:val="none"/>
    </w:rPr>
  </w:style>
  <w:style w:type="character" w:styleId="30">
    <w:name w:val="Emphasis"/>
    <w:basedOn w:val="25"/>
    <w:autoRedefine/>
    <w:qFormat/>
    <w:uiPriority w:val="20"/>
    <w:rPr>
      <w:i/>
      <w:iCs/>
    </w:rPr>
  </w:style>
  <w:style w:type="character" w:styleId="31">
    <w:name w:val="Hyperlink"/>
    <w:basedOn w:val="25"/>
    <w:autoRedefine/>
    <w:semiHidden/>
    <w:unhideWhenUsed/>
    <w:qFormat/>
    <w:uiPriority w:val="99"/>
    <w:rPr>
      <w:color w:val="000000"/>
      <w:u w:val="none"/>
    </w:rPr>
  </w:style>
  <w:style w:type="character" w:styleId="32">
    <w:name w:val="annotation reference"/>
    <w:basedOn w:val="25"/>
    <w:autoRedefine/>
    <w:qFormat/>
    <w:uiPriority w:val="0"/>
    <w:rPr>
      <w:sz w:val="21"/>
      <w:szCs w:val="21"/>
    </w:rPr>
  </w:style>
  <w:style w:type="paragraph" w:customStyle="1" w:styleId="33">
    <w:name w:val=" Char Char Char Char Char Char Char Char Char Char"/>
    <w:basedOn w:val="1"/>
    <w:link w:val="25"/>
    <w:autoRedefine/>
    <w:qFormat/>
    <w:uiPriority w:val="0"/>
    <w:pPr>
      <w:spacing w:line="360" w:lineRule="auto"/>
      <w:ind w:firstLine="200" w:firstLineChars="200"/>
    </w:pPr>
    <w:rPr>
      <w:rFonts w:ascii="宋体" w:hAnsi="宋体" w:cs="宋体"/>
      <w:sz w:val="24"/>
      <w:szCs w:val="24"/>
    </w:rPr>
  </w:style>
  <w:style w:type="paragraph" w:customStyle="1" w:styleId="34">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5">
    <w:name w:val="Default"/>
    <w:basedOn w:val="36"/>
    <w:next w:val="1"/>
    <w:autoRedefine/>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36">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37">
    <w:name w:val="正文首行缩进2个字 Char"/>
    <w:basedOn w:val="1"/>
    <w:autoRedefine/>
    <w:qFormat/>
    <w:uiPriority w:val="0"/>
    <w:pPr>
      <w:ind w:firstLine="480" w:firstLineChars="200"/>
    </w:pPr>
    <w:rPr>
      <w:rFonts w:eastAsia="楷体"/>
      <w:sz w:val="24"/>
      <w:szCs w:val="24"/>
    </w:rPr>
  </w:style>
  <w:style w:type="character" w:customStyle="1" w:styleId="38">
    <w:name w:val="页眉 Char"/>
    <w:basedOn w:val="25"/>
    <w:link w:val="16"/>
    <w:autoRedefine/>
    <w:semiHidden/>
    <w:qFormat/>
    <w:uiPriority w:val="99"/>
    <w:rPr>
      <w:sz w:val="18"/>
      <w:szCs w:val="18"/>
    </w:rPr>
  </w:style>
  <w:style w:type="character" w:customStyle="1" w:styleId="39">
    <w:name w:val="页脚 Char"/>
    <w:basedOn w:val="25"/>
    <w:link w:val="15"/>
    <w:autoRedefine/>
    <w:semiHidden/>
    <w:qFormat/>
    <w:uiPriority w:val="99"/>
    <w:rPr>
      <w:sz w:val="18"/>
      <w:szCs w:val="18"/>
    </w:rPr>
  </w:style>
  <w:style w:type="character" w:customStyle="1" w:styleId="40">
    <w:name w:val="标题 2 Char"/>
    <w:basedOn w:val="25"/>
    <w:link w:val="3"/>
    <w:autoRedefine/>
    <w:qFormat/>
    <w:uiPriority w:val="9"/>
    <w:rPr>
      <w:rFonts w:ascii="宋体" w:hAnsi="宋体" w:eastAsia="宋体" w:cs="宋体"/>
      <w:b/>
      <w:bCs/>
      <w:kern w:val="0"/>
      <w:sz w:val="36"/>
      <w:szCs w:val="36"/>
    </w:rPr>
  </w:style>
  <w:style w:type="character" w:customStyle="1" w:styleId="41">
    <w:name w:val="rich_media_meta"/>
    <w:basedOn w:val="25"/>
    <w:autoRedefine/>
    <w:qFormat/>
    <w:uiPriority w:val="0"/>
  </w:style>
  <w:style w:type="character" w:customStyle="1" w:styleId="42">
    <w:name w:val="文档结构图 Char"/>
    <w:basedOn w:val="25"/>
    <w:link w:val="8"/>
    <w:autoRedefine/>
    <w:semiHidden/>
    <w:qFormat/>
    <w:uiPriority w:val="99"/>
    <w:rPr>
      <w:rFonts w:ascii="宋体" w:eastAsia="宋体"/>
      <w:sz w:val="18"/>
      <w:szCs w:val="18"/>
    </w:rPr>
  </w:style>
  <w:style w:type="character" w:customStyle="1" w:styleId="43">
    <w:name w:val="fontstyle31"/>
    <w:basedOn w:val="25"/>
    <w:autoRedefine/>
    <w:qFormat/>
    <w:uiPriority w:val="0"/>
    <w:rPr>
      <w:rFonts w:ascii="TimesNewRomanPSMT" w:hAnsi="TimesNewRomanPSMT" w:eastAsia="TimesNewRomanPSMT" w:cs="TimesNewRomanPSMT"/>
      <w:color w:val="000000"/>
      <w:sz w:val="22"/>
      <w:szCs w:val="22"/>
    </w:rPr>
  </w:style>
  <w:style w:type="character" w:customStyle="1" w:styleId="44">
    <w:name w:val="fontstyle11"/>
    <w:basedOn w:val="25"/>
    <w:autoRedefine/>
    <w:qFormat/>
    <w:uiPriority w:val="0"/>
    <w:rPr>
      <w:rFonts w:ascii="宋体" w:hAnsi="宋体" w:eastAsia="宋体" w:cs="宋体"/>
      <w:color w:val="000000"/>
      <w:sz w:val="22"/>
      <w:szCs w:val="22"/>
    </w:rPr>
  </w:style>
  <w:style w:type="paragraph" w:customStyle="1" w:styleId="45">
    <w:name w:val="表"/>
    <w:basedOn w:val="1"/>
    <w:autoRedefine/>
    <w:qFormat/>
    <w:uiPriority w:val="0"/>
    <w:pPr>
      <w:snapToGrid w:val="0"/>
      <w:jc w:val="center"/>
    </w:pPr>
    <w:rPr>
      <w:spacing w:val="2"/>
    </w:rPr>
  </w:style>
  <w:style w:type="paragraph" w:customStyle="1" w:styleId="46">
    <w:name w:val="样式 Times New Roman 行距: 1.5 倍行距"/>
    <w:basedOn w:val="1"/>
    <w:autoRedefine/>
    <w:qFormat/>
    <w:uiPriority w:val="0"/>
    <w:pPr>
      <w:spacing w:line="360" w:lineRule="auto"/>
      <w:ind w:firstLine="480" w:firstLineChars="200"/>
    </w:pPr>
    <w:rPr>
      <w:rFonts w:cs="宋体"/>
    </w:rPr>
  </w:style>
  <w:style w:type="paragraph" w:customStyle="1" w:styleId="47">
    <w:name w:val="小标题"/>
    <w:basedOn w:val="1"/>
    <w:autoRedefine/>
    <w:qFormat/>
    <w:uiPriority w:val="0"/>
    <w:pPr>
      <w:widowControl w:val="0"/>
    </w:pPr>
    <w:rPr>
      <w:rFonts w:ascii="Times New Roman" w:hAnsi="Times New Roman" w:eastAsia="宋体" w:cs="Times New Roman"/>
      <w:b/>
      <w:kern w:val="0"/>
      <w:sz w:val="24"/>
      <w:szCs w:val="20"/>
    </w:rPr>
  </w:style>
  <w:style w:type="paragraph" w:customStyle="1" w:styleId="48">
    <w:name w:val="表格标题"/>
    <w:basedOn w:val="1"/>
    <w:autoRedefine/>
    <w:qFormat/>
    <w:uiPriority w:val="0"/>
    <w:pPr>
      <w:spacing w:before="120" w:beforeLines="0"/>
      <w:jc w:val="center"/>
    </w:pPr>
    <w:rPr>
      <w:sz w:val="24"/>
    </w:rPr>
  </w:style>
  <w:style w:type="paragraph" w:customStyle="1" w:styleId="49">
    <w:name w:val="表格正文"/>
    <w:basedOn w:val="1"/>
    <w:autoRedefine/>
    <w:qFormat/>
    <w:uiPriority w:val="0"/>
    <w:pPr>
      <w:spacing w:line="360" w:lineRule="exact"/>
      <w:jc w:val="center"/>
    </w:pPr>
    <w:rPr>
      <w:rFonts w:ascii="Arial" w:hAnsi="Arial"/>
      <w:color w:val="000000"/>
    </w:rPr>
  </w:style>
  <w:style w:type="paragraph" w:customStyle="1" w:styleId="50">
    <w:name w:val="表格样式"/>
    <w:basedOn w:val="1"/>
    <w:autoRedefine/>
    <w:qFormat/>
    <w:uiPriority w:val="99"/>
    <w:pPr>
      <w:jc w:val="center"/>
    </w:pPr>
    <w:rPr>
      <w:rFonts w:ascii="宋体" w:hAnsi="宋体"/>
      <w:b/>
      <w:color w:val="000000"/>
      <w:sz w:val="24"/>
      <w:szCs w:val="24"/>
    </w:rPr>
  </w:style>
  <w:style w:type="paragraph" w:customStyle="1" w:styleId="51">
    <w:name w:val="正文-1"/>
    <w:basedOn w:val="1"/>
    <w:autoRedefine/>
    <w:qFormat/>
    <w:uiPriority w:val="0"/>
    <w:pPr>
      <w:ind w:firstLine="480"/>
    </w:pPr>
  </w:style>
  <w:style w:type="paragraph" w:customStyle="1" w:styleId="52">
    <w:name w:val="表格文字"/>
    <w:basedOn w:val="1"/>
    <w:autoRedefine/>
    <w:qFormat/>
    <w:uiPriority w:val="0"/>
    <w:pPr>
      <w:adjustRightInd w:val="0"/>
      <w:snapToGrid w:val="0"/>
      <w:spacing w:line="240" w:lineRule="auto"/>
      <w:ind w:firstLine="0" w:firstLineChars="0"/>
      <w:jc w:val="center"/>
      <w:textAlignment w:val="baseline"/>
    </w:pPr>
    <w:rPr>
      <w:rFonts w:cs="Times New Roman"/>
      <w:kern w:val="0"/>
      <w:sz w:val="21"/>
      <w:szCs w:val="20"/>
    </w:rPr>
  </w:style>
  <w:style w:type="paragraph" w:customStyle="1" w:styleId="53">
    <w:name w:val="表文"/>
    <w:autoRedefine/>
    <w:qFormat/>
    <w:uiPriority w:val="0"/>
    <w:pPr>
      <w:jc w:val="center"/>
    </w:pPr>
    <w:rPr>
      <w:rFonts w:ascii="Calibri" w:hAnsi="Calibri" w:eastAsia="宋体" w:cs="Times New Roman"/>
      <w:sz w:val="21"/>
      <w:szCs w:val="22"/>
      <w:lang w:val="en-US" w:eastAsia="zh-CN" w:bidi="ar-SA"/>
    </w:rPr>
  </w:style>
  <w:style w:type="paragraph" w:customStyle="1" w:styleId="54">
    <w:name w:val="正文2"/>
    <w:basedOn w:val="1"/>
    <w:autoRedefine/>
    <w:qFormat/>
    <w:uiPriority w:val="0"/>
    <w:pPr>
      <w:adjustRightInd w:val="0"/>
      <w:snapToGrid w:val="0"/>
      <w:spacing w:line="440" w:lineRule="atLeast"/>
      <w:ind w:firstLine="567"/>
    </w:pPr>
    <w:rPr>
      <w:sz w:val="24"/>
    </w:rPr>
  </w:style>
  <w:style w:type="paragraph" w:customStyle="1" w:styleId="55">
    <w:name w:val="Table Paragraph"/>
    <w:basedOn w:val="1"/>
    <w:autoRedefine/>
    <w:qFormat/>
    <w:uiPriority w:val="1"/>
  </w:style>
  <w:style w:type="paragraph" w:customStyle="1" w:styleId="56">
    <w:name w:val="表中正文"/>
    <w:basedOn w:val="1"/>
    <w:autoRedefine/>
    <w:qFormat/>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szCs w:val="24"/>
    </w:rPr>
  </w:style>
  <w:style w:type="paragraph" w:customStyle="1" w:styleId="57">
    <w:name w:val="居中正文"/>
    <w:basedOn w:val="21"/>
    <w:autoRedefine/>
    <w:qFormat/>
    <w:uiPriority w:val="0"/>
    <w:pPr>
      <w:adjustRightInd w:val="0"/>
      <w:spacing w:before="120" w:beforeLines="0" w:after="0" w:afterLines="0" w:line="360" w:lineRule="auto"/>
      <w:ind w:firstLine="0" w:firstLineChars="0"/>
      <w:jc w:val="center"/>
      <w:textAlignment w:val="baseline"/>
    </w:pPr>
    <w:rPr>
      <w:rFonts w:ascii="宋体"/>
      <w:kern w:val="28"/>
      <w:sz w:val="24"/>
    </w:rPr>
  </w:style>
  <w:style w:type="paragraph" w:customStyle="1" w:styleId="58">
    <w:name w:val="正文1"/>
    <w:basedOn w:val="1"/>
    <w:autoRedefine/>
    <w:qFormat/>
    <w:uiPriority w:val="0"/>
    <w:pPr>
      <w:adjustRightInd w:val="0"/>
      <w:snapToGrid w:val="0"/>
      <w:spacing w:line="500" w:lineRule="atLeast"/>
      <w:ind w:firstLine="567"/>
    </w:pPr>
    <w:rPr>
      <w:sz w:val="28"/>
      <w:szCs w:val="24"/>
    </w:rPr>
  </w:style>
  <w:style w:type="paragraph" w:customStyle="1" w:styleId="59">
    <w:name w:val="样式 表头 + 段前: 0.5 行 段后: 0.5 行"/>
    <w:basedOn w:val="1"/>
    <w:autoRedefine/>
    <w:qFormat/>
    <w:uiPriority w:val="0"/>
    <w:pPr>
      <w:widowControl w:val="0"/>
      <w:autoSpaceDE w:val="0"/>
      <w:autoSpaceDN w:val="0"/>
      <w:adjustRightInd w:val="0"/>
      <w:spacing w:before="100" w:beforeAutospacing="1" w:after="100" w:afterAutospacing="1" w:line="480" w:lineRule="exact"/>
      <w:ind w:left="0"/>
      <w:jc w:val="center"/>
    </w:pPr>
    <w:rPr>
      <w:rFonts w:ascii="Times New Roman" w:hAnsi="Times New Roman"/>
      <w:b/>
      <w:bCs/>
      <w:spacing w:val="0"/>
      <w:kern w:val="2"/>
      <w:sz w:val="24"/>
      <w:lang w:val="zh-CN" w:bidi="ar-SA"/>
    </w:rPr>
  </w:style>
  <w:style w:type="paragraph" w:customStyle="1" w:styleId="60">
    <w:name w:val="表格字体"/>
    <w:next w:val="1"/>
    <w:autoRedefine/>
    <w:qFormat/>
    <w:uiPriority w:val="0"/>
    <w:pPr>
      <w:tabs>
        <w:tab w:val="right" w:leader="dot" w:pos="9061"/>
      </w:tabs>
      <w:jc w:val="center"/>
    </w:pPr>
    <w:rPr>
      <w:rFonts w:ascii="Times New Roman" w:hAnsi="Times New Roman" w:eastAsia="宋体" w:cs="Times New Roman"/>
      <w:bCs/>
      <w:kern w:val="2"/>
      <w:sz w:val="21"/>
      <w:szCs w:val="22"/>
      <w:lang w:val="en-US" w:eastAsia="zh-CN" w:bidi="ar-SA"/>
    </w:rPr>
  </w:style>
  <w:style w:type="character" w:customStyle="1" w:styleId="61">
    <w:name w:val="font51"/>
    <w:basedOn w:val="25"/>
    <w:autoRedefine/>
    <w:qFormat/>
    <w:uiPriority w:val="0"/>
    <w:rPr>
      <w:rFonts w:hint="eastAsia" w:ascii="宋体" w:hAnsi="宋体" w:eastAsia="宋体" w:cs="宋体"/>
      <w:color w:val="000000"/>
      <w:sz w:val="20"/>
      <w:szCs w:val="20"/>
      <w:u w:val="none"/>
    </w:rPr>
  </w:style>
  <w:style w:type="character" w:customStyle="1" w:styleId="62">
    <w:name w:val="font31"/>
    <w:basedOn w:val="25"/>
    <w:autoRedefine/>
    <w:qFormat/>
    <w:uiPriority w:val="0"/>
    <w:rPr>
      <w:rFonts w:hint="eastAsia" w:ascii="宋体" w:hAnsi="宋体" w:eastAsia="宋体" w:cs="宋体"/>
      <w:color w:val="000000"/>
      <w:sz w:val="20"/>
      <w:szCs w:val="20"/>
      <w:u w:val="none"/>
    </w:rPr>
  </w:style>
  <w:style w:type="paragraph" w:customStyle="1" w:styleId="63">
    <w:name w:val="环评正文"/>
    <w:basedOn w:val="1"/>
    <w:autoRedefine/>
    <w:qFormat/>
    <w:uiPriority w:val="99"/>
    <w:pPr>
      <w:spacing w:line="360" w:lineRule="auto"/>
    </w:pPr>
    <w:rPr>
      <w:rFonts w:ascii="宋体" w:hAnsi="宋体" w:cs="宋体"/>
      <w:sz w:val="24"/>
      <w:szCs w:val="24"/>
    </w:rPr>
  </w:style>
  <w:style w:type="paragraph" w:customStyle="1" w:styleId="64">
    <w:name w:val="表格 23"/>
    <w:basedOn w:val="1"/>
    <w:autoRedefine/>
    <w:qFormat/>
    <w:uiPriority w:val="0"/>
    <w:pPr>
      <w:autoSpaceDE w:val="0"/>
      <w:autoSpaceDN w:val="0"/>
      <w:adjustRightInd w:val="0"/>
      <w:jc w:val="center"/>
    </w:pPr>
    <w:rPr>
      <w:rFonts w:eastAsia="仿宋体"/>
      <w:kern w:val="0"/>
    </w:rPr>
  </w:style>
  <w:style w:type="paragraph" w:customStyle="1" w:styleId="65">
    <w:name w:val="正 文"/>
    <w:basedOn w:val="1"/>
    <w:autoRedefine/>
    <w:qFormat/>
    <w:uiPriority w:val="0"/>
    <w:rPr>
      <w:rFonts w:ascii="仿宋" w:hAnsi="仿宋" w:eastAsia="仿宋"/>
    </w:rPr>
  </w:style>
  <w:style w:type="paragraph" w:customStyle="1" w:styleId="66">
    <w:name w:val="常用表格样式"/>
    <w:basedOn w:val="67"/>
    <w:next w:val="67"/>
    <w:autoRedefine/>
    <w:qFormat/>
    <w:uiPriority w:val="0"/>
    <w:pPr>
      <w:spacing w:line="240" w:lineRule="auto"/>
      <w:ind w:firstLine="0"/>
      <w:jc w:val="center"/>
    </w:pPr>
    <w:rPr>
      <w:spacing w:val="2"/>
      <w:sz w:val="18"/>
      <w:szCs w:val="21"/>
    </w:rPr>
  </w:style>
  <w:style w:type="paragraph" w:customStyle="1" w:styleId="67">
    <w:name w:val="常用正文样式"/>
    <w:autoRedefine/>
    <w:qFormat/>
    <w:uiPriority w:val="0"/>
    <w:pPr>
      <w:widowControl w:val="0"/>
      <w:spacing w:line="360" w:lineRule="auto"/>
      <w:ind w:firstLine="454"/>
      <w:jc w:val="both"/>
    </w:pPr>
    <w:rPr>
      <w:rFonts w:ascii="宋体" w:hAnsi="新宋体" w:eastAsia="仿宋_GB2312" w:cs="Times New Roman"/>
      <w:kern w:val="2"/>
      <w:sz w:val="24"/>
      <w:szCs w:val="24"/>
      <w:lang w:val="en-US" w:eastAsia="zh-CN" w:bidi="ar-SA"/>
    </w:rPr>
  </w:style>
  <w:style w:type="table" w:customStyle="1" w:styleId="68">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69">
    <w:name w:val="彩色列表 - 强调文字颜色 11"/>
    <w:basedOn w:val="1"/>
    <w:autoRedefine/>
    <w:qFormat/>
    <w:uiPriority w:val="34"/>
    <w:pPr>
      <w:ind w:firstLine="420" w:firstLineChars="200"/>
    </w:pPr>
  </w:style>
  <w:style w:type="paragraph" w:customStyle="1" w:styleId="70">
    <w:name w:val="无间距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1">
    <w:name w:val="无间距1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xl55"/>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73">
    <w:name w:val="表格"/>
    <w:basedOn w:val="1"/>
    <w:autoRedefine/>
    <w:qFormat/>
    <w:uiPriority w:val="0"/>
    <w:pPr>
      <w:snapToGrid w:val="0"/>
      <w:jc w:val="center"/>
    </w:pPr>
    <w:rPr>
      <w:sz w:val="24"/>
      <w:szCs w:val="24"/>
    </w:rPr>
  </w:style>
  <w:style w:type="paragraph" w:customStyle="1" w:styleId="74">
    <w:name w:val="正文2019"/>
    <w:autoRedefine/>
    <w:qFormat/>
    <w:uiPriority w:val="0"/>
    <w:pPr>
      <w:adjustRightInd w:val="0"/>
      <w:snapToGrid w:val="0"/>
      <w:spacing w:line="440" w:lineRule="exact"/>
      <w:ind w:firstLine="200" w:firstLineChars="200"/>
    </w:pPr>
    <w:rPr>
      <w:rFonts w:ascii="Calibri" w:hAnsi="Calibri" w:eastAsia="仿宋_GB2312" w:cs="Times New Roman"/>
      <w:bCs/>
      <w:kern w:val="44"/>
      <w:sz w:val="24"/>
      <w:szCs w:val="44"/>
      <w:lang w:val="en-US" w:eastAsia="zh-CN" w:bidi="ar-SA"/>
    </w:rPr>
  </w:style>
  <w:style w:type="paragraph" w:customStyle="1" w:styleId="75">
    <w:name w:val="表图例"/>
    <w:basedOn w:val="1"/>
    <w:autoRedefine/>
    <w:qFormat/>
    <w:uiPriority w:val="0"/>
    <w:pPr>
      <w:ind w:firstLine="0" w:firstLineChars="0"/>
      <w:jc w:val="center"/>
    </w:pPr>
    <w:rPr>
      <w:rFonts w:hint="eastAsia" w:ascii="Times New Roman" w:hAnsi="Times New Roman" w:eastAsia="宋体"/>
      <w:b/>
      <w:sz w:val="21"/>
      <w:szCs w:val="24"/>
    </w:rPr>
  </w:style>
  <w:style w:type="paragraph" w:customStyle="1" w:styleId="76">
    <w:name w:val="表头2018"/>
    <w:autoRedefine/>
    <w:qFormat/>
    <w:uiPriority w:val="0"/>
    <w:pPr>
      <w:spacing w:line="440" w:lineRule="exact"/>
      <w:jc w:val="center"/>
    </w:pPr>
    <w:rPr>
      <w:rFonts w:ascii="Calibri" w:hAnsi="Calibri" w:eastAsia="黑体" w:cs="Times New Roman"/>
      <w:b/>
      <w:kern w:val="2"/>
      <w:sz w:val="21"/>
      <w:szCs w:val="21"/>
      <w:lang w:val="en-US" w:eastAsia="zh-CN" w:bidi="ar-SA"/>
    </w:rPr>
  </w:style>
  <w:style w:type="paragraph" w:customStyle="1" w:styleId="77">
    <w:name w:val="样式4"/>
    <w:next w:val="7"/>
    <w:autoRedefine/>
    <w:qFormat/>
    <w:uiPriority w:val="0"/>
    <w:pPr>
      <w:spacing w:line="440" w:lineRule="exact"/>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78">
    <w:name w:val="p0"/>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79">
    <w:name w:val="表名"/>
    <w:basedOn w:val="1"/>
    <w:autoRedefine/>
    <w:unhideWhenUsed/>
    <w:qFormat/>
    <w:uiPriority w:val="0"/>
    <w:pPr>
      <w:spacing w:beforeLines="0" w:afterLines="0" w:line="240" w:lineRule="auto"/>
      <w:ind w:firstLine="0" w:firstLineChars="0"/>
      <w:jc w:val="center"/>
    </w:pPr>
    <w:rPr>
      <w:rFonts w:hint="default"/>
      <w:kern w:val="0"/>
      <w:sz w:val="24"/>
    </w:rPr>
  </w:style>
  <w:style w:type="character" w:customStyle="1" w:styleId="80">
    <w:name w:val="font01"/>
    <w:basedOn w:val="25"/>
    <w:autoRedefine/>
    <w:qFormat/>
    <w:uiPriority w:val="0"/>
    <w:rPr>
      <w:rFonts w:hint="eastAsia" w:ascii="宋体" w:hAnsi="宋体" w:eastAsia="宋体" w:cs="宋体"/>
      <w:color w:val="000000"/>
      <w:sz w:val="21"/>
      <w:szCs w:val="21"/>
      <w:u w:val="none"/>
    </w:rPr>
  </w:style>
  <w:style w:type="character" w:customStyle="1" w:styleId="81">
    <w:name w:val="font21"/>
    <w:basedOn w:val="25"/>
    <w:autoRedefine/>
    <w:qFormat/>
    <w:uiPriority w:val="0"/>
    <w:rPr>
      <w:rFonts w:hint="default" w:ascii="Times New Roman" w:hAnsi="Times New Roman" w:cs="Times New Roman"/>
      <w:color w:val="000000"/>
      <w:sz w:val="21"/>
      <w:szCs w:val="21"/>
      <w:u w:val="none"/>
    </w:rPr>
  </w:style>
  <w:style w:type="character" w:customStyle="1" w:styleId="82">
    <w:name w:val="font11"/>
    <w:basedOn w:val="25"/>
    <w:autoRedefine/>
    <w:qFormat/>
    <w:uiPriority w:val="0"/>
    <w:rPr>
      <w:rFonts w:hint="default" w:ascii="Times New Roman" w:hAnsi="Times New Roman" w:cs="Times New Roman"/>
      <w:color w:val="000000"/>
      <w:sz w:val="21"/>
      <w:szCs w:val="21"/>
      <w:u w:val="none"/>
    </w:rPr>
  </w:style>
  <w:style w:type="paragraph" w:customStyle="1" w:styleId="83">
    <w:name w:val="文本"/>
    <w:basedOn w:val="1"/>
    <w:next w:val="7"/>
    <w:autoRedefine/>
    <w:qFormat/>
    <w:uiPriority w:val="0"/>
    <w:pPr>
      <w:adjustRightInd w:val="0"/>
      <w:snapToGrid w:val="0"/>
      <w:spacing w:line="360" w:lineRule="auto"/>
      <w:ind w:firstLine="720" w:firstLineChars="200"/>
    </w:pPr>
    <w:rPr>
      <w:rFonts w:ascii="Times New Roman" w:hAnsi="Times New Roman"/>
    </w:rPr>
  </w:style>
  <w:style w:type="paragraph" w:customStyle="1" w:styleId="84">
    <w:name w:val="表标题"/>
    <w:basedOn w:val="85"/>
    <w:next w:val="85"/>
    <w:autoRedefine/>
    <w:qFormat/>
    <w:uiPriority w:val="0"/>
    <w:pPr>
      <w:spacing w:before="50" w:beforeLines="50" w:line="240" w:lineRule="exact"/>
      <w:ind w:left="0" w:hanging="720" w:hangingChars="200"/>
      <w:jc w:val="center"/>
    </w:pPr>
    <w:rPr>
      <w:rFonts w:hint="eastAsia"/>
      <w:b/>
      <w:sz w:val="21"/>
    </w:rPr>
  </w:style>
  <w:style w:type="paragraph" w:customStyle="1" w:styleId="85">
    <w:name w:val="正文_L"/>
    <w:autoRedefine/>
    <w:qFormat/>
    <w:uiPriority w:val="0"/>
    <w:pPr>
      <w:widowControl w:val="0"/>
      <w:spacing w:line="360" w:lineRule="auto"/>
      <w:ind w:firstLine="420" w:firstLineChars="200"/>
      <w:jc w:val="both"/>
    </w:pPr>
    <w:rPr>
      <w:rFonts w:ascii="Times New Roman" w:hAnsi="Times New Roman" w:eastAsia="宋体" w:cs="Times New Roman"/>
      <w:color w:val="0000FF"/>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48788</Words>
  <Characters>55607</Characters>
  <Lines>42</Lines>
  <Paragraphs>11</Paragraphs>
  <TotalTime>45</TotalTime>
  <ScaleCrop>false</ScaleCrop>
  <LinksUpToDate>false</LinksUpToDate>
  <CharactersWithSpaces>56328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2021-03-11T10:36:00Z</dcterms:created>
  <dc:creator>微软用户</dc:creator>
  <cp:lastModifiedBy>。。。。。</cp:lastModifiedBy>
  <cp:lastPrinted>2024-06-21T05:07:00Z</cp:lastPrinted>
  <dcterms:modified xsi:type="dcterms:W3CDTF">2024-06-24T02:26:48Z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80EE3A4257E0417180D15182092631FB</vt:lpwstr>
  </property>
</Properties>
</file>