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DF384">
      <w:pPr>
        <w:spacing w:line="360" w:lineRule="auto"/>
        <w:jc w:val="center"/>
        <w:rPr>
          <w:rFonts w:hint="default" w:ascii="Times New Roman" w:hAnsi="Times New Roman" w:eastAsia="宋体"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安吉德腾家居有限公司</w:t>
      </w:r>
    </w:p>
    <w:p w14:paraId="0C6DC9E0">
      <w:pPr>
        <w:spacing w:line="360" w:lineRule="auto"/>
        <w:jc w:val="center"/>
        <w:rPr>
          <w:rFonts w:hint="default" w:ascii="Times New Roman" w:hAnsi="Times New Roman" w:eastAsia="宋体" w:cs="Times New Roman"/>
          <w:b/>
          <w:color w:val="auto"/>
          <w:sz w:val="32"/>
          <w:szCs w:val="32"/>
          <w:highlight w:val="none"/>
          <w:lang w:eastAsia="zh-CN"/>
        </w:rPr>
      </w:pPr>
      <w:r>
        <w:rPr>
          <w:rFonts w:hint="eastAsia" w:ascii="Times New Roman" w:hAnsi="Times New Roman" w:cs="Times New Roman"/>
          <w:b/>
          <w:color w:val="auto"/>
          <w:sz w:val="32"/>
          <w:szCs w:val="32"/>
          <w:highlight w:val="none"/>
          <w:lang w:val="en-US" w:eastAsia="zh-CN"/>
        </w:rPr>
        <w:t>年产400万套万向轮迁建项目</w:t>
      </w:r>
    </w:p>
    <w:p w14:paraId="503F8FC9">
      <w:pPr>
        <w:spacing w:line="360" w:lineRule="auto"/>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color w:val="auto"/>
          <w:sz w:val="32"/>
          <w:szCs w:val="32"/>
          <w:highlight w:val="none"/>
          <w:lang w:eastAsia="zh-CN"/>
        </w:rPr>
        <w:t>竣工环境保护验收</w:t>
      </w:r>
      <w:r>
        <w:rPr>
          <w:rFonts w:hint="default" w:ascii="Times New Roman" w:hAnsi="Times New Roman" w:eastAsia="宋体" w:cs="Times New Roman"/>
          <w:b/>
          <w:color w:val="auto"/>
          <w:sz w:val="32"/>
          <w:szCs w:val="32"/>
          <w:highlight w:val="none"/>
        </w:rPr>
        <w:t>意见</w:t>
      </w:r>
    </w:p>
    <w:p w14:paraId="0FC1E1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00B0F0"/>
          <w:kern w:val="0"/>
          <w:sz w:val="24"/>
          <w:highlight w:val="none"/>
        </w:rPr>
        <w:t>20</w:t>
      </w:r>
      <w:r>
        <w:rPr>
          <w:rFonts w:hint="default" w:ascii="Times New Roman" w:hAnsi="Times New Roman" w:eastAsia="宋体" w:cs="Times New Roman"/>
          <w:color w:val="00B0F0"/>
          <w:kern w:val="0"/>
          <w:sz w:val="24"/>
          <w:highlight w:val="none"/>
          <w:lang w:val="en-US" w:eastAsia="zh-CN"/>
        </w:rPr>
        <w:t>2</w:t>
      </w:r>
      <w:r>
        <w:rPr>
          <w:rFonts w:hint="eastAsia" w:ascii="Times New Roman" w:hAnsi="Times New Roman" w:cs="Times New Roman"/>
          <w:color w:val="00B0F0"/>
          <w:kern w:val="0"/>
          <w:sz w:val="24"/>
          <w:highlight w:val="none"/>
          <w:lang w:val="en-US" w:eastAsia="zh-CN"/>
        </w:rPr>
        <w:t>5</w:t>
      </w:r>
      <w:r>
        <w:rPr>
          <w:rFonts w:hint="default" w:ascii="Times New Roman" w:hAnsi="Times New Roman" w:eastAsia="宋体" w:cs="Times New Roman"/>
          <w:color w:val="00B0F0"/>
          <w:kern w:val="0"/>
          <w:sz w:val="24"/>
          <w:highlight w:val="none"/>
        </w:rPr>
        <w:t>年</w:t>
      </w:r>
      <w:r>
        <w:rPr>
          <w:rFonts w:hint="eastAsia" w:ascii="Times New Roman" w:hAnsi="Times New Roman" w:cs="Times New Roman"/>
          <w:color w:val="00B0F0"/>
          <w:kern w:val="0"/>
          <w:sz w:val="24"/>
          <w:highlight w:val="none"/>
          <w:lang w:val="en-US" w:eastAsia="zh-CN"/>
        </w:rPr>
        <w:t>4</w:t>
      </w:r>
      <w:r>
        <w:rPr>
          <w:rFonts w:hint="default" w:ascii="Times New Roman" w:hAnsi="Times New Roman" w:eastAsia="宋体" w:cs="Times New Roman"/>
          <w:color w:val="00B0F0"/>
          <w:kern w:val="0"/>
          <w:sz w:val="24"/>
          <w:highlight w:val="none"/>
        </w:rPr>
        <w:t>月</w:t>
      </w:r>
      <w:r>
        <w:rPr>
          <w:rFonts w:hint="eastAsia" w:ascii="Times New Roman" w:hAnsi="Times New Roman" w:cs="Times New Roman"/>
          <w:color w:val="00B0F0"/>
          <w:kern w:val="0"/>
          <w:sz w:val="24"/>
          <w:highlight w:val="none"/>
          <w:lang w:val="en-US" w:eastAsia="zh-CN"/>
        </w:rPr>
        <w:t>17</w:t>
      </w:r>
      <w:r>
        <w:rPr>
          <w:rFonts w:hint="default" w:ascii="Times New Roman" w:hAnsi="Times New Roman" w:eastAsia="宋体" w:cs="Times New Roman"/>
          <w:color w:val="00B0F0"/>
          <w:kern w:val="0"/>
          <w:sz w:val="24"/>
          <w:highlight w:val="none"/>
        </w:rPr>
        <w:t>日，</w:t>
      </w:r>
      <w:r>
        <w:rPr>
          <w:rFonts w:hint="default" w:ascii="Times New Roman" w:hAnsi="Times New Roman" w:eastAsia="宋体" w:cs="Times New Roman"/>
          <w:color w:val="auto"/>
          <w:kern w:val="0"/>
          <w:sz w:val="24"/>
          <w:highlight w:val="none"/>
        </w:rPr>
        <w:t>建设单位</w:t>
      </w:r>
      <w:r>
        <w:rPr>
          <w:rFonts w:hint="eastAsia" w:ascii="Times New Roman" w:hAnsi="Times New Roman" w:cs="Times New Roman"/>
          <w:color w:val="auto"/>
          <w:sz w:val="24"/>
          <w:szCs w:val="24"/>
          <w:highlight w:val="none"/>
          <w:lang w:val="en-US" w:eastAsia="zh-CN"/>
        </w:rPr>
        <w:t>安吉德腾家居有限公司</w:t>
      </w:r>
      <w:r>
        <w:rPr>
          <w:rFonts w:hint="default" w:ascii="Times New Roman" w:hAnsi="Times New Roman" w:eastAsia="宋体" w:cs="Times New Roman"/>
          <w:color w:val="auto"/>
          <w:kern w:val="0"/>
          <w:sz w:val="24"/>
          <w:highlight w:val="none"/>
        </w:rPr>
        <w:t>，根据《</w:t>
      </w:r>
      <w:r>
        <w:rPr>
          <w:rFonts w:hint="eastAsia" w:ascii="Times New Roman" w:hAnsi="Times New Roman" w:cs="Times New Roman"/>
          <w:color w:val="auto"/>
          <w:kern w:val="0"/>
          <w:sz w:val="24"/>
          <w:highlight w:val="none"/>
          <w:lang w:val="en-US" w:eastAsia="zh-CN"/>
        </w:rPr>
        <w:t>安吉德腾家居有限公司年产400万套万向轮迁建项目</w:t>
      </w:r>
      <w:r>
        <w:rPr>
          <w:rFonts w:hint="default" w:ascii="Times New Roman" w:hAnsi="Times New Roman" w:eastAsia="宋体" w:cs="Times New Roman"/>
          <w:color w:val="auto"/>
          <w:kern w:val="0"/>
          <w:sz w:val="24"/>
          <w:highlight w:val="none"/>
        </w:rPr>
        <w:t>竣工环境保护验收监测报告</w:t>
      </w:r>
      <w:r>
        <w:rPr>
          <w:rFonts w:hint="eastAsia" w:ascii="Times New Roman" w:hAnsi="Times New Roman" w:cs="Times New Roman"/>
          <w:color w:val="auto"/>
          <w:kern w:val="0"/>
          <w:sz w:val="24"/>
          <w:highlight w:val="none"/>
          <w:lang w:val="en-US" w:eastAsia="zh-CN"/>
        </w:rPr>
        <w:t>表</w:t>
      </w:r>
      <w:r>
        <w:rPr>
          <w:rFonts w:hint="default" w:ascii="Times New Roman" w:hAnsi="Times New Roman" w:eastAsia="宋体" w:cs="Times New Roman"/>
          <w:color w:val="auto"/>
          <w:kern w:val="0"/>
          <w:sz w:val="24"/>
          <w:highlight w:val="none"/>
        </w:rPr>
        <w:t>》，并对照《建设项目竣工环境保护验收暂行办法》，严格依照国家有关法律法规、建设项目竣工环境保护验收技术规范、项目环境影响</w:t>
      </w:r>
      <w:r>
        <w:rPr>
          <w:rFonts w:hint="eastAsia" w:ascii="Times New Roman" w:hAnsi="Times New Roman" w:cs="Times New Roman"/>
          <w:color w:val="auto"/>
          <w:kern w:val="0"/>
          <w:sz w:val="24"/>
          <w:highlight w:val="none"/>
          <w:lang w:val="en-US" w:eastAsia="zh-CN"/>
        </w:rPr>
        <w:t>登记</w:t>
      </w:r>
      <w:r>
        <w:rPr>
          <w:rFonts w:hint="default" w:ascii="Times New Roman" w:hAnsi="Times New Roman" w:eastAsia="宋体" w:cs="Times New Roman"/>
          <w:color w:val="auto"/>
          <w:kern w:val="0"/>
          <w:sz w:val="24"/>
          <w:highlight w:val="none"/>
        </w:rPr>
        <w:t>表和</w:t>
      </w:r>
      <w:r>
        <w:rPr>
          <w:rFonts w:hint="eastAsia" w:ascii="Times New Roman" w:hAnsi="Times New Roman" w:cs="Times New Roman"/>
          <w:color w:val="auto"/>
          <w:kern w:val="0"/>
          <w:sz w:val="24"/>
          <w:highlight w:val="none"/>
          <w:lang w:val="en-US" w:eastAsia="zh-CN"/>
        </w:rPr>
        <w:t>批复</w:t>
      </w:r>
      <w:r>
        <w:rPr>
          <w:rFonts w:hint="default" w:ascii="Times New Roman" w:hAnsi="Times New Roman" w:eastAsia="宋体" w:cs="Times New Roman"/>
          <w:color w:val="auto"/>
          <w:sz w:val="24"/>
          <w:highlight w:val="none"/>
          <w:lang w:val="en-US" w:eastAsia="zh-CN"/>
        </w:rPr>
        <w:t>意见</w:t>
      </w:r>
      <w:r>
        <w:rPr>
          <w:rFonts w:hint="default" w:ascii="Times New Roman" w:hAnsi="Times New Roman" w:eastAsia="宋体" w:cs="Times New Roman"/>
          <w:color w:val="auto"/>
          <w:kern w:val="0"/>
          <w:sz w:val="24"/>
          <w:highlight w:val="none"/>
        </w:rPr>
        <w:t>等要求对</w:t>
      </w:r>
      <w:r>
        <w:rPr>
          <w:rFonts w:hint="eastAsia" w:ascii="Times New Roman" w:hAnsi="Times New Roman" w:cs="Times New Roman"/>
          <w:color w:val="auto"/>
          <w:kern w:val="0"/>
          <w:sz w:val="24"/>
          <w:highlight w:val="none"/>
          <w:lang w:val="en-US" w:eastAsia="zh-CN"/>
        </w:rPr>
        <w:t>安吉德腾家居有限公司年产400万套万向轮迁建项目（以下简称本项目）</w:t>
      </w:r>
      <w:r>
        <w:rPr>
          <w:rFonts w:hint="default" w:ascii="Times New Roman" w:hAnsi="Times New Roman" w:eastAsia="宋体" w:cs="Times New Roman"/>
          <w:color w:val="auto"/>
          <w:kern w:val="0"/>
          <w:sz w:val="24"/>
          <w:highlight w:val="none"/>
        </w:rPr>
        <w:t>进行验收，提出意见如下：</w:t>
      </w:r>
    </w:p>
    <w:p w14:paraId="7E7EDC97">
      <w:pPr>
        <w:numPr>
          <w:ilvl w:val="0"/>
          <w:numId w:val="1"/>
        </w:numPr>
        <w:spacing w:line="360" w:lineRule="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建设项目基本情况：</w:t>
      </w:r>
    </w:p>
    <w:p w14:paraId="60DCBADB">
      <w:pPr>
        <w:spacing w:line="360" w:lineRule="auto"/>
        <w:ind w:firstLine="480"/>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安吉德腾家居有限公司成立于2021年11月19日，原地址位于递铺街道康山村（安吉东满家居用品有限公司内）。企业2021年未生产，于2022年1月开始进行试运营，企业为了降低风险，仅购置了组装及包装相关设备，主要生产内容为将外购零配件经组装包装后销售为主。主要生产工艺仅为外购的塑料半成品与外购的五金配件进行组装，然后包装好即为成品，如此的生产内容，其行业属于塑料家具制造（C2140）；根据《建设项目环境影响评价分类管理名录（2021年版）》中的十八、家具制造业21，仅组装的，为豁免项目，无需办理环评手续。</w:t>
      </w:r>
    </w:p>
    <w:p w14:paraId="0C37C252">
      <w:pPr>
        <w:spacing w:line="360" w:lineRule="auto"/>
        <w:ind w:firstLine="480"/>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企业拟投资1090万元，租赁路联高新材料有限公司内2500平方米的闲置厂房组织生产，购置注塑机、烘干机、粉碎机等设备，项目完成后预计形成年产400万套万向轮的生产能力。为严格履行环境影响评价制度，企业于2024年12月，委托</w:t>
      </w:r>
      <w:bookmarkStart w:id="0" w:name="OLE_LINK13"/>
      <w:r>
        <w:rPr>
          <w:rFonts w:hint="eastAsia" w:ascii="Times New Roman" w:hAnsi="Times New Roman"/>
          <w:color w:val="auto"/>
          <w:sz w:val="24"/>
          <w:highlight w:val="none"/>
          <w:lang w:val="en-US" w:eastAsia="zh-CN"/>
        </w:rPr>
        <w:t>浙江仕远环境科技有限公司编制完成了</w:t>
      </w:r>
      <w:bookmarkEnd w:id="0"/>
      <w:r>
        <w:rPr>
          <w:rFonts w:hint="eastAsia" w:ascii="Times New Roman" w:hAnsi="Times New Roman"/>
          <w:color w:val="auto"/>
          <w:sz w:val="24"/>
          <w:highlight w:val="none"/>
          <w:lang w:val="en-US" w:eastAsia="zh-CN"/>
        </w:rPr>
        <w:t>《安吉德腾家居有限公司年产400万套万向轮迁建项目环境影响登记表》，并于2024年12月20日通过了湖州市生态环境局安吉分局的备案，备案号为：33052320240082。企业于2025年4月委托浙江仕远环境科技有限公司编制完成了《安吉德腾家居有限公司突发环境事件应急预案（简本）》，于2025年4月7日通过安吉县环境应急与事故调查中心备案，备案编号为330523-2025-056-L。企业已完成固定污染源排污登记，登记编号为：91330523MA7D964F5Y001Z。</w:t>
      </w:r>
    </w:p>
    <w:p w14:paraId="72DD9EEC">
      <w:pPr>
        <w:spacing w:line="360" w:lineRule="auto"/>
        <w:ind w:firstLine="472" w:firstLineChars="200"/>
        <w:rPr>
          <w:rFonts w:hint="eastAsia" w:ascii="Times New Roman" w:hAnsi="Times New Roman"/>
          <w:color w:val="auto"/>
          <w:spacing w:val="-2"/>
          <w:sz w:val="24"/>
          <w:lang w:val="en-US" w:eastAsia="zh-CN"/>
        </w:rPr>
      </w:pPr>
      <w:r>
        <w:rPr>
          <w:rFonts w:hint="eastAsia" w:ascii="Times New Roman" w:hAnsi="Times New Roman"/>
          <w:color w:val="auto"/>
          <w:spacing w:val="-2"/>
          <w:sz w:val="24"/>
          <w:lang w:val="en-US" w:eastAsia="zh-CN"/>
        </w:rPr>
        <w:t>本项目于2024年12月21日开工建设进行设备安装，于2024年12月31日竣工，于2024年12月31日进行设备调试，调试后进入试生产阶段。本项目实际总投资1090万元，其中环保投资25万元，约占项目总投资的2.3％。</w:t>
      </w:r>
    </w:p>
    <w:p w14:paraId="3FE6995D">
      <w:pPr>
        <w:spacing w:line="360" w:lineRule="auto"/>
        <w:ind w:firstLine="480" w:firstLineChars="200"/>
        <w:rPr>
          <w:rFonts w:hint="default" w:ascii="Times New Roman" w:hAnsi="Times New Roman" w:eastAsia="宋体"/>
          <w:color w:val="auto"/>
          <w:sz w:val="24"/>
          <w:highlight w:val="none"/>
          <w:lang w:val="en-US" w:eastAsia="zh-CN"/>
        </w:rPr>
      </w:pPr>
      <w:r>
        <w:rPr>
          <w:rFonts w:hint="default" w:ascii="Times New Roman" w:hAnsi="Times New Roman" w:eastAsia="宋体" w:cs="Times New Roman"/>
          <w:color w:val="auto"/>
          <w:kern w:val="0"/>
          <w:sz w:val="24"/>
          <w:highlight w:val="none"/>
          <w:lang w:val="en-US" w:eastAsia="zh-CN"/>
        </w:rPr>
        <w:t>企业</w:t>
      </w:r>
      <w:r>
        <w:rPr>
          <w:rFonts w:hint="default" w:ascii="Times New Roman" w:hAnsi="Times New Roman" w:eastAsia="宋体" w:cs="Times New Roman"/>
          <w:color w:val="auto"/>
          <w:kern w:val="0"/>
          <w:sz w:val="24"/>
          <w:highlight w:val="none"/>
        </w:rPr>
        <w:t>于202</w:t>
      </w:r>
      <w:r>
        <w:rPr>
          <w:rFonts w:hint="eastAsia" w:ascii="Times New Roman" w:hAnsi="Times New Roman"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rPr>
        <w:t>月组织验收工作事宜，企业委托</w:t>
      </w:r>
      <w:r>
        <w:rPr>
          <w:rFonts w:hint="eastAsia" w:ascii="Times New Roman" w:hAnsi="Times New Roman" w:eastAsia="宋体" w:cs="Times New Roman"/>
          <w:color w:val="auto"/>
          <w:sz w:val="24"/>
          <w:szCs w:val="24"/>
          <w:highlight w:val="none"/>
          <w:lang w:val="en-US" w:eastAsia="zh-CN"/>
        </w:rPr>
        <w:t>湖州天亿环境检测有限公司</w:t>
      </w:r>
      <w:r>
        <w:rPr>
          <w:rFonts w:hint="eastAsia" w:ascii="Times New Roman" w:hAnsi="Times New Roman" w:cs="Times New Roman"/>
          <w:color w:val="auto"/>
          <w:sz w:val="24"/>
          <w:szCs w:val="24"/>
          <w:highlight w:val="none"/>
          <w:lang w:val="en-US" w:eastAsia="zh-CN"/>
        </w:rPr>
        <w:t>于2025年3月24日-2025年3月27日</w:t>
      </w:r>
      <w:r>
        <w:rPr>
          <w:rFonts w:hint="default" w:ascii="Times New Roman" w:hAnsi="Times New Roman" w:eastAsia="宋体" w:cs="Times New Roman"/>
          <w:color w:val="auto"/>
          <w:kern w:val="0"/>
          <w:sz w:val="24"/>
          <w:highlight w:val="none"/>
        </w:rPr>
        <w:t>对本项目进行了环境保护设施验收监测，</w:t>
      </w:r>
      <w:r>
        <w:rPr>
          <w:rFonts w:hint="default" w:ascii="Times New Roman" w:hAnsi="Times New Roman" w:eastAsia="宋体"/>
          <w:color w:val="auto"/>
          <w:sz w:val="24"/>
          <w:highlight w:val="none"/>
          <w:lang w:val="en-US" w:eastAsia="zh-CN"/>
        </w:rPr>
        <w:t>通过对该工程</w:t>
      </w:r>
      <w:r>
        <w:rPr>
          <w:rFonts w:hint="eastAsia" w:ascii="Times New Roman" w:hAnsi="Times New Roman"/>
          <w:color w:val="auto"/>
          <w:sz w:val="24"/>
          <w:highlight w:val="none"/>
          <w:lang w:val="en-US" w:eastAsia="zh-CN"/>
        </w:rPr>
        <w:t>“</w:t>
      </w:r>
      <w:r>
        <w:rPr>
          <w:rFonts w:hint="default" w:ascii="Times New Roman" w:hAnsi="Times New Roman" w:eastAsia="宋体"/>
          <w:color w:val="auto"/>
          <w:sz w:val="24"/>
          <w:highlight w:val="none"/>
          <w:lang w:val="en-US" w:eastAsia="zh-CN"/>
        </w:rPr>
        <w:t>三同时</w:t>
      </w:r>
      <w:r>
        <w:rPr>
          <w:rFonts w:hint="eastAsia" w:ascii="Times New Roman" w:hAnsi="Times New Roman"/>
          <w:color w:val="auto"/>
          <w:sz w:val="24"/>
          <w:highlight w:val="none"/>
          <w:lang w:val="en-US" w:eastAsia="zh-CN"/>
        </w:rPr>
        <w:t>”</w:t>
      </w:r>
      <w:r>
        <w:rPr>
          <w:rFonts w:hint="default" w:ascii="Times New Roman" w:hAnsi="Times New Roman" w:eastAsia="宋体"/>
          <w:color w:val="auto"/>
          <w:sz w:val="24"/>
          <w:highlight w:val="none"/>
          <w:lang w:val="en-US" w:eastAsia="zh-CN"/>
        </w:rPr>
        <w:t>执行情况和效果的检查并依据监测结果及相应的国家有关环境标准，</w:t>
      </w:r>
      <w:r>
        <w:rPr>
          <w:rFonts w:hint="eastAsia" w:ascii="Times New Roman" w:hAnsi="Times New Roman"/>
          <w:color w:val="auto"/>
          <w:sz w:val="24"/>
          <w:highlight w:val="none"/>
          <w:lang w:val="en-US" w:eastAsia="zh-CN"/>
        </w:rPr>
        <w:t>于2025年4月</w:t>
      </w:r>
      <w:r>
        <w:rPr>
          <w:rFonts w:hint="default" w:ascii="Times New Roman" w:hAnsi="Times New Roman" w:eastAsia="宋体"/>
          <w:color w:val="auto"/>
          <w:sz w:val="24"/>
          <w:highlight w:val="none"/>
          <w:lang w:val="en-US" w:eastAsia="zh-CN"/>
        </w:rPr>
        <w:t>编制了本项目竣工环境保护验收监测报告</w:t>
      </w:r>
      <w:r>
        <w:rPr>
          <w:rFonts w:hint="eastAsia" w:ascii="Times New Roman" w:hAnsi="Times New Roman" w:eastAsia="宋体"/>
          <w:color w:val="auto"/>
          <w:sz w:val="24"/>
          <w:highlight w:val="none"/>
          <w:lang w:val="en-US" w:eastAsia="zh-CN"/>
        </w:rPr>
        <w:t>表</w:t>
      </w:r>
      <w:r>
        <w:rPr>
          <w:rFonts w:hint="default" w:ascii="Times New Roman" w:hAnsi="Times New Roman" w:eastAsia="宋体"/>
          <w:color w:val="auto"/>
          <w:sz w:val="24"/>
          <w:highlight w:val="none"/>
          <w:lang w:val="en-US" w:eastAsia="zh-CN"/>
        </w:rPr>
        <w:t>。</w:t>
      </w:r>
    </w:p>
    <w:p w14:paraId="0812877D">
      <w:pPr>
        <w:keepNext w:val="0"/>
        <w:keepLines w:val="0"/>
        <w:suppressLineNumbers w:val="0"/>
        <w:shd w:val="clear"/>
        <w:spacing w:before="0" w:beforeAutospacing="0" w:after="0" w:afterAutospacing="0" w:line="360" w:lineRule="auto"/>
        <w:ind w:left="0" w:right="0" w:firstLine="480" w:firstLineChars="200"/>
        <w:rPr>
          <w:rFonts w:hint="default" w:ascii="Times New Roman" w:hAnsi="Times New Roman" w:eastAsia="宋体"/>
          <w:color w:val="auto"/>
          <w:sz w:val="24"/>
          <w:highlight w:val="none"/>
        </w:rPr>
      </w:pPr>
      <w:r>
        <w:rPr>
          <w:rFonts w:hint="eastAsia" w:ascii="Times New Roman" w:hAnsi="Times New Roman"/>
          <w:color w:val="auto"/>
          <w:sz w:val="24"/>
          <w:highlight w:val="none"/>
          <w:lang w:val="en-US" w:eastAsia="zh-CN"/>
        </w:rPr>
        <w:t>本次针对</w:t>
      </w:r>
      <w:r>
        <w:rPr>
          <w:rFonts w:hint="default" w:ascii="Times New Roman" w:hAnsi="Times New Roman" w:eastAsia="宋体"/>
          <w:color w:val="auto"/>
          <w:sz w:val="24"/>
          <w:highlight w:val="none"/>
        </w:rPr>
        <w:t>企业在产的</w:t>
      </w:r>
      <w:r>
        <w:rPr>
          <w:rFonts w:hint="eastAsia" w:ascii="Times New Roman" w:hAnsi="Times New Roman"/>
          <w:color w:val="auto"/>
          <w:sz w:val="24"/>
          <w:highlight w:val="none"/>
          <w:lang w:val="en-US" w:eastAsia="zh-CN"/>
        </w:rPr>
        <w:t>年产400万套万向轮迁建项目及其配套工程、环保工程进行竣工环境保护“三同时”验收</w:t>
      </w:r>
      <w:r>
        <w:rPr>
          <w:rFonts w:hint="default" w:ascii="Times New Roman" w:hAnsi="Times New Roman" w:eastAsia="宋体"/>
          <w:color w:val="auto"/>
          <w:kern w:val="0"/>
          <w:sz w:val="24"/>
          <w:highlight w:val="none"/>
        </w:rPr>
        <w:t>。</w:t>
      </w:r>
    </w:p>
    <w:p w14:paraId="32E0328B">
      <w:pPr>
        <w:spacing w:line="360" w:lineRule="auto"/>
        <w:ind w:firstLine="482" w:firstLineChars="200"/>
        <w:outlineLvl w:val="0"/>
        <w:rPr>
          <w:rFonts w:hint="default" w:ascii="Times New Roman" w:hAnsi="Times New Roman" w:eastAsia="宋体" w:cs="Times New Roman"/>
          <w:b w:val="0"/>
          <w:bCs/>
          <w:color w:val="auto"/>
          <w:kern w:val="0"/>
          <w:sz w:val="24"/>
          <w:highlight w:val="none"/>
        </w:rPr>
      </w:pPr>
      <w:r>
        <w:rPr>
          <w:rFonts w:hint="default" w:ascii="Times New Roman" w:hAnsi="Times New Roman" w:eastAsia="宋体" w:cs="Times New Roman"/>
          <w:b/>
          <w:color w:val="auto"/>
          <w:kern w:val="0"/>
          <w:sz w:val="24"/>
          <w:highlight w:val="none"/>
        </w:rPr>
        <w:t>二、工程变动情况</w:t>
      </w:r>
    </w:p>
    <w:p w14:paraId="7CCD4D13">
      <w:pPr>
        <w:spacing w:line="360" w:lineRule="auto"/>
        <w:ind w:firstLine="480" w:firstLineChars="200"/>
        <w:outlineLvl w:val="0"/>
        <w:rPr>
          <w:rFonts w:hint="eastAsia" w:ascii="Times New Roman" w:hAnsi="Times New Roman" w:eastAsia="宋体" w:cs="Times New Roman"/>
          <w:b w:val="0"/>
          <w:bCs/>
          <w:color w:val="auto"/>
          <w:kern w:val="0"/>
          <w:sz w:val="24"/>
          <w:szCs w:val="24"/>
          <w:highlight w:val="none"/>
          <w:lang w:eastAsia="zh-CN"/>
        </w:rPr>
      </w:pPr>
      <w:bookmarkStart w:id="1" w:name="_Toc498351802"/>
      <w:bookmarkStart w:id="2" w:name="_Toc498700049"/>
      <w:bookmarkStart w:id="3" w:name="_Toc498412723"/>
      <w:r>
        <w:rPr>
          <w:rFonts w:ascii="Times New Roman" w:hAnsi="Times New Roman" w:eastAsia="宋体" w:cs="Times New Roman"/>
          <w:b w:val="0"/>
          <w:bCs/>
          <w:color w:val="auto"/>
          <w:kern w:val="0"/>
          <w:sz w:val="24"/>
          <w:szCs w:val="24"/>
          <w:highlight w:val="none"/>
        </w:rPr>
        <w:t>经现场踏勘并对照环评文件</w:t>
      </w:r>
      <w:r>
        <w:rPr>
          <w:rFonts w:hint="eastAsia" w:ascii="Times New Roman" w:hAnsi="Times New Roman" w:cs="Times New Roman"/>
          <w:b w:val="0"/>
          <w:bCs/>
          <w:color w:val="auto"/>
          <w:kern w:val="0"/>
          <w:sz w:val="24"/>
          <w:szCs w:val="24"/>
          <w:highlight w:val="none"/>
          <w:lang w:eastAsia="zh-CN"/>
        </w:rPr>
        <w:t>，</w:t>
      </w:r>
      <w:r>
        <w:rPr>
          <w:rFonts w:hint="eastAsia" w:ascii="Times New Roman" w:hAnsi="Times New Roman" w:cs="Times New Roman"/>
          <w:b w:val="0"/>
          <w:bCs/>
          <w:color w:val="auto"/>
          <w:kern w:val="0"/>
          <w:sz w:val="24"/>
          <w:szCs w:val="24"/>
          <w:highlight w:val="none"/>
          <w:lang w:val="en-US" w:eastAsia="zh-CN"/>
        </w:rPr>
        <w:t>主要变动情况如下</w:t>
      </w:r>
      <w:r>
        <w:rPr>
          <w:rFonts w:hint="eastAsia" w:ascii="Times New Roman" w:hAnsi="Times New Roman" w:eastAsia="宋体" w:cs="Times New Roman"/>
          <w:b w:val="0"/>
          <w:bCs/>
          <w:color w:val="auto"/>
          <w:kern w:val="0"/>
          <w:sz w:val="24"/>
          <w:szCs w:val="24"/>
          <w:highlight w:val="none"/>
          <w:lang w:eastAsia="zh-CN"/>
        </w:rPr>
        <w:t>：</w:t>
      </w:r>
    </w:p>
    <w:p w14:paraId="357EB625">
      <w:pPr>
        <w:spacing w:line="360" w:lineRule="auto"/>
        <w:ind w:firstLine="480" w:firstLineChars="200"/>
        <w:outlineLvl w:val="0"/>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1、建设地点与环评审批一致；</w:t>
      </w:r>
      <w:bookmarkStart w:id="4" w:name="OLE_LINK16"/>
      <w:r>
        <w:rPr>
          <w:rFonts w:hint="eastAsia" w:ascii="Times New Roman" w:hAnsi="Times New Roman" w:cs="Times New Roman"/>
          <w:b w:val="0"/>
          <w:bCs/>
          <w:color w:val="auto"/>
          <w:sz w:val="24"/>
          <w:szCs w:val="24"/>
          <w:highlight w:val="none"/>
          <w:lang w:val="en-US" w:eastAsia="zh-CN"/>
        </w:rPr>
        <w:t>总平面布置与环评审批部分不一致，变化如下：环评审批车间内由北向南、由西向东依次为危废仓库、粉碎区、固废分拣中心、一般固废暂存区、原料堆放区、注塑区、成品仓库、办公区、半成品仓库、包装、人工组装区、组装区。冷却塔位于车间外西南侧；实际车间内由北向南、由西向东依次为粉碎区、固废分拣中心、一般固废暂存区、原料堆放区、注塑区、成品仓库、办公区、半成品仓库、包装、人工组装区、危废仓库、组装区。冷却塔位于车间外西南侧。总建筑面积与环评审批一致。上述变化未导致环境防护距离范围变化且新增敏感点的情况。</w:t>
      </w:r>
      <w:bookmarkEnd w:id="4"/>
    </w:p>
    <w:p w14:paraId="6D169C2F">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olor w:val="auto"/>
          <w:kern w:val="0"/>
          <w:sz w:val="24"/>
          <w:szCs w:val="24"/>
          <w:highlight w:val="none"/>
          <w:lang w:val="en-US" w:eastAsia="zh-CN"/>
        </w:rPr>
        <w:t>综上所述，</w:t>
      </w:r>
      <w:r>
        <w:rPr>
          <w:rFonts w:ascii="Times New Roman" w:hAnsi="Times New Roman" w:eastAsia="宋体"/>
          <w:color w:val="auto"/>
          <w:kern w:val="0"/>
          <w:sz w:val="24"/>
          <w:szCs w:val="24"/>
          <w:highlight w:val="none"/>
        </w:rPr>
        <w:t>对照生态环境部 环办环评函〔2020〕688号关于印发《污染影响类建设项目重大变动清单</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试行</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》的通知相关内容，</w:t>
      </w:r>
      <w:r>
        <w:rPr>
          <w:rFonts w:hint="eastAsia" w:ascii="Times New Roman" w:hAnsi="Times New Roman" w:eastAsia="宋体"/>
          <w:color w:val="auto"/>
          <w:kern w:val="0"/>
          <w:sz w:val="24"/>
          <w:szCs w:val="24"/>
          <w:highlight w:val="none"/>
          <w:lang w:val="en-US" w:eastAsia="zh-CN"/>
        </w:rPr>
        <w:t>企业</w:t>
      </w:r>
      <w:r>
        <w:rPr>
          <w:rFonts w:ascii="Times New Roman" w:hAnsi="Times New Roman" w:eastAsia="宋体"/>
          <w:color w:val="auto"/>
          <w:kern w:val="0"/>
          <w:sz w:val="24"/>
          <w:szCs w:val="24"/>
          <w:highlight w:val="none"/>
        </w:rPr>
        <w:t>不属于重大变动。</w:t>
      </w:r>
      <w:bookmarkEnd w:id="1"/>
      <w:bookmarkEnd w:id="2"/>
      <w:bookmarkEnd w:id="3"/>
    </w:p>
    <w:p w14:paraId="5571469F">
      <w:pPr>
        <w:spacing w:line="360" w:lineRule="auto"/>
        <w:ind w:firstLine="602" w:firstLineChars="2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三、环境保护设施建设情况</w:t>
      </w:r>
    </w:p>
    <w:p w14:paraId="383E2C2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highlight w:val="none"/>
        </w:rPr>
        <w:t>（一）</w:t>
      </w:r>
      <w:r>
        <w:rPr>
          <w:rStyle w:val="13"/>
          <w:rFonts w:hint="default" w:ascii="Times New Roman" w:hAnsi="Times New Roman" w:eastAsia="宋体" w:cs="Times New Roman"/>
          <w:b w:val="0"/>
          <w:color w:val="auto"/>
          <w:sz w:val="24"/>
          <w:szCs w:val="24"/>
          <w:highlight w:val="none"/>
          <w:vertAlign w:val="baseline"/>
          <w:lang w:val="en-US" w:eastAsia="zh-CN"/>
        </w:rPr>
        <w:t>废水：</w:t>
      </w:r>
      <w:r>
        <w:rPr>
          <w:rFonts w:hint="default" w:ascii="Times New Roman" w:hAnsi="Times New Roman" w:eastAsia="宋体" w:cs="Times New Roman"/>
          <w:color w:val="auto"/>
          <w:sz w:val="24"/>
          <w:szCs w:val="24"/>
          <w:lang w:val="en-US" w:eastAsia="zh-CN"/>
        </w:rPr>
        <w:t>本项目营运过程产生的废水主要是生活污水和冷却水。</w:t>
      </w:r>
    </w:p>
    <w:p w14:paraId="7515659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生活污水：经化粪池预处理后，纳管至安吉净源污水处理有限公司城北污水处理厂集中处理，达标排放。</w:t>
      </w:r>
    </w:p>
    <w:p w14:paraId="71EA5F1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冷却水：经冷却塔冷却水后，暂存于冷却水池循环使用。</w:t>
      </w:r>
    </w:p>
    <w:p w14:paraId="7BBE5D8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（二）废气：本项目营运过程产生的废气主要是注塑废气。</w:t>
      </w:r>
    </w:p>
    <w:p w14:paraId="500965D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注塑废气：在每台注塑机的注塑出口处设置密闭罩，收集后经二级活性炭吸附处理，尾气通过一根35m排气筒DA001排放。</w:t>
      </w:r>
    </w:p>
    <w:p w14:paraId="5E98A7B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3"/>
          <w:rFonts w:hint="default" w:ascii="Times New Roman" w:hAnsi="Times New Roman" w:eastAsia="宋体" w:cs="Times New Roman"/>
          <w:b w:val="0"/>
          <w:color w:val="auto"/>
          <w:sz w:val="24"/>
          <w:szCs w:val="24"/>
          <w:highlight w:val="none"/>
          <w:vertAlign w:val="baseline"/>
          <w:lang w:val="en-US" w:eastAsia="zh-CN"/>
        </w:rPr>
      </w:pPr>
      <w:r>
        <w:rPr>
          <w:rFonts w:hint="eastAsia" w:ascii="Times New Roman" w:hAnsi="Times New Roman" w:eastAsia="宋体" w:cs="Times New Roman"/>
          <w:b w:val="0"/>
          <w:color w:val="auto"/>
          <w:kern w:val="2"/>
          <w:sz w:val="24"/>
          <w:szCs w:val="24"/>
          <w:vertAlign w:val="baseline"/>
          <w:lang w:val="en-US" w:eastAsia="zh-CN" w:bidi="ar-SA"/>
        </w:rPr>
        <w:t>（</w:t>
      </w:r>
      <w:r>
        <w:rPr>
          <w:rFonts w:hint="eastAsia" w:ascii="Times New Roman" w:hAnsi="Times New Roman" w:cs="Times New Roman"/>
          <w:b w:val="0"/>
          <w:color w:val="auto"/>
          <w:kern w:val="2"/>
          <w:sz w:val="24"/>
          <w:szCs w:val="24"/>
          <w:vertAlign w:val="baseline"/>
          <w:lang w:val="en-US" w:eastAsia="zh-CN" w:bidi="ar-SA"/>
        </w:rPr>
        <w:t>三</w:t>
      </w:r>
      <w:r>
        <w:rPr>
          <w:rFonts w:hint="eastAsia" w:ascii="Times New Roman" w:hAnsi="Times New Roman" w:eastAsia="宋体" w:cs="Times New Roman"/>
          <w:b w:val="0"/>
          <w:color w:val="auto"/>
          <w:kern w:val="2"/>
          <w:sz w:val="24"/>
          <w:szCs w:val="24"/>
          <w:vertAlign w:val="baseline"/>
          <w:lang w:val="en-US" w:eastAsia="zh-CN" w:bidi="ar-SA"/>
        </w:rPr>
        <w:t>）</w:t>
      </w:r>
      <w:r>
        <w:rPr>
          <w:rFonts w:hint="default" w:ascii="Times New Roman" w:hAnsi="Times New Roman" w:eastAsia="宋体" w:cs="Times New Roman"/>
          <w:color w:val="auto"/>
          <w:kern w:val="0"/>
          <w:sz w:val="24"/>
          <w:highlight w:val="none"/>
        </w:rPr>
        <w:t>噪声：</w:t>
      </w:r>
      <w:r>
        <w:rPr>
          <w:rFonts w:hint="eastAsia" w:ascii="Times New Roman" w:hAnsi="Times New Roman" w:cs="Times New Roman"/>
          <w:color w:val="auto"/>
          <w:kern w:val="0"/>
          <w:sz w:val="24"/>
          <w:highlight w:val="none"/>
          <w:lang w:val="en-US" w:eastAsia="zh-CN"/>
        </w:rPr>
        <w:t>本</w:t>
      </w:r>
      <w:r>
        <w:rPr>
          <w:rFonts w:hint="eastAsia"/>
          <w:color w:val="auto"/>
          <w:sz w:val="24"/>
          <w:highlight w:val="none"/>
        </w:rPr>
        <w:t>项目主要噪声为各种生产设备运行产生的噪声</w:t>
      </w:r>
      <w:r>
        <w:rPr>
          <w:rFonts w:hint="eastAsia"/>
          <w:color w:val="auto"/>
          <w:sz w:val="24"/>
          <w:highlight w:val="none"/>
          <w:lang w:eastAsia="zh-CN"/>
        </w:rPr>
        <w:t>。</w:t>
      </w:r>
    </w:p>
    <w:p w14:paraId="6A44ED5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olor w:val="auto"/>
          <w:sz w:val="24"/>
          <w:szCs w:val="32"/>
          <w:highlight w:val="none"/>
          <w:lang w:val="en-US" w:eastAsia="zh-CN"/>
        </w:rPr>
        <w:t>本项目实行两班制生产，厂区噪声源主要为生产设备及辅助设施运行噪声，通过选用噪声低、振动小的设备；对风机等高噪声设备加设减振垫；合理布置设备位置；车间安装隔声门窗，生产时关闭门窗；加强生产现场管理和设备养护，减少或降低人为噪声。</w:t>
      </w:r>
    </w:p>
    <w:p w14:paraId="7AE76E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四</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highlight w:val="none"/>
          <w:lang w:val="en-US" w:eastAsia="zh-CN"/>
        </w:rPr>
        <w:t>固废：本项目营运过程产生的固体废物可分为生活垃圾、一般固废和危险废物。</w:t>
      </w:r>
    </w:p>
    <w:p w14:paraId="7FB69D5B">
      <w:pPr>
        <w:keepNext w:val="0"/>
        <w:keepLines w:val="0"/>
        <w:widowControl w:val="0"/>
        <w:suppressLineNumbers w:val="0"/>
        <w:autoSpaceDE w:val="0"/>
        <w:autoSpaceDN/>
        <w:spacing w:before="0" w:beforeAutospacing="0" w:after="0" w:afterLines="0" w:afterAutospacing="0" w:line="360" w:lineRule="auto"/>
        <w:ind w:left="0" w:leftChars="0" w:right="0" w:firstLine="480" w:firstLineChars="200"/>
        <w:jc w:val="both"/>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本项目一般固废仓库位于</w:t>
      </w:r>
      <w:r>
        <w:rPr>
          <w:rFonts w:hint="eastAsia" w:ascii="Times New Roman" w:hAnsi="Times New Roman" w:cs="宋体"/>
          <w:color w:val="auto"/>
          <w:kern w:val="2"/>
          <w:sz w:val="24"/>
          <w:szCs w:val="24"/>
          <w:lang w:val="en-US" w:eastAsia="zh-CN" w:bidi="ar"/>
        </w:rPr>
        <w:t>车间北侧</w:t>
      </w:r>
      <w:r>
        <w:rPr>
          <w:rFonts w:hint="eastAsia" w:ascii="Times New Roman" w:hAnsi="Times New Roman" w:eastAsia="宋体" w:cs="宋体"/>
          <w:color w:val="auto"/>
          <w:kern w:val="2"/>
          <w:sz w:val="24"/>
          <w:szCs w:val="24"/>
          <w:lang w:val="en-US" w:eastAsia="zh-CN" w:bidi="ar"/>
        </w:rPr>
        <w:t>，存放废料、废塑料袋，</w:t>
      </w:r>
      <w:r>
        <w:rPr>
          <w:rFonts w:hint="default" w:ascii="Times New Roman" w:hAnsi="Times New Roman" w:eastAsia="宋体" w:cs="Times New Roman"/>
          <w:color w:val="auto"/>
          <w:kern w:val="2"/>
          <w:sz w:val="24"/>
          <w:szCs w:val="24"/>
          <w:lang w:val="en-US" w:eastAsia="zh-CN" w:bidi="ar"/>
        </w:rPr>
        <w:t>暂存点为水泥地面，能做到防扬散、防流失、防止雨水的冲刷及防渗漏等相关要求，各类一般废物定置分类存放；</w:t>
      </w:r>
    </w:p>
    <w:p w14:paraId="2087458E">
      <w:pPr>
        <w:keepNext w:val="0"/>
        <w:keepLines w:val="0"/>
        <w:widowControl w:val="0"/>
        <w:suppressLineNumbers w:val="0"/>
        <w:autoSpaceDE w:val="0"/>
        <w:autoSpaceDN/>
        <w:spacing w:before="0" w:beforeAutospacing="0" w:after="0" w:afterLines="0" w:afterAutospacing="0" w:line="360" w:lineRule="auto"/>
        <w:ind w:left="0" w:leftChars="0" w:right="0" w:firstLine="480" w:firstLineChars="200"/>
        <w:jc w:val="both"/>
        <w:rPr>
          <w:rFonts w:hint="eastAsia" w:ascii="Times New Roman" w:hAnsi="Times New Roman" w:eastAsia="宋体" w:cs="宋体"/>
          <w:color w:val="auto"/>
          <w:kern w:val="2"/>
          <w:sz w:val="24"/>
          <w:szCs w:val="24"/>
          <w:lang w:val="en-US" w:eastAsia="zh-CN" w:bidi="ar"/>
        </w:rPr>
      </w:pPr>
      <w:r>
        <w:rPr>
          <w:rFonts w:hint="default" w:ascii="Times New Roman" w:hAnsi="Times New Roman" w:eastAsia="宋体" w:cs="Times New Roman"/>
          <w:color w:val="auto"/>
          <w:sz w:val="24"/>
          <w:szCs w:val="24"/>
          <w:lang w:val="en-US" w:eastAsia="zh-CN"/>
        </w:rPr>
        <w:t>本项目危废仓库设置于</w:t>
      </w:r>
      <w:r>
        <w:rPr>
          <w:rFonts w:hint="eastAsia" w:ascii="Times New Roman" w:hAnsi="Times New Roman" w:cs="Times New Roman"/>
          <w:color w:val="auto"/>
          <w:sz w:val="24"/>
          <w:szCs w:val="24"/>
          <w:lang w:val="en-US" w:eastAsia="zh-CN"/>
        </w:rPr>
        <w:t>车间南</w:t>
      </w:r>
      <w:r>
        <w:rPr>
          <w:rFonts w:hint="default" w:ascii="Times New Roman" w:hAnsi="Times New Roman" w:eastAsia="宋体" w:cs="Times New Roman"/>
          <w:color w:val="auto"/>
          <w:sz w:val="24"/>
          <w:szCs w:val="24"/>
          <w:lang w:val="en-US" w:eastAsia="zh-CN"/>
        </w:rPr>
        <w:t>侧单独的密闭房间内，存放</w:t>
      </w:r>
      <w:r>
        <w:rPr>
          <w:rFonts w:hint="default" w:ascii="Times New Roman" w:hAnsi="Times New Roman" w:eastAsia="宋体" w:cs="Times New Roman"/>
          <w:color w:val="auto"/>
          <w:spacing w:val="9"/>
          <w:sz w:val="24"/>
          <w:szCs w:val="24"/>
          <w:lang w:val="en-US" w:eastAsia="zh-CN"/>
        </w:rPr>
        <w:t>废液压油、废液压油桶、废活性炭</w:t>
      </w:r>
      <w:r>
        <w:rPr>
          <w:rFonts w:hint="default" w:ascii="Times New Roman" w:hAnsi="Times New Roman" w:eastAsia="宋体" w:cs="Times New Roman"/>
          <w:color w:val="auto"/>
          <w:sz w:val="24"/>
          <w:szCs w:val="24"/>
          <w:lang w:val="en-US" w:eastAsia="zh-CN"/>
        </w:rPr>
        <w:t>，面积约</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。危险废物集中收集后在危废仓库暂存，定期交由浙江悦胜环境科技有限公司</w:t>
      </w:r>
      <w:r>
        <w:rPr>
          <w:rFonts w:hint="eastAsia" w:ascii="Times New Roman" w:hAnsi="Times New Roman" w:cs="Times New Roman"/>
          <w:color w:val="auto"/>
          <w:sz w:val="24"/>
          <w:szCs w:val="24"/>
          <w:lang w:val="en-US" w:eastAsia="zh-CN"/>
        </w:rPr>
        <w:t>等</w:t>
      </w:r>
      <w:r>
        <w:rPr>
          <w:rFonts w:hint="default" w:ascii="Times New Roman" w:hAnsi="Times New Roman" w:eastAsia="宋体" w:cs="Times New Roman"/>
          <w:color w:val="auto"/>
          <w:sz w:val="24"/>
          <w:szCs w:val="24"/>
          <w:lang w:val="en-US" w:eastAsia="zh-CN"/>
        </w:rPr>
        <w:t>资质单位安全处置。危废库具备防腐防渗、防雨淋等措施，可以有效防止二次污染，规范建立了危废台账。</w:t>
      </w:r>
    </w:p>
    <w:p w14:paraId="7F677352">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（五）环境风险防范措施：针对可能产生的环境风险，企业设立了事故应急指挥领导小组，并定期开展演练，同时配备了相应的应急物资，包括灭火器，急救箱等。</w:t>
      </w:r>
    </w:p>
    <w:p w14:paraId="151FDE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四、环境保护设施调试监测结果</w:t>
      </w:r>
    </w:p>
    <w:p w14:paraId="1C193513">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kern w:val="0"/>
          <w:sz w:val="24"/>
          <w:highlight w:val="none"/>
          <w:lang w:val="en-US" w:eastAsia="zh-CN"/>
        </w:rPr>
        <w:t>湖州天亿环境检测有限公司</w:t>
      </w:r>
      <w:r>
        <w:rPr>
          <w:rFonts w:hint="default" w:ascii="Times New Roman" w:hAnsi="Times New Roman" w:eastAsia="宋体" w:cs="Times New Roman"/>
          <w:color w:val="auto"/>
          <w:kern w:val="0"/>
          <w:sz w:val="24"/>
          <w:highlight w:val="none"/>
        </w:rPr>
        <w:t>对</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项目进行了环境保护验收监测（报告编号：</w:t>
      </w:r>
      <w:r>
        <w:rPr>
          <w:rFonts w:hint="default" w:ascii="Times New Roman" w:hAnsi="Times New Roman" w:eastAsia="宋体" w:cs="Times New Roman"/>
          <w:snapToGrid/>
          <w:color w:val="auto"/>
          <w:spacing w:val="-3"/>
          <w:kern w:val="2"/>
          <w:sz w:val="24"/>
          <w:szCs w:val="24"/>
          <w:highlight w:val="none"/>
          <w:lang w:val="en-US" w:eastAsia="zh-CN" w:bidi="ar-SA"/>
        </w:rPr>
        <w:t>天亿检测（2025）检304号、天亿检测（2025）检306号</w:t>
      </w:r>
      <w:r>
        <w:rPr>
          <w:rFonts w:hint="default" w:ascii="Times New Roman" w:hAnsi="Times New Roman" w:eastAsia="宋体" w:cs="Times New Roman"/>
          <w:color w:val="auto"/>
          <w:kern w:val="0"/>
          <w:sz w:val="24"/>
          <w:highlight w:val="none"/>
        </w:rPr>
        <w:t>）。监测期间，验收</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时</w:t>
      </w:r>
      <w:r>
        <w:rPr>
          <w:rFonts w:hint="default" w:ascii="Times New Roman" w:hAnsi="Times New Roman" w:eastAsia="宋体" w:cs="Times New Roman"/>
          <w:color w:val="auto"/>
          <w:kern w:val="0"/>
          <w:sz w:val="24"/>
          <w:highlight w:val="none"/>
        </w:rPr>
        <w:t>生产工况正常，符合竣工验收工况负荷要求。</w:t>
      </w:r>
    </w:p>
    <w:p w14:paraId="4D65052A">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（一）环保设施处理效率</w:t>
      </w:r>
    </w:p>
    <w:p w14:paraId="283DC1D5">
      <w:pPr>
        <w:pStyle w:val="7"/>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（1）废水处理设施</w:t>
      </w:r>
    </w:p>
    <w:p w14:paraId="58CE7796">
      <w:pPr>
        <w:pStyle w:val="7"/>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ascii="Times New Roman" w:hAnsi="Times New Roman" w:eastAsia="宋体" w:cs="Times New Roman"/>
          <w:color w:val="auto"/>
          <w:sz w:val="24"/>
          <w:highlight w:val="none"/>
        </w:rPr>
        <w:t>项目</w:t>
      </w:r>
      <w:r>
        <w:rPr>
          <w:rFonts w:hint="eastAsia" w:ascii="Times New Roman" w:hAnsi="Times New Roman" w:cs="Times New Roman"/>
          <w:color w:val="auto"/>
          <w:sz w:val="24"/>
          <w:highlight w:val="none"/>
          <w:lang w:val="en-US" w:eastAsia="zh-CN"/>
        </w:rPr>
        <w:t>无</w:t>
      </w:r>
      <w:r>
        <w:rPr>
          <w:rFonts w:ascii="Times New Roman" w:hAnsi="Times New Roman" w:eastAsia="宋体" w:cs="Times New Roman"/>
          <w:color w:val="auto"/>
          <w:sz w:val="24"/>
          <w:highlight w:val="none"/>
        </w:rPr>
        <w:t>生产废水</w:t>
      </w:r>
      <w:r>
        <w:rPr>
          <w:rFonts w:hint="eastAsia" w:ascii="Times New Roman" w:hAnsi="Times New Roman" w:cs="Times New Roman"/>
          <w:color w:val="auto"/>
          <w:sz w:val="24"/>
          <w:highlight w:val="none"/>
          <w:lang w:val="en-US" w:eastAsia="zh-CN"/>
        </w:rPr>
        <w:t>排放，不涉及</w:t>
      </w:r>
      <w:r>
        <w:rPr>
          <w:rFonts w:ascii="Times New Roman" w:hAnsi="Times New Roman" w:eastAsia="宋体" w:cs="Times New Roman"/>
          <w:color w:val="auto"/>
          <w:sz w:val="24"/>
          <w:highlight w:val="none"/>
        </w:rPr>
        <w:t>废水处理设施处理效率问题。</w:t>
      </w:r>
    </w:p>
    <w:p w14:paraId="19F9BD2E">
      <w:pPr>
        <w:pStyle w:val="7"/>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（2）废气处理设施</w:t>
      </w:r>
    </w:p>
    <w:p w14:paraId="76E4E01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污染物去除效率根据废气处理设施进出口检测数据计算，得到项目配备废气处理设施对排气筒污染物的去除效率，具体见下表。</w:t>
      </w:r>
    </w:p>
    <w:p w14:paraId="243C2E9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ascii="Times New Roman" w:hAnsi="Times New Roman" w:eastAsia="宋体" w:cs="Times New Roman"/>
          <w:b/>
          <w:bCs/>
          <w:color w:val="auto"/>
          <w:kern w:val="2"/>
          <w:sz w:val="21"/>
          <w:szCs w:val="21"/>
          <w:highlight w:val="none"/>
          <w:lang w:val="en-US" w:eastAsia="zh-CN" w:bidi="ar-SA"/>
        </w:rPr>
        <w:t xml:space="preserve">1  </w:t>
      </w:r>
      <w:r>
        <w:rPr>
          <w:rFonts w:hint="default" w:ascii="Times New Roman" w:hAnsi="Times New Roman" w:eastAsia="宋体" w:cs="Times New Roman"/>
          <w:b/>
          <w:bCs/>
          <w:color w:val="auto"/>
          <w:kern w:val="2"/>
          <w:sz w:val="21"/>
          <w:szCs w:val="21"/>
          <w:highlight w:val="none"/>
          <w:lang w:val="en-US" w:eastAsia="zh-CN" w:bidi="ar-SA"/>
        </w:rPr>
        <w:t>废气处理效果一览表</w:t>
      </w:r>
    </w:p>
    <w:tbl>
      <w:tblPr>
        <w:tblStyle w:val="1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567"/>
        <w:gridCol w:w="1373"/>
        <w:gridCol w:w="1427"/>
        <w:gridCol w:w="1614"/>
        <w:gridCol w:w="1330"/>
        <w:gridCol w:w="1180"/>
      </w:tblGrid>
      <w:tr w14:paraId="3109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4" w:type="dxa"/>
            <w:vMerge w:val="restart"/>
            <w:vAlign w:val="center"/>
          </w:tcPr>
          <w:p w14:paraId="262EBFF7">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排气筒编号</w:t>
            </w:r>
          </w:p>
        </w:tc>
        <w:tc>
          <w:tcPr>
            <w:tcW w:w="1568" w:type="dxa"/>
            <w:vMerge w:val="restart"/>
            <w:vAlign w:val="center"/>
          </w:tcPr>
          <w:p w14:paraId="79CF94D0">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废气处理设施</w:t>
            </w:r>
          </w:p>
        </w:tc>
        <w:tc>
          <w:tcPr>
            <w:tcW w:w="1373" w:type="dxa"/>
            <w:vMerge w:val="restart"/>
            <w:vAlign w:val="center"/>
          </w:tcPr>
          <w:p w14:paraId="4E7C299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检测日期</w:t>
            </w:r>
          </w:p>
        </w:tc>
        <w:tc>
          <w:tcPr>
            <w:tcW w:w="1427" w:type="dxa"/>
            <w:vMerge w:val="restart"/>
            <w:vAlign w:val="center"/>
          </w:tcPr>
          <w:p w14:paraId="1C5934F9">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污染物</w:t>
            </w:r>
          </w:p>
        </w:tc>
        <w:tc>
          <w:tcPr>
            <w:tcW w:w="1614" w:type="dxa"/>
            <w:vAlign w:val="center"/>
          </w:tcPr>
          <w:p w14:paraId="5749D418">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进口</w:t>
            </w:r>
          </w:p>
        </w:tc>
        <w:tc>
          <w:tcPr>
            <w:tcW w:w="1330" w:type="dxa"/>
            <w:vAlign w:val="center"/>
          </w:tcPr>
          <w:p w14:paraId="42EBC9E6">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出口</w:t>
            </w:r>
          </w:p>
        </w:tc>
        <w:tc>
          <w:tcPr>
            <w:tcW w:w="1180" w:type="dxa"/>
            <w:vMerge w:val="restart"/>
            <w:vAlign w:val="center"/>
          </w:tcPr>
          <w:p w14:paraId="735E17ED">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去除效率</w:t>
            </w:r>
          </w:p>
        </w:tc>
      </w:tr>
      <w:tr w14:paraId="5ABD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4" w:type="dxa"/>
            <w:vMerge w:val="continue"/>
            <w:vAlign w:val="center"/>
          </w:tcPr>
          <w:p w14:paraId="448A3F2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568" w:type="dxa"/>
            <w:vMerge w:val="continue"/>
            <w:vAlign w:val="center"/>
          </w:tcPr>
          <w:p w14:paraId="4DE71E28">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373" w:type="dxa"/>
            <w:vMerge w:val="continue"/>
            <w:vAlign w:val="center"/>
          </w:tcPr>
          <w:p w14:paraId="471D5FD7">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427" w:type="dxa"/>
            <w:vMerge w:val="continue"/>
            <w:vAlign w:val="center"/>
          </w:tcPr>
          <w:p w14:paraId="3B073528">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614" w:type="dxa"/>
            <w:vAlign w:val="center"/>
          </w:tcPr>
          <w:p w14:paraId="7ACF8AF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平均速率（kg/h）</w:t>
            </w:r>
          </w:p>
        </w:tc>
        <w:tc>
          <w:tcPr>
            <w:tcW w:w="1330" w:type="dxa"/>
            <w:vAlign w:val="center"/>
          </w:tcPr>
          <w:p w14:paraId="0A59DD81">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平均速率（kg/h）</w:t>
            </w:r>
          </w:p>
        </w:tc>
        <w:tc>
          <w:tcPr>
            <w:tcW w:w="1180" w:type="dxa"/>
            <w:vMerge w:val="continue"/>
            <w:vAlign w:val="center"/>
          </w:tcPr>
          <w:p w14:paraId="6E1E91DD">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r>
      <w:tr w14:paraId="133A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4" w:type="dxa"/>
            <w:vMerge w:val="restart"/>
            <w:vAlign w:val="center"/>
          </w:tcPr>
          <w:p w14:paraId="147E17B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DA001</w:t>
            </w:r>
          </w:p>
        </w:tc>
        <w:tc>
          <w:tcPr>
            <w:tcW w:w="1568" w:type="dxa"/>
            <w:vMerge w:val="restart"/>
            <w:vAlign w:val="center"/>
          </w:tcPr>
          <w:p w14:paraId="73965D96">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两级活性炭吸附装置</w:t>
            </w:r>
          </w:p>
        </w:tc>
        <w:tc>
          <w:tcPr>
            <w:tcW w:w="1373" w:type="dxa"/>
            <w:vAlign w:val="center"/>
          </w:tcPr>
          <w:p w14:paraId="635B90A5">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202</w:t>
            </w:r>
            <w:r>
              <w:rPr>
                <w:rFonts w:hint="eastAsia" w:ascii="Times New Roman" w:hAnsi="Times New Roman" w:cs="Times New Roman"/>
                <w:color w:val="auto"/>
                <w:highlight w:val="none"/>
                <w:vertAlign w:val="baseline"/>
                <w:lang w:val="en-US" w:eastAsia="zh-CN"/>
              </w:rPr>
              <w:t>5.3.24</w:t>
            </w:r>
          </w:p>
        </w:tc>
        <w:tc>
          <w:tcPr>
            <w:tcW w:w="1427" w:type="dxa"/>
            <w:vAlign w:val="center"/>
          </w:tcPr>
          <w:p w14:paraId="632D4234">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非甲烷总烃</w:t>
            </w:r>
          </w:p>
        </w:tc>
        <w:tc>
          <w:tcPr>
            <w:tcW w:w="1614" w:type="dxa"/>
            <w:shd w:val="clear" w:color="auto" w:fill="auto"/>
            <w:vAlign w:val="center"/>
          </w:tcPr>
          <w:p w14:paraId="1AC8A69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spacing w:val="0"/>
                <w:kern w:val="2"/>
                <w:position w:val="0"/>
                <w:sz w:val="21"/>
                <w:szCs w:val="21"/>
                <w:highlight w:val="none"/>
                <w:lang w:val="en-US" w:eastAsia="zh-CN" w:bidi="ar"/>
              </w:rPr>
              <w:t>2.21*10</w:t>
            </w:r>
            <w:r>
              <w:rPr>
                <w:rFonts w:hint="eastAsia" w:ascii="Times New Roman" w:hAnsi="Times New Roman" w:cs="Times New Roman"/>
                <w:color w:val="auto"/>
                <w:spacing w:val="0"/>
                <w:kern w:val="2"/>
                <w:position w:val="0"/>
                <w:sz w:val="21"/>
                <w:szCs w:val="21"/>
                <w:highlight w:val="none"/>
                <w:vertAlign w:val="superscript"/>
                <w:lang w:val="en-US" w:eastAsia="zh-CN" w:bidi="ar"/>
              </w:rPr>
              <w:t>-2</w:t>
            </w:r>
          </w:p>
        </w:tc>
        <w:tc>
          <w:tcPr>
            <w:tcW w:w="1330" w:type="dxa"/>
            <w:shd w:val="clear" w:color="auto" w:fill="auto"/>
            <w:vAlign w:val="center"/>
          </w:tcPr>
          <w:p w14:paraId="0B267DB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spacing w:val="0"/>
                <w:kern w:val="2"/>
                <w:position w:val="0"/>
                <w:sz w:val="21"/>
                <w:szCs w:val="21"/>
                <w:highlight w:val="none"/>
                <w:lang w:val="en-US" w:eastAsia="zh-CN" w:bidi="ar"/>
              </w:rPr>
              <w:t>5.11*10</w:t>
            </w:r>
            <w:r>
              <w:rPr>
                <w:rFonts w:hint="eastAsia" w:ascii="Times New Roman" w:hAnsi="Times New Roman" w:cs="Times New Roman"/>
                <w:color w:val="auto"/>
                <w:spacing w:val="0"/>
                <w:kern w:val="2"/>
                <w:position w:val="0"/>
                <w:sz w:val="21"/>
                <w:szCs w:val="21"/>
                <w:highlight w:val="none"/>
                <w:vertAlign w:val="superscript"/>
                <w:lang w:val="en-US" w:eastAsia="zh-CN" w:bidi="ar"/>
              </w:rPr>
              <w:t>-3</w:t>
            </w:r>
          </w:p>
        </w:tc>
        <w:tc>
          <w:tcPr>
            <w:tcW w:w="1180" w:type="dxa"/>
            <w:shd w:val="clear" w:color="auto" w:fill="auto"/>
            <w:vAlign w:val="center"/>
          </w:tcPr>
          <w:p w14:paraId="1981D9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i w:val="0"/>
                <w:iCs w:val="0"/>
                <w:color w:val="auto"/>
                <w:spacing w:val="0"/>
                <w:kern w:val="0"/>
                <w:position w:val="0"/>
                <w:sz w:val="21"/>
                <w:szCs w:val="21"/>
                <w:highlight w:val="none"/>
                <w:u w:val="none"/>
                <w:lang w:val="en-US" w:eastAsia="zh-CN" w:bidi="ar"/>
              </w:rPr>
              <w:t>76.9%</w:t>
            </w:r>
          </w:p>
        </w:tc>
      </w:tr>
      <w:tr w14:paraId="771B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4" w:type="dxa"/>
            <w:vMerge w:val="continue"/>
            <w:vAlign w:val="center"/>
          </w:tcPr>
          <w:p w14:paraId="311D5657">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auto"/>
                <w:highlight w:val="none"/>
                <w:vertAlign w:val="baseline"/>
                <w:lang w:val="en-US" w:eastAsia="zh-CN"/>
              </w:rPr>
            </w:pPr>
          </w:p>
        </w:tc>
        <w:tc>
          <w:tcPr>
            <w:tcW w:w="1568" w:type="dxa"/>
            <w:vMerge w:val="continue"/>
            <w:vAlign w:val="center"/>
          </w:tcPr>
          <w:p w14:paraId="177AE2F6">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p>
        </w:tc>
        <w:tc>
          <w:tcPr>
            <w:tcW w:w="1373" w:type="dxa"/>
            <w:vAlign w:val="center"/>
          </w:tcPr>
          <w:p w14:paraId="238C34CF">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202</w:t>
            </w:r>
            <w:r>
              <w:rPr>
                <w:rFonts w:hint="eastAsia" w:ascii="Times New Roman" w:hAnsi="Times New Roman" w:cs="Times New Roman"/>
                <w:color w:val="auto"/>
                <w:highlight w:val="none"/>
                <w:vertAlign w:val="baseline"/>
                <w:lang w:val="en-US" w:eastAsia="zh-CN"/>
              </w:rPr>
              <w:t>5.3.25</w:t>
            </w:r>
          </w:p>
        </w:tc>
        <w:tc>
          <w:tcPr>
            <w:tcW w:w="1427" w:type="dxa"/>
            <w:vAlign w:val="center"/>
          </w:tcPr>
          <w:p w14:paraId="2D9CCF4C">
            <w:pPr>
              <w:keepNext w:val="0"/>
              <w:keepLines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非甲烷总烃</w:t>
            </w:r>
          </w:p>
        </w:tc>
        <w:tc>
          <w:tcPr>
            <w:tcW w:w="1614" w:type="dxa"/>
            <w:shd w:val="clear" w:color="auto" w:fill="auto"/>
            <w:vAlign w:val="center"/>
          </w:tcPr>
          <w:p w14:paraId="0BDABD7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spacing w:val="0"/>
                <w:kern w:val="2"/>
                <w:position w:val="0"/>
                <w:sz w:val="21"/>
                <w:szCs w:val="21"/>
                <w:highlight w:val="none"/>
                <w:lang w:val="en-US" w:eastAsia="zh-CN" w:bidi="ar"/>
              </w:rPr>
              <w:t>2.52*10</w:t>
            </w:r>
            <w:r>
              <w:rPr>
                <w:rFonts w:hint="eastAsia" w:ascii="Times New Roman" w:hAnsi="Times New Roman" w:cs="Times New Roman"/>
                <w:color w:val="auto"/>
                <w:spacing w:val="0"/>
                <w:kern w:val="2"/>
                <w:position w:val="0"/>
                <w:sz w:val="21"/>
                <w:szCs w:val="21"/>
                <w:highlight w:val="none"/>
                <w:vertAlign w:val="superscript"/>
                <w:lang w:val="en-US" w:eastAsia="zh-CN" w:bidi="ar"/>
              </w:rPr>
              <w:t>-2</w:t>
            </w:r>
          </w:p>
        </w:tc>
        <w:tc>
          <w:tcPr>
            <w:tcW w:w="1330" w:type="dxa"/>
            <w:shd w:val="clear" w:color="auto" w:fill="auto"/>
            <w:vAlign w:val="center"/>
          </w:tcPr>
          <w:p w14:paraId="7C30156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spacing w:val="0"/>
                <w:kern w:val="2"/>
                <w:position w:val="0"/>
                <w:sz w:val="21"/>
                <w:szCs w:val="21"/>
                <w:highlight w:val="none"/>
                <w:lang w:val="en-US" w:eastAsia="zh-CN" w:bidi="ar"/>
              </w:rPr>
              <w:t>5.06*10</w:t>
            </w:r>
            <w:r>
              <w:rPr>
                <w:rFonts w:hint="eastAsia" w:ascii="Times New Roman" w:hAnsi="Times New Roman" w:cs="Times New Roman"/>
                <w:color w:val="auto"/>
                <w:spacing w:val="0"/>
                <w:kern w:val="2"/>
                <w:position w:val="0"/>
                <w:sz w:val="21"/>
                <w:szCs w:val="21"/>
                <w:highlight w:val="none"/>
                <w:vertAlign w:val="superscript"/>
                <w:lang w:val="en-US" w:eastAsia="zh-CN" w:bidi="ar"/>
              </w:rPr>
              <w:t>-3</w:t>
            </w:r>
          </w:p>
        </w:tc>
        <w:tc>
          <w:tcPr>
            <w:tcW w:w="1180" w:type="dxa"/>
            <w:shd w:val="clear" w:color="auto" w:fill="auto"/>
            <w:vAlign w:val="center"/>
          </w:tcPr>
          <w:p w14:paraId="764E29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i w:val="0"/>
                <w:iCs w:val="0"/>
                <w:color w:val="auto"/>
                <w:spacing w:val="0"/>
                <w:kern w:val="0"/>
                <w:position w:val="0"/>
                <w:sz w:val="21"/>
                <w:szCs w:val="21"/>
                <w:highlight w:val="none"/>
                <w:u w:val="none"/>
                <w:lang w:val="en-US" w:eastAsia="zh-CN" w:bidi="ar"/>
              </w:rPr>
              <w:t>79.9%</w:t>
            </w:r>
          </w:p>
        </w:tc>
      </w:tr>
    </w:tbl>
    <w:p w14:paraId="12FBA25C">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3</w:t>
      </w:r>
      <w:r>
        <w:rPr>
          <w:rFonts w:ascii="Times New Roman" w:hAnsi="Times New Roman" w:eastAsia="宋体" w:cs="Times New Roman"/>
          <w:color w:val="auto"/>
          <w:sz w:val="24"/>
          <w:szCs w:val="32"/>
          <w:highlight w:val="none"/>
        </w:rPr>
        <w:t>）厂界噪声治理设施</w:t>
      </w:r>
    </w:p>
    <w:p w14:paraId="66E9EE7B">
      <w:pPr>
        <w:pStyle w:val="7"/>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bidi="ar"/>
        </w:rPr>
        <w:t>监测结果显示：</w:t>
      </w:r>
      <w:r>
        <w:rPr>
          <w:rFonts w:hint="eastAsia" w:ascii="Times New Roman" w:hAnsi="Times New Roman" w:cs="Times New Roman"/>
          <w:color w:val="auto"/>
          <w:sz w:val="24"/>
          <w:highlight w:val="none"/>
          <w:lang w:val="en-US" w:eastAsia="zh-CN" w:bidi="ar"/>
        </w:rPr>
        <w:t>本项目厂界东、南、西侧昼夜间噪声排放满足《工业企业厂界环境噪声排放标准》（GB12348-2008）中的3类标准。（本项目北侧紧邻安吉好德家具有限公司，故本项目验收检测仅测东、南、西侧噪声。）</w:t>
      </w:r>
    </w:p>
    <w:p w14:paraId="3CC088B7">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4</w:t>
      </w:r>
      <w:r>
        <w:rPr>
          <w:rFonts w:ascii="Times New Roman" w:hAnsi="Times New Roman" w:eastAsia="宋体" w:cs="Times New Roman"/>
          <w:color w:val="auto"/>
          <w:sz w:val="24"/>
          <w:szCs w:val="32"/>
          <w:highlight w:val="none"/>
        </w:rPr>
        <w:t>）固体废物治理设施</w:t>
      </w:r>
    </w:p>
    <w:p w14:paraId="4B937A03">
      <w:pPr>
        <w:pStyle w:val="7"/>
        <w:spacing w:line="360" w:lineRule="auto"/>
        <w:ind w:firstLine="360" w:firstLineChars="15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sz w:val="24"/>
          <w:szCs w:val="32"/>
          <w:highlight w:val="none"/>
          <w:lang w:val="en-US" w:eastAsia="zh-CN"/>
        </w:rPr>
        <w:t>本</w:t>
      </w:r>
      <w:r>
        <w:rPr>
          <w:rFonts w:ascii="Times New Roman" w:hAnsi="Times New Roman" w:eastAsia="宋体" w:cs="Times New Roman"/>
          <w:color w:val="auto"/>
          <w:sz w:val="24"/>
          <w:szCs w:val="32"/>
          <w:highlight w:val="none"/>
        </w:rPr>
        <w:t>项目固废均委托外单位进行处置，自身不配备</w:t>
      </w:r>
      <w:r>
        <w:rPr>
          <w:rFonts w:hint="eastAsia" w:ascii="Times New Roman" w:hAnsi="Times New Roman" w:cs="Times New Roman"/>
          <w:color w:val="auto"/>
          <w:sz w:val="24"/>
          <w:szCs w:val="32"/>
          <w:highlight w:val="none"/>
          <w:lang w:eastAsia="zh-CN"/>
        </w:rPr>
        <w:t>固体废物处理</w:t>
      </w:r>
      <w:r>
        <w:rPr>
          <w:rFonts w:ascii="Times New Roman" w:hAnsi="Times New Roman" w:eastAsia="宋体" w:cs="Times New Roman"/>
          <w:color w:val="auto"/>
          <w:sz w:val="24"/>
          <w:szCs w:val="32"/>
          <w:highlight w:val="none"/>
        </w:rPr>
        <w:t>设施。</w:t>
      </w:r>
      <w:r>
        <w:rPr>
          <w:rFonts w:hint="eastAsia" w:ascii="Times New Roman" w:hAnsi="Times New Roman" w:cs="Times New Roman"/>
          <w:color w:val="auto"/>
          <w:kern w:val="0"/>
          <w:sz w:val="24"/>
          <w:highlight w:val="none"/>
          <w:lang w:val="en-US" w:eastAsia="zh-CN"/>
        </w:rPr>
        <w:t>生活垃圾集中收集后委托当地环卫部门清运处理；</w:t>
      </w:r>
      <w:r>
        <w:rPr>
          <w:rFonts w:hint="eastAsia" w:ascii="Times New Roman" w:hAnsi="Times New Roman" w:cs="Times New Roman"/>
          <w:color w:val="00B0F0"/>
          <w:kern w:val="0"/>
          <w:sz w:val="24"/>
          <w:highlight w:val="none"/>
          <w:lang w:val="en-US" w:eastAsia="zh-CN"/>
        </w:rPr>
        <w:t>废料破碎后大部分回用，少量出售给废旧物资回收单位；</w:t>
      </w:r>
      <w:r>
        <w:rPr>
          <w:rFonts w:hint="eastAsia" w:ascii="Times New Roman" w:hAnsi="Times New Roman" w:cs="Times New Roman"/>
          <w:color w:val="auto"/>
          <w:kern w:val="0"/>
          <w:sz w:val="24"/>
          <w:highlight w:val="none"/>
          <w:lang w:val="en-US" w:eastAsia="zh-CN"/>
        </w:rPr>
        <w:t>废塑料袋集中收集后出售给废旧物资回收单位；废液压油、废液压油桶、废活性炭在集中收集后委托浙江悦胜环境科技有限公司等资质单位处置。</w:t>
      </w:r>
      <w:bookmarkStart w:id="5" w:name="_GoBack"/>
      <w:bookmarkEnd w:id="5"/>
    </w:p>
    <w:p w14:paraId="15FBFDA3">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（二）污染物排放情况</w:t>
      </w:r>
    </w:p>
    <w:p w14:paraId="4796FA7A">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（1）噪声污染物排放评价</w:t>
      </w:r>
    </w:p>
    <w:p w14:paraId="5C42B46A">
      <w:pPr>
        <w:spacing w:line="360" w:lineRule="auto"/>
        <w:ind w:firstLine="480" w:firstLineChars="200"/>
        <w:rPr>
          <w:rFonts w:ascii="Times New Roman" w:hAnsi="Times New Roman" w:eastAsia="宋体"/>
          <w:color w:val="auto"/>
          <w:kern w:val="0"/>
          <w:sz w:val="24"/>
          <w:highlight w:val="none"/>
        </w:rPr>
      </w:pPr>
      <w:r>
        <w:rPr>
          <w:rFonts w:hint="default" w:ascii="Times New Roman" w:hAnsi="Times New Roman" w:eastAsia="宋体"/>
          <w:color w:val="auto"/>
          <w:kern w:val="0"/>
          <w:sz w:val="24"/>
          <w:highlight w:val="none"/>
          <w:lang w:val="en-US" w:eastAsia="zh-CN"/>
        </w:rPr>
        <w:t>项目验收监测期间，由检测结果可知，本项目厂界东、南、西侧昼</w:t>
      </w:r>
      <w:r>
        <w:rPr>
          <w:rFonts w:hint="eastAsia" w:ascii="Times New Roman" w:hAnsi="Times New Roman" w:eastAsia="宋体"/>
          <w:color w:val="auto"/>
          <w:kern w:val="0"/>
          <w:sz w:val="24"/>
          <w:highlight w:val="none"/>
          <w:lang w:val="en-US" w:eastAsia="zh-CN"/>
        </w:rPr>
        <w:t>夜</w:t>
      </w:r>
      <w:r>
        <w:rPr>
          <w:rFonts w:hint="default" w:ascii="Times New Roman" w:hAnsi="Times New Roman" w:eastAsia="宋体"/>
          <w:color w:val="auto"/>
          <w:kern w:val="0"/>
          <w:sz w:val="24"/>
          <w:highlight w:val="none"/>
          <w:lang w:val="en-US" w:eastAsia="zh-CN"/>
        </w:rPr>
        <w:t>间噪声排放满足《工业企业厂界环境噪声排放标准》（GB12348-2008）中的3类标准。</w:t>
      </w:r>
      <w:r>
        <w:rPr>
          <w:rFonts w:hint="eastAsia" w:ascii="Times New Roman" w:hAnsi="Times New Roman"/>
          <w:color w:val="auto"/>
          <w:kern w:val="0"/>
          <w:sz w:val="24"/>
          <w:highlight w:val="none"/>
          <w:lang w:val="en-US" w:eastAsia="zh-CN"/>
        </w:rPr>
        <w:t>（本项目北侧紧邻安吉好德家具有限公司，故本项目验收检测仅测东、南、西侧噪声。）</w:t>
      </w:r>
    </w:p>
    <w:p w14:paraId="68798927">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2）废气污染物排放评价</w:t>
      </w:r>
    </w:p>
    <w:p w14:paraId="4B26A86A">
      <w:pPr>
        <w:spacing w:line="360" w:lineRule="auto"/>
        <w:ind w:firstLine="360" w:firstLineChars="150"/>
        <w:rPr>
          <w:rFonts w:hint="default" w:ascii="Times New Roman" w:hAnsi="Times New Roman" w:eastAsia="宋体" w:cs="Times New Roman"/>
          <w:color w:val="00B0F0"/>
          <w:kern w:val="2"/>
          <w:sz w:val="24"/>
          <w:szCs w:val="24"/>
          <w:lang w:val="en-US" w:eastAsia="zh-CN" w:bidi="ar-SA"/>
        </w:rPr>
      </w:pPr>
      <w:r>
        <w:rPr>
          <w:rFonts w:hint="default" w:ascii="Times New Roman" w:hAnsi="Times New Roman" w:eastAsia="宋体" w:cs="Times New Roman"/>
          <w:color w:val="00B0F0"/>
          <w:kern w:val="2"/>
          <w:sz w:val="24"/>
          <w:szCs w:val="24"/>
          <w:lang w:val="en-US" w:eastAsia="zh-CN" w:bidi="ar-SA"/>
        </w:rPr>
        <w:t>项目验收监测期间，由检测结果可知，本项目非甲烷总烃有组织排放浓度满足《合成树脂工业污染物排放标准》（GB31572-2015）及修改单表5中的大气污染物特别排放限值；臭气浓度有组织排放满足《恶臭污染物排放标准》（GB14554-93）表2中的恶臭污染物排放标准值及《湖州市塑料行业废气整治规范》（湖环发〔2018〕31号）中的较严值。</w:t>
      </w:r>
    </w:p>
    <w:p w14:paraId="08C58AE9">
      <w:pPr>
        <w:spacing w:line="360" w:lineRule="auto"/>
        <w:ind w:firstLine="360" w:firstLineChars="150"/>
        <w:rPr>
          <w:rFonts w:hint="default" w:ascii="Times New Roman" w:hAnsi="Times New Roman" w:eastAsia="宋体" w:cs="Times New Roman"/>
          <w:color w:val="00B0F0"/>
          <w:kern w:val="2"/>
          <w:sz w:val="24"/>
          <w:szCs w:val="24"/>
          <w:lang w:val="en-US" w:eastAsia="zh-CN" w:bidi="ar-SA"/>
        </w:rPr>
      </w:pPr>
      <w:r>
        <w:rPr>
          <w:rFonts w:hint="default" w:ascii="Times New Roman" w:hAnsi="Times New Roman" w:eastAsia="宋体" w:cs="Times New Roman"/>
          <w:color w:val="00B0F0"/>
          <w:kern w:val="2"/>
          <w:sz w:val="24"/>
          <w:szCs w:val="24"/>
          <w:lang w:val="en-US" w:eastAsia="zh-CN" w:bidi="ar-SA"/>
        </w:rPr>
        <w:t>项目验收监测期间，由检测结果可知，本项目厂界非甲烷总烃无组织排放浓度满足《合成树脂工业污染物排放标准》（GB31572-2015）及修改单表9中的企业边界大气污染物浓度限值；臭气浓度无组织排放满足《恶臭污染物排放标准》（GB14554-93）表1中的厂界标准值；非甲烷总烃厂区内无组织排放浓度满足《挥发性有机物无组织排放控制标准》（GB37822-2019）表A.1中的特别排放限值。</w:t>
      </w:r>
    </w:p>
    <w:p w14:paraId="356BF457">
      <w:pPr>
        <w:spacing w:line="360" w:lineRule="auto"/>
        <w:ind w:firstLine="360" w:firstLineChars="150"/>
        <w:rPr>
          <w:rFonts w:hint="default" w:ascii="Times New Roman" w:hAnsi="Times New Roman" w:eastAsia="宋体"/>
          <w:color w:val="auto"/>
          <w:sz w:val="24"/>
          <w:szCs w:val="32"/>
          <w:highlight w:val="none"/>
          <w:lang w:val="en-US" w:eastAsia="zh-CN"/>
        </w:rPr>
      </w:pPr>
      <w:r>
        <w:rPr>
          <w:rFonts w:hint="default" w:ascii="Times New Roman" w:hAnsi="Times New Roman" w:eastAsia="宋体"/>
          <w:color w:val="auto"/>
          <w:sz w:val="24"/>
          <w:szCs w:val="32"/>
          <w:highlight w:val="none"/>
          <w:lang w:val="en-US" w:eastAsia="zh-CN"/>
        </w:rPr>
        <w:t>注：氯乙烯、氯化氢、氨因产生量少，故环评无定量分析，本次验收不纳入验收检测内容。</w:t>
      </w:r>
    </w:p>
    <w:p w14:paraId="5A37792A">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3）废水污染物排放评价</w:t>
      </w:r>
    </w:p>
    <w:p w14:paraId="4E471B6B">
      <w:pPr>
        <w:spacing w:line="360" w:lineRule="auto"/>
        <w:ind w:firstLine="360" w:firstLineChars="15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项目验收监测期间，由检测结果可知，本项目生活污水排放口中pH值、化学需氧量、氨氮排放浓度满足安吉净源污水处理有限公司城北污水处理厂</w:t>
      </w:r>
      <w:r>
        <w:rPr>
          <w:rFonts w:hint="eastAsia" w:ascii="Times New Roman" w:hAnsi="Times New Roman" w:cs="Times New Roman"/>
          <w:color w:val="auto"/>
          <w:sz w:val="24"/>
          <w:szCs w:val="24"/>
          <w:highlight w:val="none"/>
          <w:lang w:val="en-US" w:eastAsia="zh-CN"/>
        </w:rPr>
        <w:t>接</w:t>
      </w:r>
      <w:r>
        <w:rPr>
          <w:rFonts w:hint="default" w:ascii="Times New Roman" w:hAnsi="Times New Roman" w:eastAsia="宋体" w:cs="Times New Roman"/>
          <w:color w:val="auto"/>
          <w:sz w:val="24"/>
          <w:szCs w:val="24"/>
          <w:highlight w:val="none"/>
          <w:lang w:val="en-US" w:eastAsia="zh-CN"/>
        </w:rPr>
        <w:t>管标准。</w:t>
      </w:r>
    </w:p>
    <w:p w14:paraId="614C9BF1">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（4）污染物排放总量</w:t>
      </w:r>
    </w:p>
    <w:p w14:paraId="02B45CAF">
      <w:pPr>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color w:val="auto"/>
          <w:sz w:val="24"/>
          <w:szCs w:val="24"/>
          <w:highlight w:val="none"/>
          <w:lang w:val="en-US" w:eastAsia="zh-CN"/>
        </w:rPr>
        <w:t>本</w:t>
      </w:r>
      <w:r>
        <w:rPr>
          <w:rFonts w:ascii="Times New Roman" w:hAnsi="Times New Roman" w:eastAsia="宋体"/>
          <w:color w:val="auto"/>
          <w:sz w:val="24"/>
          <w:szCs w:val="24"/>
          <w:highlight w:val="none"/>
        </w:rPr>
        <w:t>项目涉及总量控制污染物为</w:t>
      </w:r>
      <w:r>
        <w:rPr>
          <w:rFonts w:hint="default" w:ascii="Times New Roman" w:hAnsi="Times New Roman" w:eastAsia="宋体" w:cs="Times New Roman"/>
          <w:color w:val="auto"/>
          <w:sz w:val="24"/>
          <w:szCs w:val="24"/>
          <w:highlight w:val="none"/>
          <w:lang w:val="en-US" w:eastAsia="zh-CN"/>
        </w:rPr>
        <w:t>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-N、VOCs</w:t>
      </w:r>
      <w:r>
        <w:rPr>
          <w:rFonts w:ascii="Times New Roman" w:hAnsi="Times New Roman" w:eastAsia="宋体"/>
          <w:color w:val="auto"/>
          <w:sz w:val="24"/>
          <w:szCs w:val="24"/>
          <w:highlight w:val="none"/>
        </w:rPr>
        <w:t>。</w:t>
      </w:r>
    </w:p>
    <w:p w14:paraId="494143A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根据</w:t>
      </w:r>
      <w:r>
        <w:rPr>
          <w:rFonts w:hint="eastAsia" w:ascii="Times New Roman" w:hAnsi="Times New Roman" w:eastAsia="宋体" w:cs="Times New Roman"/>
          <w:color w:val="auto"/>
          <w:kern w:val="2"/>
          <w:sz w:val="24"/>
          <w:szCs w:val="24"/>
          <w:highlight w:val="none"/>
          <w:lang w:val="en-US" w:eastAsia="zh-CN" w:bidi="ar"/>
        </w:rPr>
        <w:t>企业</w:t>
      </w:r>
      <w:r>
        <w:rPr>
          <w:rFonts w:hint="default" w:ascii="Times New Roman" w:hAnsi="Times New Roman" w:eastAsia="宋体" w:cs="Times New Roman"/>
          <w:color w:val="auto"/>
          <w:kern w:val="2"/>
          <w:sz w:val="24"/>
          <w:szCs w:val="24"/>
          <w:highlight w:val="none"/>
          <w:lang w:val="en-US" w:eastAsia="zh-CN" w:bidi="ar"/>
        </w:rPr>
        <w:t>的生产情况和验收监测结果，核算实际主要污染物排放总量控制指标COD</w:t>
      </w:r>
      <w:r>
        <w:rPr>
          <w:rFonts w:hint="default" w:ascii="Times New Roman" w:hAnsi="Times New Roman" w:eastAsia="宋体" w:cs="Times New Roman"/>
          <w:color w:val="auto"/>
          <w:kern w:val="2"/>
          <w:sz w:val="24"/>
          <w:szCs w:val="24"/>
          <w:highlight w:val="none"/>
          <w:vertAlign w:val="subscript"/>
          <w:lang w:val="en-US" w:eastAsia="zh-CN" w:bidi="ar"/>
        </w:rPr>
        <w:t>Cr</w:t>
      </w:r>
      <w:r>
        <w:rPr>
          <w:rFonts w:hint="default" w:ascii="Times New Roman" w:hAnsi="Times New Roman" w:eastAsia="宋体" w:cs="Times New Roman"/>
          <w:color w:val="auto"/>
          <w:kern w:val="2"/>
          <w:sz w:val="24"/>
          <w:szCs w:val="24"/>
          <w:highlight w:val="none"/>
          <w:lang w:val="en-US" w:eastAsia="zh-CN" w:bidi="ar"/>
        </w:rPr>
        <w:t>、NH</w:t>
      </w:r>
      <w:r>
        <w:rPr>
          <w:rFonts w:hint="default" w:ascii="Times New Roman" w:hAnsi="Times New Roman" w:eastAsia="宋体" w:cs="Times New Roman"/>
          <w:color w:val="auto"/>
          <w:kern w:val="2"/>
          <w:sz w:val="24"/>
          <w:szCs w:val="24"/>
          <w:highlight w:val="none"/>
          <w:vertAlign w:val="sub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-N</w:t>
      </w:r>
      <w:r>
        <w:rPr>
          <w:rFonts w:hint="eastAsia" w:ascii="Times New Roman" w:hAnsi="Times New Roman" w:eastAsia="宋体" w:cs="Times New Roman"/>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挥发性有机物（VOCs）排放总量，具体见下表。</w:t>
      </w:r>
    </w:p>
    <w:p w14:paraId="1376E93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ascii="Times New Roman" w:hAnsi="Times New Roman" w:eastAsia="宋体"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 xml:space="preserve">  实际污染物排放总量控制指标核算表</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263"/>
        <w:gridCol w:w="1198"/>
        <w:gridCol w:w="1062"/>
        <w:gridCol w:w="1071"/>
        <w:gridCol w:w="2143"/>
        <w:gridCol w:w="2159"/>
      </w:tblGrid>
      <w:tr w14:paraId="7EAE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noWrap w:val="0"/>
            <w:vAlign w:val="center"/>
          </w:tcPr>
          <w:p w14:paraId="1115C11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pacing w:val="0"/>
                <w:position w:val="0"/>
                <w:sz w:val="21"/>
                <w:szCs w:val="21"/>
                <w:highlight w:val="none"/>
              </w:rPr>
            </w:pPr>
            <w:r>
              <w:rPr>
                <w:rFonts w:hint="default" w:ascii="Times New Roman" w:hAnsi="Times New Roman" w:eastAsia="宋体" w:cs="Times New Roman"/>
                <w:b/>
                <w:bCs w:val="0"/>
                <w:color w:val="auto"/>
                <w:spacing w:val="0"/>
                <w:position w:val="0"/>
                <w:sz w:val="21"/>
                <w:szCs w:val="21"/>
                <w:highlight w:val="none"/>
              </w:rPr>
              <w:t>类别</w:t>
            </w:r>
          </w:p>
        </w:tc>
        <w:tc>
          <w:tcPr>
            <w:tcW w:w="1249" w:type="pct"/>
            <w:gridSpan w:val="2"/>
            <w:noWrap w:val="0"/>
            <w:vAlign w:val="center"/>
          </w:tcPr>
          <w:p w14:paraId="36EE28E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pacing w:val="0"/>
                <w:position w:val="0"/>
                <w:sz w:val="21"/>
                <w:szCs w:val="21"/>
                <w:highlight w:val="none"/>
              </w:rPr>
            </w:pPr>
            <w:r>
              <w:rPr>
                <w:rFonts w:hint="default" w:ascii="Times New Roman" w:hAnsi="Times New Roman" w:eastAsia="宋体" w:cs="Times New Roman"/>
                <w:b/>
                <w:bCs w:val="0"/>
                <w:color w:val="auto"/>
                <w:spacing w:val="0"/>
                <w:position w:val="0"/>
                <w:sz w:val="21"/>
                <w:szCs w:val="21"/>
                <w:highlight w:val="none"/>
              </w:rPr>
              <w:t>总量控制指标名称</w:t>
            </w:r>
          </w:p>
        </w:tc>
        <w:tc>
          <w:tcPr>
            <w:tcW w:w="1083" w:type="pct"/>
            <w:gridSpan w:val="2"/>
            <w:noWrap w:val="0"/>
            <w:vAlign w:val="center"/>
          </w:tcPr>
          <w:p w14:paraId="4BF3BD8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pacing w:val="0"/>
                <w:position w:val="0"/>
                <w:sz w:val="21"/>
                <w:szCs w:val="21"/>
                <w:highlight w:val="none"/>
                <w:lang w:val="en-US" w:eastAsia="zh-CN"/>
              </w:rPr>
            </w:pPr>
            <w:r>
              <w:rPr>
                <w:rFonts w:hint="default" w:ascii="Times New Roman" w:hAnsi="Times New Roman" w:eastAsia="宋体" w:cs="Times New Roman"/>
                <w:b/>
                <w:bCs w:val="0"/>
                <w:color w:val="auto"/>
                <w:spacing w:val="0"/>
                <w:position w:val="0"/>
                <w:sz w:val="21"/>
                <w:szCs w:val="21"/>
                <w:highlight w:val="none"/>
                <w:lang w:val="en-US" w:eastAsia="zh-CN"/>
              </w:rPr>
              <w:t>审批排放量</w:t>
            </w:r>
            <w:r>
              <w:rPr>
                <w:rFonts w:hint="default" w:ascii="Times New Roman" w:hAnsi="Times New Roman" w:eastAsia="宋体" w:cs="Times New Roman"/>
                <w:b/>
                <w:bCs w:val="0"/>
                <w:color w:val="auto"/>
                <w:spacing w:val="0"/>
                <w:position w:val="0"/>
                <w:sz w:val="21"/>
                <w:szCs w:val="21"/>
                <w:highlight w:val="none"/>
              </w:rPr>
              <w:t>（t/a）</w:t>
            </w:r>
          </w:p>
        </w:tc>
        <w:tc>
          <w:tcPr>
            <w:tcW w:w="1088" w:type="pct"/>
            <w:noWrap w:val="0"/>
            <w:vAlign w:val="center"/>
          </w:tcPr>
          <w:p w14:paraId="4833AA6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auto"/>
                <w:spacing w:val="0"/>
                <w:position w:val="0"/>
                <w:sz w:val="21"/>
                <w:szCs w:val="21"/>
                <w:highlight w:val="none"/>
                <w:lang w:val="en-US" w:eastAsia="zh-CN"/>
              </w:rPr>
            </w:pPr>
            <w:r>
              <w:rPr>
                <w:rFonts w:hint="default" w:ascii="Times New Roman" w:hAnsi="Times New Roman" w:eastAsia="宋体" w:cs="Times New Roman"/>
                <w:b/>
                <w:bCs w:val="0"/>
                <w:color w:val="auto"/>
                <w:spacing w:val="0"/>
                <w:position w:val="0"/>
                <w:sz w:val="21"/>
                <w:szCs w:val="21"/>
                <w:highlight w:val="none"/>
                <w:lang w:val="en-US" w:eastAsia="zh-CN"/>
              </w:rPr>
              <w:t>实际排放量（t/a）</w:t>
            </w:r>
          </w:p>
        </w:tc>
        <w:tc>
          <w:tcPr>
            <w:tcW w:w="1094" w:type="pct"/>
            <w:noWrap w:val="0"/>
            <w:vAlign w:val="center"/>
          </w:tcPr>
          <w:p w14:paraId="3DCC12A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val="0"/>
                <w:color w:val="00B0F0"/>
                <w:spacing w:val="0"/>
                <w:position w:val="0"/>
                <w:sz w:val="21"/>
                <w:szCs w:val="21"/>
                <w:highlight w:val="none"/>
                <w:lang w:val="en-US" w:eastAsia="zh-CN"/>
              </w:rPr>
            </w:pPr>
            <w:r>
              <w:rPr>
                <w:rFonts w:hint="default" w:ascii="Times New Roman" w:hAnsi="Times New Roman" w:eastAsia="宋体" w:cs="Times New Roman"/>
                <w:b/>
                <w:bCs w:val="0"/>
                <w:color w:val="00B0F0"/>
                <w:spacing w:val="0"/>
                <w:position w:val="0"/>
                <w:sz w:val="21"/>
                <w:szCs w:val="21"/>
                <w:highlight w:val="none"/>
                <w:lang w:val="en-US" w:eastAsia="zh-CN"/>
              </w:rPr>
              <w:t>满负荷排放量（t/a）</w:t>
            </w:r>
          </w:p>
        </w:tc>
      </w:tr>
      <w:tr w14:paraId="3DD9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restart"/>
            <w:noWrap w:val="0"/>
            <w:vAlign w:val="center"/>
          </w:tcPr>
          <w:p w14:paraId="4EC980D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lang w:eastAsia="zh-CN"/>
              </w:rPr>
              <w:t>废水</w:t>
            </w:r>
          </w:p>
        </w:tc>
        <w:tc>
          <w:tcPr>
            <w:tcW w:w="1249" w:type="pct"/>
            <w:gridSpan w:val="2"/>
            <w:noWrap w:val="0"/>
            <w:vAlign w:val="center"/>
          </w:tcPr>
          <w:p w14:paraId="28B8687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position w:val="0"/>
                <w:sz w:val="21"/>
                <w:szCs w:val="21"/>
                <w:highlight w:val="none"/>
                <w:lang w:eastAsia="zh-CN"/>
              </w:rPr>
              <w:t>水量</w:t>
            </w:r>
          </w:p>
        </w:tc>
        <w:tc>
          <w:tcPr>
            <w:tcW w:w="1083" w:type="pct"/>
            <w:gridSpan w:val="2"/>
            <w:shd w:val="clear" w:color="auto" w:fill="auto"/>
            <w:noWrap w:val="0"/>
            <w:vAlign w:val="center"/>
          </w:tcPr>
          <w:p w14:paraId="773CCB3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eastAsia="宋体" w:cs="Times New Roman"/>
                <w:color w:val="auto"/>
                <w:spacing w:val="0"/>
                <w:kern w:val="2"/>
                <w:position w:val="0"/>
                <w:sz w:val="21"/>
                <w:szCs w:val="21"/>
                <w:highlight w:val="none"/>
                <w:lang w:val="en-US" w:eastAsia="zh-CN" w:bidi="ar"/>
              </w:rPr>
              <w:t>420</w:t>
            </w:r>
          </w:p>
        </w:tc>
        <w:tc>
          <w:tcPr>
            <w:tcW w:w="1088" w:type="pct"/>
            <w:shd w:val="clear" w:color="auto" w:fill="auto"/>
            <w:noWrap w:val="0"/>
            <w:vAlign w:val="center"/>
          </w:tcPr>
          <w:p w14:paraId="66E8C5A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eastAsia="宋体" w:cs="Times New Roman"/>
                <w:color w:val="auto"/>
                <w:spacing w:val="0"/>
                <w:kern w:val="2"/>
                <w:position w:val="0"/>
                <w:sz w:val="21"/>
                <w:szCs w:val="21"/>
                <w:highlight w:val="none"/>
                <w:lang w:val="en-US" w:eastAsia="zh-CN" w:bidi="ar"/>
              </w:rPr>
              <w:t>420</w:t>
            </w:r>
          </w:p>
        </w:tc>
        <w:tc>
          <w:tcPr>
            <w:tcW w:w="1094" w:type="pct"/>
            <w:shd w:val="clear" w:color="auto" w:fill="auto"/>
            <w:noWrap w:val="0"/>
            <w:vAlign w:val="center"/>
          </w:tcPr>
          <w:p w14:paraId="7A192C4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00B0F0"/>
                <w:spacing w:val="0"/>
                <w:kern w:val="2"/>
                <w:position w:val="0"/>
                <w:sz w:val="21"/>
                <w:szCs w:val="21"/>
                <w:highlight w:val="none"/>
                <w:lang w:val="en-US" w:eastAsia="zh-CN" w:bidi="ar"/>
              </w:rPr>
            </w:pPr>
            <w:r>
              <w:rPr>
                <w:rFonts w:hint="eastAsia" w:ascii="Times New Roman" w:hAnsi="Times New Roman" w:eastAsia="宋体" w:cs="Times New Roman"/>
                <w:color w:val="00B0F0"/>
                <w:spacing w:val="0"/>
                <w:kern w:val="2"/>
                <w:position w:val="0"/>
                <w:sz w:val="21"/>
                <w:szCs w:val="21"/>
                <w:highlight w:val="none"/>
                <w:lang w:val="en-US" w:eastAsia="zh-CN" w:bidi="ar"/>
              </w:rPr>
              <w:t>420</w:t>
            </w:r>
          </w:p>
        </w:tc>
      </w:tr>
      <w:tr w14:paraId="26BE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continue"/>
            <w:noWrap w:val="0"/>
            <w:vAlign w:val="center"/>
          </w:tcPr>
          <w:p w14:paraId="0809313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1249" w:type="pct"/>
            <w:gridSpan w:val="2"/>
            <w:noWrap w:val="0"/>
            <w:vAlign w:val="center"/>
          </w:tcPr>
          <w:p w14:paraId="7241641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position w:val="0"/>
                <w:sz w:val="21"/>
                <w:szCs w:val="21"/>
                <w:highlight w:val="none"/>
              </w:rPr>
              <w:t>COD</w:t>
            </w:r>
            <w:r>
              <w:rPr>
                <w:rFonts w:hint="default" w:ascii="Times New Roman" w:hAnsi="Times New Roman" w:eastAsia="宋体" w:cs="Times New Roman"/>
                <w:b w:val="0"/>
                <w:bCs w:val="0"/>
                <w:color w:val="auto"/>
                <w:spacing w:val="0"/>
                <w:position w:val="0"/>
                <w:sz w:val="21"/>
                <w:szCs w:val="21"/>
                <w:highlight w:val="none"/>
                <w:vertAlign w:val="subscript"/>
              </w:rPr>
              <w:t>Cr</w:t>
            </w:r>
          </w:p>
        </w:tc>
        <w:tc>
          <w:tcPr>
            <w:tcW w:w="1083" w:type="pct"/>
            <w:gridSpan w:val="2"/>
            <w:shd w:val="clear" w:color="auto" w:fill="auto"/>
            <w:noWrap w:val="0"/>
            <w:vAlign w:val="center"/>
          </w:tcPr>
          <w:p w14:paraId="284813B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eastAsia="宋体" w:cs="Times New Roman"/>
                <w:color w:val="auto"/>
                <w:spacing w:val="0"/>
                <w:kern w:val="2"/>
                <w:position w:val="0"/>
                <w:sz w:val="21"/>
                <w:szCs w:val="21"/>
                <w:highlight w:val="none"/>
                <w:lang w:val="en-US" w:eastAsia="zh-CN" w:bidi="ar"/>
              </w:rPr>
              <w:t>0.017</w:t>
            </w:r>
          </w:p>
        </w:tc>
        <w:tc>
          <w:tcPr>
            <w:tcW w:w="1088" w:type="pct"/>
            <w:shd w:val="clear" w:color="auto" w:fill="auto"/>
            <w:noWrap w:val="0"/>
            <w:vAlign w:val="center"/>
          </w:tcPr>
          <w:p w14:paraId="1238E49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eastAsia="宋体" w:cs="Times New Roman"/>
                <w:color w:val="auto"/>
                <w:spacing w:val="0"/>
                <w:kern w:val="2"/>
                <w:position w:val="0"/>
                <w:sz w:val="21"/>
                <w:szCs w:val="21"/>
                <w:highlight w:val="none"/>
                <w:lang w:val="en-US" w:eastAsia="zh-CN" w:bidi="ar"/>
              </w:rPr>
              <w:t>0.017</w:t>
            </w:r>
          </w:p>
        </w:tc>
        <w:tc>
          <w:tcPr>
            <w:tcW w:w="1094" w:type="pct"/>
            <w:shd w:val="clear" w:color="auto" w:fill="auto"/>
            <w:noWrap w:val="0"/>
            <w:vAlign w:val="center"/>
          </w:tcPr>
          <w:p w14:paraId="6E25AB50">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00B0F0"/>
                <w:spacing w:val="0"/>
                <w:kern w:val="2"/>
                <w:position w:val="0"/>
                <w:sz w:val="21"/>
                <w:szCs w:val="21"/>
                <w:highlight w:val="none"/>
                <w:lang w:val="en-US" w:eastAsia="zh-CN" w:bidi="ar"/>
              </w:rPr>
            </w:pPr>
            <w:r>
              <w:rPr>
                <w:rFonts w:hint="eastAsia" w:ascii="Times New Roman" w:hAnsi="Times New Roman" w:eastAsia="宋体" w:cs="Times New Roman"/>
                <w:color w:val="00B0F0"/>
                <w:spacing w:val="0"/>
                <w:kern w:val="2"/>
                <w:position w:val="0"/>
                <w:sz w:val="21"/>
                <w:szCs w:val="21"/>
                <w:highlight w:val="none"/>
                <w:lang w:val="en-US" w:eastAsia="zh-CN" w:bidi="ar"/>
              </w:rPr>
              <w:t>0.017</w:t>
            </w:r>
          </w:p>
        </w:tc>
      </w:tr>
      <w:tr w14:paraId="52B1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continue"/>
            <w:noWrap w:val="0"/>
            <w:vAlign w:val="center"/>
          </w:tcPr>
          <w:p w14:paraId="165EB8E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p>
        </w:tc>
        <w:tc>
          <w:tcPr>
            <w:tcW w:w="1249" w:type="pct"/>
            <w:gridSpan w:val="2"/>
            <w:noWrap w:val="0"/>
            <w:vAlign w:val="center"/>
          </w:tcPr>
          <w:p w14:paraId="4F8FB34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position w:val="0"/>
                <w:sz w:val="21"/>
                <w:szCs w:val="21"/>
                <w:highlight w:val="none"/>
              </w:rPr>
              <w:t>NH</w:t>
            </w:r>
            <w:r>
              <w:rPr>
                <w:rFonts w:hint="default" w:ascii="Times New Roman" w:hAnsi="Times New Roman" w:eastAsia="宋体" w:cs="Times New Roman"/>
                <w:b w:val="0"/>
                <w:bCs w:val="0"/>
                <w:color w:val="auto"/>
                <w:spacing w:val="0"/>
                <w:position w:val="0"/>
                <w:sz w:val="21"/>
                <w:szCs w:val="21"/>
                <w:highlight w:val="none"/>
                <w:vertAlign w:val="subscript"/>
              </w:rPr>
              <w:t>3</w:t>
            </w:r>
            <w:r>
              <w:rPr>
                <w:rFonts w:hint="default" w:ascii="Times New Roman" w:hAnsi="Times New Roman" w:eastAsia="宋体" w:cs="Times New Roman"/>
                <w:b w:val="0"/>
                <w:bCs w:val="0"/>
                <w:color w:val="auto"/>
                <w:spacing w:val="0"/>
                <w:position w:val="0"/>
                <w:sz w:val="21"/>
                <w:szCs w:val="21"/>
                <w:highlight w:val="none"/>
              </w:rPr>
              <w:t>-N</w:t>
            </w:r>
          </w:p>
        </w:tc>
        <w:tc>
          <w:tcPr>
            <w:tcW w:w="1083" w:type="pct"/>
            <w:gridSpan w:val="2"/>
            <w:shd w:val="clear" w:color="auto" w:fill="auto"/>
            <w:noWrap w:val="0"/>
            <w:vAlign w:val="center"/>
          </w:tcPr>
          <w:p w14:paraId="05A0CAC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eastAsia="宋体" w:cs="Times New Roman"/>
                <w:color w:val="auto"/>
                <w:spacing w:val="0"/>
                <w:kern w:val="2"/>
                <w:position w:val="0"/>
                <w:sz w:val="21"/>
                <w:szCs w:val="21"/>
                <w:highlight w:val="none"/>
                <w:lang w:val="en-US" w:eastAsia="zh-CN" w:bidi="ar"/>
              </w:rPr>
              <w:t>0.001</w:t>
            </w:r>
          </w:p>
        </w:tc>
        <w:tc>
          <w:tcPr>
            <w:tcW w:w="1088" w:type="pct"/>
            <w:shd w:val="clear" w:color="auto" w:fill="auto"/>
            <w:noWrap w:val="0"/>
            <w:vAlign w:val="center"/>
          </w:tcPr>
          <w:p w14:paraId="3B84B96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r>
              <w:rPr>
                <w:rFonts w:hint="eastAsia" w:ascii="Times New Roman" w:hAnsi="Times New Roman" w:eastAsia="宋体" w:cs="Times New Roman"/>
                <w:color w:val="auto"/>
                <w:spacing w:val="0"/>
                <w:kern w:val="2"/>
                <w:position w:val="0"/>
                <w:sz w:val="21"/>
                <w:szCs w:val="21"/>
                <w:highlight w:val="none"/>
                <w:lang w:val="en-US" w:eastAsia="zh-CN" w:bidi="ar"/>
              </w:rPr>
              <w:t>0.001</w:t>
            </w:r>
          </w:p>
        </w:tc>
        <w:tc>
          <w:tcPr>
            <w:tcW w:w="1094" w:type="pct"/>
            <w:shd w:val="clear" w:color="auto" w:fill="auto"/>
            <w:noWrap w:val="0"/>
            <w:vAlign w:val="center"/>
          </w:tcPr>
          <w:p w14:paraId="5F795AE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00B0F0"/>
                <w:spacing w:val="0"/>
                <w:kern w:val="2"/>
                <w:position w:val="0"/>
                <w:sz w:val="21"/>
                <w:szCs w:val="21"/>
                <w:highlight w:val="none"/>
                <w:lang w:val="en-US" w:eastAsia="zh-CN" w:bidi="ar"/>
              </w:rPr>
            </w:pPr>
            <w:r>
              <w:rPr>
                <w:rFonts w:hint="eastAsia" w:ascii="Times New Roman" w:hAnsi="Times New Roman" w:eastAsia="宋体" w:cs="Times New Roman"/>
                <w:color w:val="00B0F0"/>
                <w:spacing w:val="0"/>
                <w:kern w:val="2"/>
                <w:position w:val="0"/>
                <w:sz w:val="21"/>
                <w:szCs w:val="21"/>
                <w:highlight w:val="none"/>
                <w:lang w:val="en-US" w:eastAsia="zh-CN" w:bidi="ar"/>
              </w:rPr>
              <w:t>0.001</w:t>
            </w:r>
          </w:p>
        </w:tc>
      </w:tr>
      <w:tr w14:paraId="7443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restart"/>
            <w:noWrap w:val="0"/>
            <w:vAlign w:val="center"/>
          </w:tcPr>
          <w:p w14:paraId="5047FEF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lang w:val="en-US" w:eastAsia="zh-CN"/>
              </w:rPr>
              <w:t>废气</w:t>
            </w:r>
          </w:p>
        </w:tc>
        <w:tc>
          <w:tcPr>
            <w:tcW w:w="641" w:type="pct"/>
            <w:vMerge w:val="restart"/>
            <w:noWrap w:val="0"/>
            <w:vAlign w:val="center"/>
          </w:tcPr>
          <w:p w14:paraId="3ED8DAF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lang w:val="en-US" w:eastAsia="zh-CN"/>
              </w:rPr>
            </w:pPr>
            <w:r>
              <w:rPr>
                <w:rFonts w:hint="default" w:ascii="Times New Roman" w:hAnsi="Times New Roman" w:eastAsia="宋体" w:cs="Times New Roman"/>
                <w:b w:val="0"/>
                <w:bCs w:val="0"/>
                <w:color w:val="auto"/>
                <w:spacing w:val="0"/>
                <w:position w:val="0"/>
                <w:sz w:val="21"/>
                <w:szCs w:val="21"/>
                <w:highlight w:val="none"/>
                <w:lang w:val="en-US" w:eastAsia="zh-CN"/>
              </w:rPr>
              <w:t>挥发性有机物（VOCs）</w:t>
            </w:r>
          </w:p>
        </w:tc>
        <w:tc>
          <w:tcPr>
            <w:tcW w:w="608" w:type="pct"/>
            <w:noWrap w:val="0"/>
            <w:vAlign w:val="center"/>
          </w:tcPr>
          <w:p w14:paraId="0ED5FBC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position w:val="0"/>
                <w:sz w:val="21"/>
                <w:szCs w:val="21"/>
                <w:highlight w:val="none"/>
                <w:lang w:val="en-US" w:eastAsia="zh-CN"/>
              </w:rPr>
              <w:t>有组织</w:t>
            </w:r>
          </w:p>
        </w:tc>
        <w:tc>
          <w:tcPr>
            <w:tcW w:w="539" w:type="pct"/>
            <w:noWrap w:val="0"/>
            <w:vAlign w:val="center"/>
          </w:tcPr>
          <w:p w14:paraId="5337F2B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eastAsia" w:ascii="Times New Roman" w:hAnsi="Times New Roman" w:eastAsia="宋体" w:cs="Times New Roman"/>
                <w:b w:val="0"/>
                <w:bCs w:val="0"/>
                <w:color w:val="auto"/>
                <w:spacing w:val="0"/>
                <w:position w:val="0"/>
                <w:sz w:val="21"/>
                <w:szCs w:val="21"/>
                <w:highlight w:val="none"/>
                <w:lang w:val="en-US" w:eastAsia="zh-CN"/>
              </w:rPr>
              <w:t>0.062</w:t>
            </w:r>
          </w:p>
        </w:tc>
        <w:tc>
          <w:tcPr>
            <w:tcW w:w="543" w:type="pct"/>
            <w:vMerge w:val="restart"/>
            <w:noWrap w:val="0"/>
            <w:vAlign w:val="center"/>
          </w:tcPr>
          <w:p w14:paraId="6D676B07">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lang w:val="en-US" w:eastAsia="zh-CN"/>
              </w:rPr>
              <w:t>0.108</w:t>
            </w:r>
          </w:p>
        </w:tc>
        <w:tc>
          <w:tcPr>
            <w:tcW w:w="1088" w:type="pct"/>
            <w:vMerge w:val="restart"/>
            <w:noWrap w:val="0"/>
            <w:vAlign w:val="center"/>
          </w:tcPr>
          <w:p w14:paraId="7959E2B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lang w:val="en-US" w:eastAsia="zh-CN"/>
              </w:rPr>
            </w:pPr>
            <w:r>
              <w:rPr>
                <w:rFonts w:hint="eastAsia" w:ascii="Times New Roman" w:hAnsi="Times New Roman" w:cs="Times New Roman"/>
                <w:b w:val="0"/>
                <w:bCs w:val="0"/>
                <w:color w:val="auto"/>
                <w:spacing w:val="0"/>
                <w:position w:val="0"/>
                <w:sz w:val="21"/>
                <w:szCs w:val="21"/>
                <w:highlight w:val="none"/>
                <w:lang w:val="en-US" w:eastAsia="zh-CN"/>
              </w:rPr>
              <w:t>0.071</w:t>
            </w:r>
          </w:p>
        </w:tc>
        <w:tc>
          <w:tcPr>
            <w:tcW w:w="1094" w:type="pct"/>
            <w:vMerge w:val="restart"/>
            <w:noWrap w:val="0"/>
            <w:vAlign w:val="center"/>
          </w:tcPr>
          <w:p w14:paraId="74407DC4">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b w:val="0"/>
                <w:bCs w:val="0"/>
                <w:color w:val="00B0F0"/>
                <w:spacing w:val="0"/>
                <w:position w:val="0"/>
                <w:sz w:val="21"/>
                <w:szCs w:val="21"/>
                <w:highlight w:val="none"/>
                <w:lang w:val="en-US" w:eastAsia="zh-CN"/>
              </w:rPr>
            </w:pPr>
            <w:r>
              <w:rPr>
                <w:rFonts w:hint="eastAsia" w:ascii="Times New Roman" w:hAnsi="Times New Roman" w:cs="Times New Roman"/>
                <w:b w:val="0"/>
                <w:bCs w:val="0"/>
                <w:color w:val="00B0F0"/>
                <w:spacing w:val="0"/>
                <w:position w:val="0"/>
                <w:sz w:val="21"/>
                <w:szCs w:val="21"/>
                <w:highlight w:val="none"/>
                <w:lang w:val="en-US" w:eastAsia="zh-CN"/>
              </w:rPr>
              <w:t>0.071</w:t>
            </w:r>
          </w:p>
        </w:tc>
      </w:tr>
      <w:tr w14:paraId="0494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Merge w:val="continue"/>
            <w:noWrap w:val="0"/>
            <w:vAlign w:val="center"/>
          </w:tcPr>
          <w:p w14:paraId="4D8E266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lang w:val="en-US" w:eastAsia="zh-CN"/>
              </w:rPr>
            </w:pPr>
          </w:p>
        </w:tc>
        <w:tc>
          <w:tcPr>
            <w:tcW w:w="641" w:type="pct"/>
            <w:vMerge w:val="continue"/>
            <w:noWrap w:val="0"/>
            <w:vAlign w:val="center"/>
          </w:tcPr>
          <w:p w14:paraId="21585FE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lang w:val="en-US" w:eastAsia="zh-CN"/>
              </w:rPr>
            </w:pPr>
          </w:p>
        </w:tc>
        <w:tc>
          <w:tcPr>
            <w:tcW w:w="608" w:type="pct"/>
            <w:noWrap w:val="0"/>
            <w:vAlign w:val="center"/>
          </w:tcPr>
          <w:p w14:paraId="4272C86C">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position w:val="0"/>
                <w:sz w:val="21"/>
                <w:szCs w:val="21"/>
                <w:highlight w:val="none"/>
                <w:lang w:val="en-US" w:eastAsia="zh-CN"/>
              </w:rPr>
              <w:t>无组织</w:t>
            </w:r>
          </w:p>
        </w:tc>
        <w:tc>
          <w:tcPr>
            <w:tcW w:w="539" w:type="pct"/>
            <w:noWrap w:val="0"/>
            <w:vAlign w:val="center"/>
          </w:tcPr>
          <w:p w14:paraId="7904900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ascii="Times New Roman" w:hAnsi="Times New Roman" w:eastAsia="宋体" w:cs="Times New Roman"/>
                <w:color w:val="auto"/>
                <w:spacing w:val="0"/>
                <w:position w:val="0"/>
                <w:sz w:val="21"/>
                <w:szCs w:val="21"/>
                <w:highlight w:val="none"/>
                <w:lang w:val="en-US" w:eastAsia="zh-CN"/>
              </w:rPr>
              <w:t>0.046</w:t>
            </w:r>
          </w:p>
        </w:tc>
        <w:tc>
          <w:tcPr>
            <w:tcW w:w="543" w:type="pct"/>
            <w:vMerge w:val="continue"/>
            <w:noWrap w:val="0"/>
            <w:vAlign w:val="center"/>
          </w:tcPr>
          <w:p w14:paraId="09FFEF0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
              </w:rPr>
            </w:pPr>
          </w:p>
        </w:tc>
        <w:tc>
          <w:tcPr>
            <w:tcW w:w="1088" w:type="pct"/>
            <w:vMerge w:val="continue"/>
            <w:noWrap w:val="0"/>
            <w:vAlign w:val="center"/>
          </w:tcPr>
          <w:p w14:paraId="24166A7D">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b w:val="0"/>
                <w:bCs w:val="0"/>
                <w:color w:val="auto"/>
                <w:spacing w:val="0"/>
                <w:position w:val="0"/>
                <w:sz w:val="21"/>
                <w:szCs w:val="21"/>
                <w:highlight w:val="none"/>
                <w:lang w:val="en-US" w:eastAsia="zh-CN"/>
              </w:rPr>
            </w:pPr>
          </w:p>
        </w:tc>
        <w:tc>
          <w:tcPr>
            <w:tcW w:w="1094" w:type="pct"/>
            <w:vMerge w:val="continue"/>
            <w:noWrap w:val="0"/>
            <w:vAlign w:val="center"/>
          </w:tcPr>
          <w:p w14:paraId="0D55AD8E">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b w:val="0"/>
                <w:bCs w:val="0"/>
                <w:color w:val="auto"/>
                <w:spacing w:val="0"/>
                <w:position w:val="0"/>
                <w:sz w:val="21"/>
                <w:szCs w:val="21"/>
                <w:highlight w:val="none"/>
                <w:lang w:val="en-US" w:eastAsia="zh-CN"/>
              </w:rPr>
            </w:pPr>
          </w:p>
        </w:tc>
      </w:tr>
      <w:tr w14:paraId="3290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0"/>
            <w:vAlign w:val="center"/>
          </w:tcPr>
          <w:p w14:paraId="14B83CAC">
            <w:pPr>
              <w:keepNext w:val="0"/>
              <w:keepLines w:val="0"/>
              <w:suppressLineNumbers w:val="0"/>
              <w:spacing w:before="0" w:beforeAutospacing="0" w:after="0" w:afterAutospacing="0" w:line="240" w:lineRule="auto"/>
              <w:ind w:left="0" w:right="0"/>
              <w:jc w:val="both"/>
              <w:rPr>
                <w:rFonts w:hint="eastAsia" w:ascii="Times New Roman" w:hAnsi="Times New Roman" w:cs="Times New Roman"/>
                <w:b w:val="0"/>
                <w:bCs w:val="0"/>
                <w:color w:val="00B0F0"/>
                <w:spacing w:val="0"/>
                <w:position w:val="0"/>
                <w:sz w:val="21"/>
                <w:szCs w:val="21"/>
                <w:highlight w:val="none"/>
                <w:lang w:val="en-US" w:eastAsia="zh-CN"/>
              </w:rPr>
            </w:pPr>
            <w:r>
              <w:rPr>
                <w:rFonts w:hint="default" w:ascii="Times New Roman" w:hAnsi="Times New Roman" w:eastAsia="宋体" w:cs="Times New Roman"/>
                <w:b w:val="0"/>
                <w:bCs w:val="0"/>
                <w:color w:val="auto"/>
                <w:spacing w:val="0"/>
                <w:position w:val="0"/>
                <w:sz w:val="21"/>
                <w:szCs w:val="21"/>
                <w:highlight w:val="none"/>
                <w:lang w:val="en-US" w:eastAsia="zh-CN"/>
              </w:rPr>
              <w:t>注</w:t>
            </w:r>
            <w:r>
              <w:rPr>
                <w:rFonts w:hint="eastAsia" w:ascii="Times New Roman" w:hAnsi="Times New Roman" w:cs="Times New Roman"/>
                <w:b w:val="0"/>
                <w:bCs w:val="0"/>
                <w:color w:val="auto"/>
                <w:spacing w:val="0"/>
                <w:position w:val="0"/>
                <w:sz w:val="21"/>
                <w:szCs w:val="21"/>
                <w:highlight w:val="none"/>
                <w:lang w:val="en-US" w:eastAsia="zh-CN"/>
              </w:rPr>
              <w:t>：1、挥发性有机物（VOCs）核算有组织0.025t/a，实际排放量=0.025+0.046=0.071t/a，</w:t>
            </w:r>
            <w:r>
              <w:rPr>
                <w:rFonts w:hint="eastAsia" w:ascii="Times New Roman" w:hAnsi="Times New Roman" w:cs="Times New Roman"/>
                <w:b w:val="0"/>
                <w:bCs w:val="0"/>
                <w:color w:val="00B0F0"/>
                <w:spacing w:val="0"/>
                <w:position w:val="0"/>
                <w:sz w:val="21"/>
                <w:szCs w:val="21"/>
                <w:highlight w:val="none"/>
                <w:lang w:val="en-US" w:eastAsia="zh-CN"/>
              </w:rPr>
              <w:t>满负荷排放量=0.025/99.75%+0.046=0.071t/a；</w:t>
            </w:r>
          </w:p>
          <w:p w14:paraId="597B2284">
            <w:pPr>
              <w:keepNext w:val="0"/>
              <w:keepLines w:val="0"/>
              <w:numPr>
                <w:ilvl w:val="0"/>
                <w:numId w:val="0"/>
              </w:numPr>
              <w:suppressLineNumbers w:val="0"/>
              <w:spacing w:before="0" w:beforeAutospacing="0" w:after="0" w:afterAutospacing="0" w:line="240" w:lineRule="auto"/>
              <w:ind w:left="0" w:right="0" w:rightChars="0" w:firstLine="420" w:firstLineChars="200"/>
              <w:jc w:val="both"/>
              <w:rPr>
                <w:rFonts w:hint="eastAsia" w:ascii="Times New Roman" w:hAnsi="Times New Roman" w:cs="Times New Roman"/>
                <w:b w:val="0"/>
                <w:bCs w:val="0"/>
                <w:color w:val="auto"/>
                <w:spacing w:val="0"/>
                <w:position w:val="0"/>
                <w:sz w:val="21"/>
                <w:szCs w:val="21"/>
                <w:highlight w:val="none"/>
                <w:lang w:val="en-US" w:eastAsia="zh-CN"/>
              </w:rPr>
            </w:pPr>
            <w:r>
              <w:rPr>
                <w:rFonts w:hint="eastAsia" w:ascii="Times New Roman" w:hAnsi="Times New Roman" w:cs="Times New Roman"/>
                <w:b w:val="0"/>
                <w:bCs w:val="0"/>
                <w:color w:val="00B0F0"/>
                <w:spacing w:val="0"/>
                <w:position w:val="0"/>
                <w:sz w:val="21"/>
                <w:szCs w:val="21"/>
                <w:highlight w:val="none"/>
                <w:lang w:val="en-US" w:eastAsia="zh-CN"/>
              </w:rPr>
              <w:t>2、</w:t>
            </w:r>
            <w:r>
              <w:rPr>
                <w:rFonts w:hint="default" w:ascii="Times New Roman" w:hAnsi="Times New Roman" w:eastAsia="宋体" w:cs="Times New Roman"/>
                <w:b w:val="0"/>
                <w:bCs w:val="0"/>
                <w:color w:val="00B0F0"/>
                <w:spacing w:val="0"/>
                <w:position w:val="0"/>
                <w:sz w:val="21"/>
                <w:szCs w:val="21"/>
                <w:highlight w:val="none"/>
                <w:lang w:val="en-US" w:eastAsia="zh-CN"/>
              </w:rPr>
              <w:t>验收监测期间，生产负荷为</w:t>
            </w:r>
            <w:r>
              <w:rPr>
                <w:rFonts w:hint="eastAsia" w:ascii="Times New Roman" w:hAnsi="Times New Roman" w:cs="Times New Roman"/>
                <w:b w:val="0"/>
                <w:bCs w:val="0"/>
                <w:color w:val="00B0F0"/>
                <w:spacing w:val="0"/>
                <w:position w:val="0"/>
                <w:sz w:val="21"/>
                <w:szCs w:val="21"/>
                <w:highlight w:val="none"/>
                <w:lang w:val="en-US" w:eastAsia="zh-CN"/>
              </w:rPr>
              <w:t>99.75</w:t>
            </w:r>
            <w:r>
              <w:rPr>
                <w:rFonts w:hint="default" w:ascii="Times New Roman" w:hAnsi="Times New Roman" w:eastAsia="宋体" w:cs="Times New Roman"/>
                <w:b w:val="0"/>
                <w:bCs w:val="0"/>
                <w:color w:val="00B0F0"/>
                <w:spacing w:val="0"/>
                <w:position w:val="0"/>
                <w:sz w:val="21"/>
                <w:szCs w:val="21"/>
                <w:highlight w:val="none"/>
                <w:lang w:val="en-US" w:eastAsia="zh-CN"/>
              </w:rPr>
              <w:t>%</w:t>
            </w:r>
            <w:r>
              <w:rPr>
                <w:rFonts w:hint="eastAsia" w:ascii="Times New Roman" w:hAnsi="Times New Roman" w:cs="Times New Roman"/>
                <w:b w:val="0"/>
                <w:bCs w:val="0"/>
                <w:color w:val="00B0F0"/>
                <w:spacing w:val="0"/>
                <w:position w:val="0"/>
                <w:sz w:val="21"/>
                <w:szCs w:val="21"/>
                <w:highlight w:val="none"/>
                <w:lang w:val="en-US" w:eastAsia="zh-CN"/>
              </w:rPr>
              <w:t>。</w:t>
            </w:r>
          </w:p>
        </w:tc>
      </w:tr>
    </w:tbl>
    <w:p w14:paraId="0519B26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根据上表可知，实际主要污染物排放总量控制指标COD</w:t>
      </w:r>
      <w:r>
        <w:rPr>
          <w:rFonts w:hint="default" w:ascii="Times New Roman" w:hAnsi="Times New Roman" w:eastAsia="宋体" w:cs="Times New Roman"/>
          <w:color w:val="auto"/>
          <w:kern w:val="2"/>
          <w:sz w:val="24"/>
          <w:szCs w:val="24"/>
          <w:highlight w:val="none"/>
          <w:vertAlign w:val="subscript"/>
          <w:lang w:val="en-US" w:eastAsia="zh-CN" w:bidi="ar"/>
        </w:rPr>
        <w:t>Cr</w:t>
      </w:r>
      <w:r>
        <w:rPr>
          <w:rFonts w:hint="default" w:ascii="Times New Roman" w:hAnsi="Times New Roman" w:eastAsia="宋体" w:cs="Times New Roman"/>
          <w:color w:val="auto"/>
          <w:kern w:val="2"/>
          <w:sz w:val="24"/>
          <w:szCs w:val="24"/>
          <w:highlight w:val="none"/>
          <w:lang w:val="en-US" w:eastAsia="zh-CN" w:bidi="ar"/>
        </w:rPr>
        <w:t>、NH</w:t>
      </w:r>
      <w:r>
        <w:rPr>
          <w:rFonts w:hint="default" w:ascii="Times New Roman" w:hAnsi="Times New Roman" w:eastAsia="宋体" w:cs="Times New Roman"/>
          <w:color w:val="auto"/>
          <w:kern w:val="2"/>
          <w:sz w:val="24"/>
          <w:szCs w:val="24"/>
          <w:highlight w:val="none"/>
          <w:vertAlign w:val="sub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-N</w:t>
      </w:r>
      <w:r>
        <w:rPr>
          <w:rFonts w:hint="eastAsia" w:ascii="Times New Roman" w:hAnsi="Times New Roman" w:eastAsia="宋体" w:cs="Times New Roman"/>
          <w:color w:val="auto"/>
          <w:kern w:val="2"/>
          <w:sz w:val="24"/>
          <w:szCs w:val="21"/>
          <w:highlight w:val="none"/>
          <w:lang w:val="en-US" w:eastAsia="zh-CN" w:bidi="ar"/>
        </w:rPr>
        <w:t>、挥发性有机物（VOCs）</w:t>
      </w:r>
      <w:r>
        <w:rPr>
          <w:rFonts w:hint="default" w:ascii="Times New Roman" w:hAnsi="Times New Roman" w:eastAsia="宋体" w:cs="Times New Roman"/>
          <w:color w:val="auto"/>
          <w:kern w:val="2"/>
          <w:sz w:val="24"/>
          <w:szCs w:val="24"/>
          <w:highlight w:val="none"/>
          <w:lang w:val="en-US" w:eastAsia="zh-CN" w:bidi="ar"/>
        </w:rPr>
        <w:t>均在环评审批的总量控制指标范围内</w:t>
      </w:r>
      <w:r>
        <w:rPr>
          <w:rFonts w:hint="eastAsia" w:ascii="Times New Roman" w:hAnsi="Times New Roman" w:eastAsia="宋体" w:cs="Times New Roman"/>
          <w:color w:val="auto"/>
          <w:kern w:val="2"/>
          <w:sz w:val="24"/>
          <w:szCs w:val="24"/>
          <w:highlight w:val="none"/>
          <w:lang w:val="en-US" w:eastAsia="zh-CN" w:bidi="ar"/>
        </w:rPr>
        <w:t>。</w:t>
      </w:r>
    </w:p>
    <w:p w14:paraId="7AC24D1B">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五、工程建设对环境的影响</w:t>
      </w:r>
    </w:p>
    <w:p w14:paraId="3ABE0D76">
      <w:pPr>
        <w:spacing w:line="360" w:lineRule="auto"/>
        <w:ind w:firstLine="480" w:firstLineChars="200"/>
        <w:rPr>
          <w:rFonts w:hint="default" w:ascii="Times New Roman" w:hAnsi="Times New Roman" w:eastAsia="宋体" w:cs="Times New Roman"/>
          <w:color w:val="auto"/>
          <w:kern w:val="0"/>
          <w:sz w:val="24"/>
          <w:highlight w:val="none"/>
        </w:rPr>
      </w:pPr>
      <w:r>
        <w:rPr>
          <w:rFonts w:ascii="Times New Roman" w:hAnsi="Times New Roman" w:eastAsia="宋体"/>
          <w:color w:val="auto"/>
          <w:kern w:val="0"/>
          <w:sz w:val="24"/>
          <w:szCs w:val="24"/>
          <w:highlight w:val="none"/>
        </w:rPr>
        <w:t>依据《建设项目竣工环境保护验收暂行办法</w:t>
      </w:r>
      <w:r>
        <w:rPr>
          <w:rFonts w:hint="eastAsia" w:ascii="Times New Roman" w:hAnsi="Times New Roman"/>
          <w:color w:val="auto"/>
          <w:kern w:val="0"/>
          <w:sz w:val="24"/>
          <w:szCs w:val="24"/>
          <w:highlight w:val="none"/>
          <w:lang w:eastAsia="zh-CN"/>
        </w:rPr>
        <w:t>》《</w:t>
      </w:r>
      <w:r>
        <w:rPr>
          <w:rFonts w:hint="eastAsia" w:ascii="Times New Roman" w:hAnsi="Times New Roman"/>
          <w:color w:val="auto"/>
          <w:kern w:val="0"/>
          <w:sz w:val="24"/>
          <w:szCs w:val="24"/>
          <w:highlight w:val="none"/>
          <w:lang w:val="en-US" w:eastAsia="zh-CN"/>
        </w:rPr>
        <w:t>安吉德腾家居有限公司年产400万套万向轮迁建项目竣工环境保护</w:t>
      </w:r>
      <w:r>
        <w:rPr>
          <w:rFonts w:ascii="Times New Roman" w:hAnsi="Times New Roman" w:eastAsia="宋体"/>
          <w:color w:val="auto"/>
          <w:kern w:val="0"/>
          <w:sz w:val="24"/>
          <w:szCs w:val="24"/>
          <w:highlight w:val="none"/>
        </w:rPr>
        <w:t>验收监测报告表》等资料及环境保护设施现场检查情况，</w:t>
      </w:r>
      <w:r>
        <w:rPr>
          <w:rFonts w:hint="eastAsia" w:ascii="Times New Roman" w:hAnsi="Times New Roman" w:cs="Times New Roman"/>
          <w:color w:val="auto"/>
          <w:kern w:val="0"/>
          <w:sz w:val="24"/>
          <w:highlight w:val="none"/>
          <w:lang w:val="en-US" w:eastAsia="zh-CN"/>
        </w:rPr>
        <w:t>本项目</w:t>
      </w:r>
      <w:r>
        <w:rPr>
          <w:rFonts w:ascii="Times New Roman" w:hAnsi="Times New Roman" w:eastAsia="宋体"/>
          <w:color w:val="auto"/>
          <w:kern w:val="0"/>
          <w:sz w:val="24"/>
          <w:szCs w:val="24"/>
          <w:highlight w:val="none"/>
        </w:rPr>
        <w:t>环保手续齐全，污染防治措施基本按照环评及批复要求落实；经验收监测，废气、废水、噪声</w:t>
      </w:r>
      <w:r>
        <w:rPr>
          <w:rFonts w:hint="eastAsia" w:ascii="Times New Roman" w:hAnsi="Times New Roman"/>
          <w:color w:val="auto"/>
          <w:kern w:val="0"/>
          <w:sz w:val="24"/>
          <w:szCs w:val="24"/>
          <w:highlight w:val="none"/>
          <w:lang w:val="en-US" w:eastAsia="zh-CN"/>
        </w:rPr>
        <w:t>数据均能</w:t>
      </w:r>
      <w:r>
        <w:rPr>
          <w:rFonts w:ascii="Times New Roman" w:hAnsi="Times New Roman" w:eastAsia="宋体"/>
          <w:color w:val="auto"/>
          <w:kern w:val="0"/>
          <w:sz w:val="24"/>
          <w:szCs w:val="24"/>
          <w:highlight w:val="none"/>
        </w:rPr>
        <w:t>达标，固体废物能得到妥善处置，因此该</w:t>
      </w:r>
      <w:r>
        <w:rPr>
          <w:rFonts w:hint="eastAsia" w:ascii="Times New Roman" w:hAnsi="Times New Roman"/>
          <w:color w:val="auto"/>
          <w:kern w:val="0"/>
          <w:sz w:val="24"/>
          <w:szCs w:val="24"/>
          <w:highlight w:val="none"/>
          <w:lang w:val="en-US" w:eastAsia="zh-CN"/>
        </w:rPr>
        <w:t>本</w:t>
      </w:r>
      <w:r>
        <w:rPr>
          <w:rFonts w:ascii="Times New Roman" w:hAnsi="Times New Roman" w:eastAsia="宋体"/>
          <w:color w:val="auto"/>
          <w:kern w:val="0"/>
          <w:sz w:val="24"/>
          <w:szCs w:val="24"/>
          <w:highlight w:val="none"/>
        </w:rPr>
        <w:t>项目符合申请建设项目竣工环境保护自主验收条件项目，不存在《建设项目竣工环境保护验收暂行办法》第八条中所列验收不合格的情形，符合竣工环境保护验收条件，验收结论为合格。</w:t>
      </w:r>
    </w:p>
    <w:p w14:paraId="7092F482">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六</w:t>
      </w:r>
      <w:r>
        <w:rPr>
          <w:rFonts w:hint="default" w:ascii="Times New Roman" w:hAnsi="Times New Roman" w:eastAsia="宋体" w:cs="Times New Roman"/>
          <w:b/>
          <w:color w:val="auto"/>
          <w:kern w:val="0"/>
          <w:sz w:val="24"/>
          <w:highlight w:val="none"/>
        </w:rPr>
        <w:t>、后续要求</w:t>
      </w:r>
    </w:p>
    <w:p w14:paraId="06ED413F">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（一）完善生产设施和环保设施标识标牌，完善企业环保管理制度，完善各类台账建设。</w:t>
      </w:r>
    </w:p>
    <w:p w14:paraId="38A099E1">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（二）进一步加强对有机废气处理设施的日常管理和维护，定期更换活性炭，并足量填充高碘值活性炭，确保长期稳定达标排放。</w:t>
      </w:r>
    </w:p>
    <w:p w14:paraId="17B8A91D">
      <w:pPr>
        <w:pStyle w:val="4"/>
        <w:spacing w:line="360" w:lineRule="auto"/>
        <w:ind w:left="0" w:firstLine="405" w:firstLineChars="169"/>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w:t>
      </w:r>
      <w:r>
        <w:rPr>
          <w:rFonts w:hint="eastAsia" w:ascii="Times New Roman" w:hAnsi="Times New Roman"/>
          <w:color w:val="auto"/>
          <w:kern w:val="0"/>
          <w:sz w:val="24"/>
          <w:highlight w:val="none"/>
          <w:lang w:val="en-US" w:eastAsia="zh-CN"/>
        </w:rPr>
        <w:t>三</w:t>
      </w:r>
      <w:r>
        <w:rPr>
          <w:rFonts w:ascii="Times New Roman" w:hAnsi="Times New Roman" w:eastAsia="宋体"/>
          <w:color w:val="auto"/>
          <w:kern w:val="0"/>
          <w:sz w:val="24"/>
          <w:highlight w:val="none"/>
        </w:rPr>
        <w:t>）建议企业加强日常环保管理和环境风险防范与应急事件处置能力，并开展演练。</w:t>
      </w:r>
    </w:p>
    <w:p w14:paraId="05925D51">
      <w:pPr>
        <w:spacing w:line="360" w:lineRule="auto"/>
        <w:ind w:firstLine="482" w:firstLineChars="200"/>
        <w:outlineLvl w:val="0"/>
        <w:rPr>
          <w:rFonts w:hint="eastAsia" w:ascii="Times New Roman" w:hAnsi="Times New Roman" w:eastAsia="宋体"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t>七</w:t>
      </w:r>
      <w:r>
        <w:rPr>
          <w:rFonts w:hint="default" w:ascii="Times New Roman" w:hAnsi="Times New Roman" w:eastAsia="宋体" w:cs="Times New Roman"/>
          <w:b/>
          <w:color w:val="auto"/>
          <w:kern w:val="0"/>
          <w:sz w:val="24"/>
          <w:highlight w:val="none"/>
        </w:rPr>
        <w:t>、验收人员</w:t>
      </w:r>
      <w:r>
        <w:rPr>
          <w:rFonts w:hint="eastAsia" w:ascii="Times New Roman" w:hAnsi="Times New Roman" w:cs="Times New Roman"/>
          <w:b/>
          <w:color w:val="auto"/>
          <w:kern w:val="0"/>
          <w:sz w:val="24"/>
          <w:highlight w:val="none"/>
          <w:lang w:val="en-US" w:eastAsia="zh-CN"/>
        </w:rPr>
        <w:t>信息</w:t>
      </w:r>
    </w:p>
    <w:p w14:paraId="21E5254D">
      <w:pPr>
        <w:spacing w:line="360" w:lineRule="auto"/>
        <w:ind w:firstLine="480" w:firstLineChars="200"/>
        <w:jc w:val="both"/>
        <w:rPr>
          <w:rFonts w:hint="eastAsia" w:ascii="Times New Roman" w:hAnsi="Times New Roman"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验收工作组成员名单及信息附后。</w:t>
      </w:r>
    </w:p>
    <w:p w14:paraId="5F8937AF">
      <w:pPr>
        <w:spacing w:line="360" w:lineRule="auto"/>
        <w:ind w:firstLine="480" w:firstLineChars="200"/>
        <w:jc w:val="right"/>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val="en-US" w:eastAsia="zh-CN"/>
        </w:rPr>
        <w:t>安吉德腾家居有限公司</w:t>
      </w:r>
    </w:p>
    <w:p w14:paraId="12C081F6">
      <w:pPr>
        <w:spacing w:line="360" w:lineRule="auto"/>
        <w:ind w:firstLine="480" w:firstLineChars="200"/>
        <w:jc w:val="right"/>
        <w:rPr>
          <w:rFonts w:hint="default" w:ascii="Times New Roman" w:hAnsi="Times New Roman" w:eastAsia="宋体" w:cs="Times New Roman"/>
          <w:color w:val="00B0F0"/>
          <w:sz w:val="24"/>
          <w:szCs w:val="24"/>
          <w:highlight w:val="none"/>
          <w:lang w:val="en-US" w:eastAsia="zh-CN"/>
        </w:rPr>
      </w:pPr>
      <w:r>
        <w:rPr>
          <w:rFonts w:hint="default" w:ascii="Times New Roman" w:hAnsi="Times New Roman" w:eastAsia="宋体" w:cs="Times New Roman"/>
          <w:color w:val="00B0F0"/>
          <w:kern w:val="0"/>
          <w:sz w:val="24"/>
          <w:highlight w:val="none"/>
        </w:rPr>
        <w:t>20</w:t>
      </w:r>
      <w:r>
        <w:rPr>
          <w:rFonts w:hint="default" w:ascii="Times New Roman" w:hAnsi="Times New Roman" w:eastAsia="宋体" w:cs="Times New Roman"/>
          <w:color w:val="00B0F0"/>
          <w:kern w:val="0"/>
          <w:sz w:val="24"/>
          <w:highlight w:val="none"/>
          <w:lang w:val="en-US" w:eastAsia="zh-CN"/>
        </w:rPr>
        <w:t>2</w:t>
      </w:r>
      <w:r>
        <w:rPr>
          <w:rFonts w:hint="eastAsia" w:ascii="Times New Roman" w:hAnsi="Times New Roman" w:cs="Times New Roman"/>
          <w:color w:val="00B0F0"/>
          <w:kern w:val="0"/>
          <w:sz w:val="24"/>
          <w:highlight w:val="none"/>
          <w:lang w:val="en-US" w:eastAsia="zh-CN"/>
        </w:rPr>
        <w:t>5</w:t>
      </w:r>
      <w:r>
        <w:rPr>
          <w:rFonts w:hint="default" w:ascii="Times New Roman" w:hAnsi="Times New Roman" w:eastAsia="宋体" w:cs="Times New Roman"/>
          <w:color w:val="00B0F0"/>
          <w:kern w:val="0"/>
          <w:sz w:val="24"/>
          <w:highlight w:val="none"/>
        </w:rPr>
        <w:t>年</w:t>
      </w:r>
      <w:r>
        <w:rPr>
          <w:rFonts w:hint="eastAsia" w:ascii="Times New Roman" w:hAnsi="Times New Roman" w:cs="Times New Roman"/>
          <w:color w:val="00B0F0"/>
          <w:kern w:val="0"/>
          <w:sz w:val="24"/>
          <w:highlight w:val="none"/>
          <w:lang w:val="en-US" w:eastAsia="zh-CN"/>
        </w:rPr>
        <w:t>4</w:t>
      </w:r>
      <w:r>
        <w:rPr>
          <w:rFonts w:hint="default" w:ascii="Times New Roman" w:hAnsi="Times New Roman" w:eastAsia="宋体" w:cs="Times New Roman"/>
          <w:color w:val="00B0F0"/>
          <w:kern w:val="0"/>
          <w:sz w:val="24"/>
          <w:highlight w:val="none"/>
        </w:rPr>
        <w:t>月</w:t>
      </w:r>
      <w:r>
        <w:rPr>
          <w:rFonts w:hint="eastAsia" w:ascii="Times New Roman" w:hAnsi="Times New Roman" w:cs="Times New Roman"/>
          <w:color w:val="00B0F0"/>
          <w:kern w:val="0"/>
          <w:sz w:val="24"/>
          <w:highlight w:val="none"/>
          <w:lang w:val="en-US" w:eastAsia="zh-CN"/>
        </w:rPr>
        <w:t>17</w:t>
      </w:r>
      <w:r>
        <w:rPr>
          <w:rFonts w:hint="default" w:ascii="Times New Roman" w:hAnsi="Times New Roman" w:eastAsia="宋体" w:cs="Times New Roman"/>
          <w:color w:val="00B0F0"/>
          <w:kern w:val="0"/>
          <w:sz w:val="24"/>
          <w:highlight w:val="none"/>
        </w:rPr>
        <w:t>日</w:t>
      </w:r>
    </w:p>
    <w:sectPr>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F2A9D"/>
    <w:multiLevelType w:val="multilevel"/>
    <w:tmpl w:val="406F2A9D"/>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6F44F3"/>
    <w:rsid w:val="00AE01F7"/>
    <w:rsid w:val="00B87A8B"/>
    <w:rsid w:val="00E15234"/>
    <w:rsid w:val="00EF7950"/>
    <w:rsid w:val="00FD2119"/>
    <w:rsid w:val="013B0DE8"/>
    <w:rsid w:val="01553993"/>
    <w:rsid w:val="01C012ED"/>
    <w:rsid w:val="01C77D80"/>
    <w:rsid w:val="01FD26C6"/>
    <w:rsid w:val="02306473"/>
    <w:rsid w:val="025263E9"/>
    <w:rsid w:val="02B12833"/>
    <w:rsid w:val="02D84414"/>
    <w:rsid w:val="02E828A9"/>
    <w:rsid w:val="031160F4"/>
    <w:rsid w:val="03566F57"/>
    <w:rsid w:val="0363238C"/>
    <w:rsid w:val="038D16A3"/>
    <w:rsid w:val="038F541B"/>
    <w:rsid w:val="03DB41BC"/>
    <w:rsid w:val="04096F7B"/>
    <w:rsid w:val="040F20B8"/>
    <w:rsid w:val="041D6583"/>
    <w:rsid w:val="04497378"/>
    <w:rsid w:val="045126D0"/>
    <w:rsid w:val="047A39D5"/>
    <w:rsid w:val="04F34A42"/>
    <w:rsid w:val="058C7E64"/>
    <w:rsid w:val="0597059F"/>
    <w:rsid w:val="05F31C91"/>
    <w:rsid w:val="06103038"/>
    <w:rsid w:val="063A5C43"/>
    <w:rsid w:val="064A73D7"/>
    <w:rsid w:val="065B7836"/>
    <w:rsid w:val="06EE09F3"/>
    <w:rsid w:val="072736DA"/>
    <w:rsid w:val="072B7687"/>
    <w:rsid w:val="072C3B31"/>
    <w:rsid w:val="073472B0"/>
    <w:rsid w:val="07373DFF"/>
    <w:rsid w:val="074F1149"/>
    <w:rsid w:val="075C73C2"/>
    <w:rsid w:val="077F5883"/>
    <w:rsid w:val="07A5520D"/>
    <w:rsid w:val="08406CE4"/>
    <w:rsid w:val="08762705"/>
    <w:rsid w:val="088968DD"/>
    <w:rsid w:val="08B651F8"/>
    <w:rsid w:val="08C07E24"/>
    <w:rsid w:val="09063A89"/>
    <w:rsid w:val="09153CCC"/>
    <w:rsid w:val="093B7E06"/>
    <w:rsid w:val="094D7C70"/>
    <w:rsid w:val="09594501"/>
    <w:rsid w:val="095A3DD5"/>
    <w:rsid w:val="098F4818"/>
    <w:rsid w:val="09D21442"/>
    <w:rsid w:val="09D8054F"/>
    <w:rsid w:val="0A352E89"/>
    <w:rsid w:val="0A410AF1"/>
    <w:rsid w:val="0A420C4B"/>
    <w:rsid w:val="0AAC0EF8"/>
    <w:rsid w:val="0ABE325C"/>
    <w:rsid w:val="0AC62EBA"/>
    <w:rsid w:val="0AED5AFE"/>
    <w:rsid w:val="0AFA5870"/>
    <w:rsid w:val="0B097861"/>
    <w:rsid w:val="0B1A43F5"/>
    <w:rsid w:val="0B297F03"/>
    <w:rsid w:val="0B4602A1"/>
    <w:rsid w:val="0B4E5BBB"/>
    <w:rsid w:val="0B64718D"/>
    <w:rsid w:val="0B753148"/>
    <w:rsid w:val="0B8E420A"/>
    <w:rsid w:val="0BB51A45"/>
    <w:rsid w:val="0BDF6813"/>
    <w:rsid w:val="0BEF4CA9"/>
    <w:rsid w:val="0BF57DE5"/>
    <w:rsid w:val="0C542D5E"/>
    <w:rsid w:val="0CAF3B7D"/>
    <w:rsid w:val="0CBB2DDD"/>
    <w:rsid w:val="0CE20369"/>
    <w:rsid w:val="0CEC568C"/>
    <w:rsid w:val="0D0C378D"/>
    <w:rsid w:val="0D134413"/>
    <w:rsid w:val="0D2E7A52"/>
    <w:rsid w:val="0D4940E8"/>
    <w:rsid w:val="0D75673E"/>
    <w:rsid w:val="0DB3645F"/>
    <w:rsid w:val="0DE30506"/>
    <w:rsid w:val="0E4F5ED2"/>
    <w:rsid w:val="0E752FC5"/>
    <w:rsid w:val="0F2A5FF8"/>
    <w:rsid w:val="0F2B6C1B"/>
    <w:rsid w:val="0F803D94"/>
    <w:rsid w:val="10101691"/>
    <w:rsid w:val="10234F21"/>
    <w:rsid w:val="10596B94"/>
    <w:rsid w:val="10702130"/>
    <w:rsid w:val="108A4FA0"/>
    <w:rsid w:val="10F22B45"/>
    <w:rsid w:val="10F60887"/>
    <w:rsid w:val="115D26B4"/>
    <w:rsid w:val="118A6CA0"/>
    <w:rsid w:val="11D230A2"/>
    <w:rsid w:val="12130FC5"/>
    <w:rsid w:val="12575356"/>
    <w:rsid w:val="125F5E2E"/>
    <w:rsid w:val="126A598F"/>
    <w:rsid w:val="134C0770"/>
    <w:rsid w:val="13596EAB"/>
    <w:rsid w:val="135D042F"/>
    <w:rsid w:val="13957CB9"/>
    <w:rsid w:val="13C133CE"/>
    <w:rsid w:val="13D673F9"/>
    <w:rsid w:val="13DC6D4B"/>
    <w:rsid w:val="146E6986"/>
    <w:rsid w:val="14A800EA"/>
    <w:rsid w:val="14B120F6"/>
    <w:rsid w:val="14D07641"/>
    <w:rsid w:val="14D41776"/>
    <w:rsid w:val="150A66AF"/>
    <w:rsid w:val="150D2643"/>
    <w:rsid w:val="152534E9"/>
    <w:rsid w:val="152F0BBC"/>
    <w:rsid w:val="15870CEB"/>
    <w:rsid w:val="16287735"/>
    <w:rsid w:val="1683324F"/>
    <w:rsid w:val="16A42B33"/>
    <w:rsid w:val="16CA07EC"/>
    <w:rsid w:val="16D57191"/>
    <w:rsid w:val="16F45869"/>
    <w:rsid w:val="16F95920"/>
    <w:rsid w:val="16FC64CC"/>
    <w:rsid w:val="172B7D93"/>
    <w:rsid w:val="174B2FAF"/>
    <w:rsid w:val="17681DB3"/>
    <w:rsid w:val="17B429B6"/>
    <w:rsid w:val="17EB45EE"/>
    <w:rsid w:val="1853036D"/>
    <w:rsid w:val="1866284C"/>
    <w:rsid w:val="18932E60"/>
    <w:rsid w:val="189337CE"/>
    <w:rsid w:val="18C57A32"/>
    <w:rsid w:val="18E52319"/>
    <w:rsid w:val="19436634"/>
    <w:rsid w:val="19472921"/>
    <w:rsid w:val="19570331"/>
    <w:rsid w:val="197131A1"/>
    <w:rsid w:val="19E576EB"/>
    <w:rsid w:val="19EF40C6"/>
    <w:rsid w:val="19F83716"/>
    <w:rsid w:val="1A197394"/>
    <w:rsid w:val="1A473F02"/>
    <w:rsid w:val="1A4F5002"/>
    <w:rsid w:val="1A974E89"/>
    <w:rsid w:val="1A9E6056"/>
    <w:rsid w:val="1ABF0187"/>
    <w:rsid w:val="1AC8792A"/>
    <w:rsid w:val="1B015BDC"/>
    <w:rsid w:val="1B1D4C62"/>
    <w:rsid w:val="1B215A8A"/>
    <w:rsid w:val="1B6862D7"/>
    <w:rsid w:val="1B7F33D1"/>
    <w:rsid w:val="1B806455"/>
    <w:rsid w:val="1BA17641"/>
    <w:rsid w:val="1BB40EED"/>
    <w:rsid w:val="1BB46365"/>
    <w:rsid w:val="1BB479A2"/>
    <w:rsid w:val="1BD143CB"/>
    <w:rsid w:val="1BE0016A"/>
    <w:rsid w:val="1C085913"/>
    <w:rsid w:val="1C0F6CA1"/>
    <w:rsid w:val="1C313849"/>
    <w:rsid w:val="1C576A9C"/>
    <w:rsid w:val="1C6A7562"/>
    <w:rsid w:val="1C6D08DF"/>
    <w:rsid w:val="1C6D515A"/>
    <w:rsid w:val="1C760ACE"/>
    <w:rsid w:val="1C9E1AEA"/>
    <w:rsid w:val="1D043207"/>
    <w:rsid w:val="1D0936F0"/>
    <w:rsid w:val="1D352737"/>
    <w:rsid w:val="1D992CC6"/>
    <w:rsid w:val="1DB23D88"/>
    <w:rsid w:val="1DE55F0B"/>
    <w:rsid w:val="1DE71C83"/>
    <w:rsid w:val="1DF9228A"/>
    <w:rsid w:val="1E0A7720"/>
    <w:rsid w:val="1E116D00"/>
    <w:rsid w:val="1E401394"/>
    <w:rsid w:val="1E592A71"/>
    <w:rsid w:val="1E7948A6"/>
    <w:rsid w:val="1EC27FFB"/>
    <w:rsid w:val="1ED04016"/>
    <w:rsid w:val="1F525822"/>
    <w:rsid w:val="1FD955FC"/>
    <w:rsid w:val="1FFC6A34"/>
    <w:rsid w:val="200F54C2"/>
    <w:rsid w:val="201725C8"/>
    <w:rsid w:val="20605D1D"/>
    <w:rsid w:val="206C7B49"/>
    <w:rsid w:val="207120C3"/>
    <w:rsid w:val="20971013"/>
    <w:rsid w:val="209E7C51"/>
    <w:rsid w:val="20F67487"/>
    <w:rsid w:val="21115269"/>
    <w:rsid w:val="21225204"/>
    <w:rsid w:val="21294361"/>
    <w:rsid w:val="216B2BCB"/>
    <w:rsid w:val="2184503B"/>
    <w:rsid w:val="21B17C21"/>
    <w:rsid w:val="22200FE5"/>
    <w:rsid w:val="22242A4E"/>
    <w:rsid w:val="222D1ACA"/>
    <w:rsid w:val="228527E6"/>
    <w:rsid w:val="228C4BA7"/>
    <w:rsid w:val="229B20FD"/>
    <w:rsid w:val="22B8599C"/>
    <w:rsid w:val="22D45DCA"/>
    <w:rsid w:val="232B4410"/>
    <w:rsid w:val="233F7E6C"/>
    <w:rsid w:val="23863CED"/>
    <w:rsid w:val="23B5012E"/>
    <w:rsid w:val="23BD07B1"/>
    <w:rsid w:val="23C62FBD"/>
    <w:rsid w:val="23EB492D"/>
    <w:rsid w:val="24A7216D"/>
    <w:rsid w:val="24BF3430"/>
    <w:rsid w:val="24D34D10"/>
    <w:rsid w:val="24EC5DD1"/>
    <w:rsid w:val="25227A45"/>
    <w:rsid w:val="25257535"/>
    <w:rsid w:val="25330E57"/>
    <w:rsid w:val="254C0C39"/>
    <w:rsid w:val="2551032A"/>
    <w:rsid w:val="257150D5"/>
    <w:rsid w:val="25867FD4"/>
    <w:rsid w:val="25BE6335"/>
    <w:rsid w:val="25C805EC"/>
    <w:rsid w:val="25DD571A"/>
    <w:rsid w:val="25E371D4"/>
    <w:rsid w:val="26103D41"/>
    <w:rsid w:val="2612465B"/>
    <w:rsid w:val="261455E0"/>
    <w:rsid w:val="26C32B62"/>
    <w:rsid w:val="27421CD9"/>
    <w:rsid w:val="27D56FF1"/>
    <w:rsid w:val="280653FC"/>
    <w:rsid w:val="282E63AD"/>
    <w:rsid w:val="285D507A"/>
    <w:rsid w:val="28F65471"/>
    <w:rsid w:val="290F5367"/>
    <w:rsid w:val="29134EDD"/>
    <w:rsid w:val="29A749BD"/>
    <w:rsid w:val="29B13146"/>
    <w:rsid w:val="29BF1D06"/>
    <w:rsid w:val="2A557F75"/>
    <w:rsid w:val="2A5C7555"/>
    <w:rsid w:val="2A9E0161"/>
    <w:rsid w:val="2B285689"/>
    <w:rsid w:val="2B381D70"/>
    <w:rsid w:val="2B41609E"/>
    <w:rsid w:val="2B45623B"/>
    <w:rsid w:val="2B4B2AFB"/>
    <w:rsid w:val="2B764647"/>
    <w:rsid w:val="2B88437A"/>
    <w:rsid w:val="2B9D7E25"/>
    <w:rsid w:val="2BB33AB6"/>
    <w:rsid w:val="2BB40E5B"/>
    <w:rsid w:val="2C4E7372"/>
    <w:rsid w:val="2CDC497D"/>
    <w:rsid w:val="2CF0667B"/>
    <w:rsid w:val="2CF41CC7"/>
    <w:rsid w:val="2D0B1F79"/>
    <w:rsid w:val="2D77745E"/>
    <w:rsid w:val="2D7E3C87"/>
    <w:rsid w:val="2D864EB0"/>
    <w:rsid w:val="2E0200FB"/>
    <w:rsid w:val="2E4647A4"/>
    <w:rsid w:val="2E567191"/>
    <w:rsid w:val="2E6B37BB"/>
    <w:rsid w:val="2E82663A"/>
    <w:rsid w:val="2E905A1F"/>
    <w:rsid w:val="2E9D1104"/>
    <w:rsid w:val="2EB15996"/>
    <w:rsid w:val="2EBC6814"/>
    <w:rsid w:val="2EC3451F"/>
    <w:rsid w:val="2EF20488"/>
    <w:rsid w:val="2EF53AD4"/>
    <w:rsid w:val="2EFA558F"/>
    <w:rsid w:val="2F1B7324"/>
    <w:rsid w:val="2F527179"/>
    <w:rsid w:val="2F7215C9"/>
    <w:rsid w:val="2F7C41F6"/>
    <w:rsid w:val="2F8B61E7"/>
    <w:rsid w:val="2FA5288E"/>
    <w:rsid w:val="2FE83639"/>
    <w:rsid w:val="300541EB"/>
    <w:rsid w:val="303B19BB"/>
    <w:rsid w:val="303F598D"/>
    <w:rsid w:val="3058256D"/>
    <w:rsid w:val="306233EC"/>
    <w:rsid w:val="30782C0F"/>
    <w:rsid w:val="307920D8"/>
    <w:rsid w:val="308405B2"/>
    <w:rsid w:val="309003C3"/>
    <w:rsid w:val="30917605"/>
    <w:rsid w:val="30A532D8"/>
    <w:rsid w:val="30DB6CFA"/>
    <w:rsid w:val="30E90E7B"/>
    <w:rsid w:val="3126266B"/>
    <w:rsid w:val="31440D43"/>
    <w:rsid w:val="31480833"/>
    <w:rsid w:val="319C46DB"/>
    <w:rsid w:val="31B201DD"/>
    <w:rsid w:val="31B22151"/>
    <w:rsid w:val="31BD1DC4"/>
    <w:rsid w:val="31CD2AE7"/>
    <w:rsid w:val="32052280"/>
    <w:rsid w:val="32A25D21"/>
    <w:rsid w:val="32A27F10"/>
    <w:rsid w:val="32BE21C5"/>
    <w:rsid w:val="32D83E39"/>
    <w:rsid w:val="33152997"/>
    <w:rsid w:val="331621F9"/>
    <w:rsid w:val="331812CD"/>
    <w:rsid w:val="33291F9F"/>
    <w:rsid w:val="332E6808"/>
    <w:rsid w:val="33574D5E"/>
    <w:rsid w:val="33A01007"/>
    <w:rsid w:val="33BE4DDD"/>
    <w:rsid w:val="33D43DBD"/>
    <w:rsid w:val="33DC5263"/>
    <w:rsid w:val="340F388A"/>
    <w:rsid w:val="341E3ACD"/>
    <w:rsid w:val="343F4A14"/>
    <w:rsid w:val="349A75F8"/>
    <w:rsid w:val="34BD5094"/>
    <w:rsid w:val="34D50630"/>
    <w:rsid w:val="34EC4711"/>
    <w:rsid w:val="35011425"/>
    <w:rsid w:val="35170C48"/>
    <w:rsid w:val="351F3913"/>
    <w:rsid w:val="35337151"/>
    <w:rsid w:val="354B1C81"/>
    <w:rsid w:val="355A6D87"/>
    <w:rsid w:val="35642E36"/>
    <w:rsid w:val="35AB37D1"/>
    <w:rsid w:val="35CB558F"/>
    <w:rsid w:val="35ED19A9"/>
    <w:rsid w:val="361909F0"/>
    <w:rsid w:val="361E6007"/>
    <w:rsid w:val="36251143"/>
    <w:rsid w:val="36297C02"/>
    <w:rsid w:val="36511F38"/>
    <w:rsid w:val="36633A19"/>
    <w:rsid w:val="36877708"/>
    <w:rsid w:val="36941E25"/>
    <w:rsid w:val="36B349A1"/>
    <w:rsid w:val="36C721FA"/>
    <w:rsid w:val="36E20737"/>
    <w:rsid w:val="36F01751"/>
    <w:rsid w:val="375872F6"/>
    <w:rsid w:val="3784633D"/>
    <w:rsid w:val="379B74CF"/>
    <w:rsid w:val="37FB5F35"/>
    <w:rsid w:val="38030A86"/>
    <w:rsid w:val="382D3998"/>
    <w:rsid w:val="38877E93"/>
    <w:rsid w:val="38972E1C"/>
    <w:rsid w:val="38CF1470"/>
    <w:rsid w:val="38E70932"/>
    <w:rsid w:val="38F17F19"/>
    <w:rsid w:val="3914549F"/>
    <w:rsid w:val="39287C1C"/>
    <w:rsid w:val="39763A64"/>
    <w:rsid w:val="39777F08"/>
    <w:rsid w:val="397D3044"/>
    <w:rsid w:val="39C3314D"/>
    <w:rsid w:val="39FE23D7"/>
    <w:rsid w:val="3A16319D"/>
    <w:rsid w:val="3A810912"/>
    <w:rsid w:val="3A914FF9"/>
    <w:rsid w:val="3AC80920"/>
    <w:rsid w:val="3AC90C3C"/>
    <w:rsid w:val="3AF45588"/>
    <w:rsid w:val="3B0319E9"/>
    <w:rsid w:val="3B385475"/>
    <w:rsid w:val="3B4E3612"/>
    <w:rsid w:val="3B590718"/>
    <w:rsid w:val="3B824942"/>
    <w:rsid w:val="3BC74A4B"/>
    <w:rsid w:val="3BFC2946"/>
    <w:rsid w:val="3C0C3CEF"/>
    <w:rsid w:val="3C320282"/>
    <w:rsid w:val="3C6F1EA0"/>
    <w:rsid w:val="3CEC49C0"/>
    <w:rsid w:val="3D437B38"/>
    <w:rsid w:val="3D566086"/>
    <w:rsid w:val="3DAE7C70"/>
    <w:rsid w:val="3DC70D32"/>
    <w:rsid w:val="3E2B7513"/>
    <w:rsid w:val="3E605959"/>
    <w:rsid w:val="3E7762B4"/>
    <w:rsid w:val="3EA177D5"/>
    <w:rsid w:val="3F0365C7"/>
    <w:rsid w:val="3F0D6C18"/>
    <w:rsid w:val="3F76656C"/>
    <w:rsid w:val="3F937B68"/>
    <w:rsid w:val="3FB0378B"/>
    <w:rsid w:val="3FDA11F0"/>
    <w:rsid w:val="400C0C7E"/>
    <w:rsid w:val="40381A73"/>
    <w:rsid w:val="404E1296"/>
    <w:rsid w:val="405A7C3B"/>
    <w:rsid w:val="40AD2461"/>
    <w:rsid w:val="40E439A9"/>
    <w:rsid w:val="410D12F8"/>
    <w:rsid w:val="41222D9A"/>
    <w:rsid w:val="415029D9"/>
    <w:rsid w:val="41670862"/>
    <w:rsid w:val="41F93484"/>
    <w:rsid w:val="420F2CA7"/>
    <w:rsid w:val="4214206C"/>
    <w:rsid w:val="42722B78"/>
    <w:rsid w:val="431762B8"/>
    <w:rsid w:val="434D1CD9"/>
    <w:rsid w:val="43575F8F"/>
    <w:rsid w:val="43737CDA"/>
    <w:rsid w:val="43816ECE"/>
    <w:rsid w:val="43827BB1"/>
    <w:rsid w:val="43BB08DC"/>
    <w:rsid w:val="43C27FD1"/>
    <w:rsid w:val="43E02B4D"/>
    <w:rsid w:val="44182A93"/>
    <w:rsid w:val="442A13D9"/>
    <w:rsid w:val="444162D1"/>
    <w:rsid w:val="44AD6ED3"/>
    <w:rsid w:val="44B21CE6"/>
    <w:rsid w:val="44C25F0B"/>
    <w:rsid w:val="452D3B70"/>
    <w:rsid w:val="453365B0"/>
    <w:rsid w:val="45605CF4"/>
    <w:rsid w:val="45EB358E"/>
    <w:rsid w:val="45F34DBA"/>
    <w:rsid w:val="460365FF"/>
    <w:rsid w:val="460C5E7C"/>
    <w:rsid w:val="463D7DBF"/>
    <w:rsid w:val="46530312"/>
    <w:rsid w:val="46537607"/>
    <w:rsid w:val="46713811"/>
    <w:rsid w:val="468E4AE3"/>
    <w:rsid w:val="469814BD"/>
    <w:rsid w:val="475A49C5"/>
    <w:rsid w:val="475C698F"/>
    <w:rsid w:val="47727F60"/>
    <w:rsid w:val="477618A3"/>
    <w:rsid w:val="479510FE"/>
    <w:rsid w:val="47C3064B"/>
    <w:rsid w:val="47D62F59"/>
    <w:rsid w:val="481F0EAE"/>
    <w:rsid w:val="483A26D1"/>
    <w:rsid w:val="488429C0"/>
    <w:rsid w:val="48CE11C6"/>
    <w:rsid w:val="48E42798"/>
    <w:rsid w:val="48FC1291"/>
    <w:rsid w:val="49D56585"/>
    <w:rsid w:val="49D9587C"/>
    <w:rsid w:val="49E334F6"/>
    <w:rsid w:val="49EE6266"/>
    <w:rsid w:val="4A3239D7"/>
    <w:rsid w:val="4A5E042C"/>
    <w:rsid w:val="4A743FEF"/>
    <w:rsid w:val="4AA5064D"/>
    <w:rsid w:val="4ABD7744"/>
    <w:rsid w:val="4ACC160C"/>
    <w:rsid w:val="4AD36F68"/>
    <w:rsid w:val="4B427C4A"/>
    <w:rsid w:val="4B773D97"/>
    <w:rsid w:val="4BAD581D"/>
    <w:rsid w:val="4BF65E1D"/>
    <w:rsid w:val="4C09265D"/>
    <w:rsid w:val="4C1356A2"/>
    <w:rsid w:val="4CAB577D"/>
    <w:rsid w:val="4D0478AD"/>
    <w:rsid w:val="4D097DFF"/>
    <w:rsid w:val="4D3637DE"/>
    <w:rsid w:val="4D4001B9"/>
    <w:rsid w:val="4D4128AF"/>
    <w:rsid w:val="4D492AC2"/>
    <w:rsid w:val="4D5B24C8"/>
    <w:rsid w:val="4DBD7A5B"/>
    <w:rsid w:val="4DC66A12"/>
    <w:rsid w:val="4DDE00FE"/>
    <w:rsid w:val="4DF711BF"/>
    <w:rsid w:val="4E04104E"/>
    <w:rsid w:val="4E165AE9"/>
    <w:rsid w:val="4E2A3343"/>
    <w:rsid w:val="4E406DDB"/>
    <w:rsid w:val="4E6B025A"/>
    <w:rsid w:val="4E8A5B90"/>
    <w:rsid w:val="4E923725"/>
    <w:rsid w:val="4EA2112B"/>
    <w:rsid w:val="4EC15F85"/>
    <w:rsid w:val="4EC527A3"/>
    <w:rsid w:val="4EDB63EB"/>
    <w:rsid w:val="4F005E52"/>
    <w:rsid w:val="4F05790C"/>
    <w:rsid w:val="4F0911AA"/>
    <w:rsid w:val="50231584"/>
    <w:rsid w:val="50724B2D"/>
    <w:rsid w:val="50AA42C7"/>
    <w:rsid w:val="50DE6667"/>
    <w:rsid w:val="510F0E13"/>
    <w:rsid w:val="514B4F78"/>
    <w:rsid w:val="516C5BA3"/>
    <w:rsid w:val="516E30C1"/>
    <w:rsid w:val="51E23F34"/>
    <w:rsid w:val="51ED7522"/>
    <w:rsid w:val="51FF7420"/>
    <w:rsid w:val="5245699D"/>
    <w:rsid w:val="525C3CE7"/>
    <w:rsid w:val="52755359"/>
    <w:rsid w:val="52923265"/>
    <w:rsid w:val="52990A97"/>
    <w:rsid w:val="52B72CCB"/>
    <w:rsid w:val="52C11D9C"/>
    <w:rsid w:val="52FB25DA"/>
    <w:rsid w:val="53475896"/>
    <w:rsid w:val="53582700"/>
    <w:rsid w:val="537329AF"/>
    <w:rsid w:val="53755060"/>
    <w:rsid w:val="539232B3"/>
    <w:rsid w:val="53B042EA"/>
    <w:rsid w:val="53D0673A"/>
    <w:rsid w:val="541624AE"/>
    <w:rsid w:val="54330CD9"/>
    <w:rsid w:val="544A6CFB"/>
    <w:rsid w:val="545207D2"/>
    <w:rsid w:val="545C3B2A"/>
    <w:rsid w:val="54684676"/>
    <w:rsid w:val="55254864"/>
    <w:rsid w:val="554967A4"/>
    <w:rsid w:val="554C1DF1"/>
    <w:rsid w:val="556E7FB9"/>
    <w:rsid w:val="557056B1"/>
    <w:rsid w:val="55823A64"/>
    <w:rsid w:val="55982572"/>
    <w:rsid w:val="55AC7BBD"/>
    <w:rsid w:val="55F61D5C"/>
    <w:rsid w:val="561D378D"/>
    <w:rsid w:val="56225547"/>
    <w:rsid w:val="5625513D"/>
    <w:rsid w:val="563034C0"/>
    <w:rsid w:val="56504000"/>
    <w:rsid w:val="56B063AF"/>
    <w:rsid w:val="56BD287A"/>
    <w:rsid w:val="56EB388B"/>
    <w:rsid w:val="56F03D6C"/>
    <w:rsid w:val="57252A57"/>
    <w:rsid w:val="57340D8E"/>
    <w:rsid w:val="57571CBA"/>
    <w:rsid w:val="577B69BD"/>
    <w:rsid w:val="579E7882"/>
    <w:rsid w:val="57AA72A2"/>
    <w:rsid w:val="57EA4A45"/>
    <w:rsid w:val="57F1536A"/>
    <w:rsid w:val="58064C3C"/>
    <w:rsid w:val="580E5A83"/>
    <w:rsid w:val="58331046"/>
    <w:rsid w:val="58647451"/>
    <w:rsid w:val="586B3150"/>
    <w:rsid w:val="589C097F"/>
    <w:rsid w:val="59044790"/>
    <w:rsid w:val="59111F0A"/>
    <w:rsid w:val="592554A0"/>
    <w:rsid w:val="594554D5"/>
    <w:rsid w:val="59547B0C"/>
    <w:rsid w:val="59A06702"/>
    <w:rsid w:val="59A246D5"/>
    <w:rsid w:val="59D423B5"/>
    <w:rsid w:val="59FB3DE5"/>
    <w:rsid w:val="5A2055FA"/>
    <w:rsid w:val="5A2A6479"/>
    <w:rsid w:val="5A67147B"/>
    <w:rsid w:val="5A855CC9"/>
    <w:rsid w:val="5AB511FC"/>
    <w:rsid w:val="5AC23CD1"/>
    <w:rsid w:val="5B286E5C"/>
    <w:rsid w:val="5B5548D8"/>
    <w:rsid w:val="5B8322E4"/>
    <w:rsid w:val="5B94629C"/>
    <w:rsid w:val="5BE56AFB"/>
    <w:rsid w:val="5C2313D1"/>
    <w:rsid w:val="5C394FAE"/>
    <w:rsid w:val="5C677510"/>
    <w:rsid w:val="5C693288"/>
    <w:rsid w:val="5C795370"/>
    <w:rsid w:val="5C7B5ADE"/>
    <w:rsid w:val="5C7D31D8"/>
    <w:rsid w:val="5C982577"/>
    <w:rsid w:val="5CCB7A9F"/>
    <w:rsid w:val="5CD3198F"/>
    <w:rsid w:val="5CDB3A5A"/>
    <w:rsid w:val="5D1256CE"/>
    <w:rsid w:val="5D184CAE"/>
    <w:rsid w:val="5D320C20"/>
    <w:rsid w:val="5D46706C"/>
    <w:rsid w:val="5D605245"/>
    <w:rsid w:val="5D6472A3"/>
    <w:rsid w:val="5D8D2FA6"/>
    <w:rsid w:val="5DA42323"/>
    <w:rsid w:val="5DBC7D30"/>
    <w:rsid w:val="5DED1ED3"/>
    <w:rsid w:val="5E176D14"/>
    <w:rsid w:val="5E3C677A"/>
    <w:rsid w:val="5E714676"/>
    <w:rsid w:val="5E7F3237"/>
    <w:rsid w:val="5E9F11E3"/>
    <w:rsid w:val="5ED74E21"/>
    <w:rsid w:val="5EDA221B"/>
    <w:rsid w:val="5EE440EC"/>
    <w:rsid w:val="5F5D4BFA"/>
    <w:rsid w:val="5F797C86"/>
    <w:rsid w:val="5F9920D6"/>
    <w:rsid w:val="5FB409B1"/>
    <w:rsid w:val="5FB84027"/>
    <w:rsid w:val="5FC15189"/>
    <w:rsid w:val="5FE95F02"/>
    <w:rsid w:val="600C4F8E"/>
    <w:rsid w:val="60160C30"/>
    <w:rsid w:val="60270C25"/>
    <w:rsid w:val="60425A2F"/>
    <w:rsid w:val="6062696C"/>
    <w:rsid w:val="60AC5E39"/>
    <w:rsid w:val="60C70EC5"/>
    <w:rsid w:val="60D55390"/>
    <w:rsid w:val="625C563D"/>
    <w:rsid w:val="627B506E"/>
    <w:rsid w:val="628C5F22"/>
    <w:rsid w:val="62B15989"/>
    <w:rsid w:val="630730C7"/>
    <w:rsid w:val="635C2B47"/>
    <w:rsid w:val="639C3F43"/>
    <w:rsid w:val="63A762A6"/>
    <w:rsid w:val="63BB78A1"/>
    <w:rsid w:val="63BE035D"/>
    <w:rsid w:val="63E13A0B"/>
    <w:rsid w:val="63EE0517"/>
    <w:rsid w:val="63F54E11"/>
    <w:rsid w:val="6401024A"/>
    <w:rsid w:val="640A70BB"/>
    <w:rsid w:val="64177A6E"/>
    <w:rsid w:val="64550596"/>
    <w:rsid w:val="645C19DC"/>
    <w:rsid w:val="648C220A"/>
    <w:rsid w:val="649E30EE"/>
    <w:rsid w:val="64D55573"/>
    <w:rsid w:val="64F953C5"/>
    <w:rsid w:val="64FB5E91"/>
    <w:rsid w:val="653855DE"/>
    <w:rsid w:val="65430077"/>
    <w:rsid w:val="656E5DB3"/>
    <w:rsid w:val="65D715A9"/>
    <w:rsid w:val="661D72B3"/>
    <w:rsid w:val="662927B2"/>
    <w:rsid w:val="662C2F95"/>
    <w:rsid w:val="666F48B2"/>
    <w:rsid w:val="66812FCE"/>
    <w:rsid w:val="66845C6B"/>
    <w:rsid w:val="66897B56"/>
    <w:rsid w:val="669E446B"/>
    <w:rsid w:val="66B3027F"/>
    <w:rsid w:val="66CC2D91"/>
    <w:rsid w:val="676C6322"/>
    <w:rsid w:val="67E91721"/>
    <w:rsid w:val="6813420D"/>
    <w:rsid w:val="684828EC"/>
    <w:rsid w:val="689E0B09"/>
    <w:rsid w:val="68AF64C7"/>
    <w:rsid w:val="68BA2E4A"/>
    <w:rsid w:val="68BF2482"/>
    <w:rsid w:val="68D57089"/>
    <w:rsid w:val="68D75A1D"/>
    <w:rsid w:val="69731BEA"/>
    <w:rsid w:val="69765236"/>
    <w:rsid w:val="697D4817"/>
    <w:rsid w:val="69D02B99"/>
    <w:rsid w:val="69F83E9D"/>
    <w:rsid w:val="6A042842"/>
    <w:rsid w:val="6A374E4B"/>
    <w:rsid w:val="6A5837C7"/>
    <w:rsid w:val="6A7E0847"/>
    <w:rsid w:val="6B00125C"/>
    <w:rsid w:val="6B1B2A5E"/>
    <w:rsid w:val="6B8E2D0B"/>
    <w:rsid w:val="6BBC10B2"/>
    <w:rsid w:val="6BC35730"/>
    <w:rsid w:val="6BCF0C2E"/>
    <w:rsid w:val="6BF012D0"/>
    <w:rsid w:val="6C541216"/>
    <w:rsid w:val="6C686766"/>
    <w:rsid w:val="6C9F6CBF"/>
    <w:rsid w:val="6CDE381E"/>
    <w:rsid w:val="6CFC20A6"/>
    <w:rsid w:val="6D817112"/>
    <w:rsid w:val="6D8A47CA"/>
    <w:rsid w:val="6D9B526C"/>
    <w:rsid w:val="6E06488E"/>
    <w:rsid w:val="6E573888"/>
    <w:rsid w:val="6E6F421F"/>
    <w:rsid w:val="6E92623A"/>
    <w:rsid w:val="6EBA381B"/>
    <w:rsid w:val="6EC46A44"/>
    <w:rsid w:val="6F0D2199"/>
    <w:rsid w:val="6F2968A7"/>
    <w:rsid w:val="6F2F65B3"/>
    <w:rsid w:val="6F457B85"/>
    <w:rsid w:val="6F4638FD"/>
    <w:rsid w:val="6FB940CF"/>
    <w:rsid w:val="6FBD5FE1"/>
    <w:rsid w:val="6FCE7B7A"/>
    <w:rsid w:val="6FE70C3C"/>
    <w:rsid w:val="6FEF189F"/>
    <w:rsid w:val="6FF31971"/>
    <w:rsid w:val="6FFD3CB6"/>
    <w:rsid w:val="70141305"/>
    <w:rsid w:val="70207CAA"/>
    <w:rsid w:val="70221C74"/>
    <w:rsid w:val="7039323D"/>
    <w:rsid w:val="705B5186"/>
    <w:rsid w:val="70785D38"/>
    <w:rsid w:val="70826FF6"/>
    <w:rsid w:val="70D7072F"/>
    <w:rsid w:val="712351CC"/>
    <w:rsid w:val="71665B90"/>
    <w:rsid w:val="716A38D3"/>
    <w:rsid w:val="71704C61"/>
    <w:rsid w:val="71A779AA"/>
    <w:rsid w:val="71BE3C1E"/>
    <w:rsid w:val="71E17B50"/>
    <w:rsid w:val="72612407"/>
    <w:rsid w:val="72BC100D"/>
    <w:rsid w:val="72D37256"/>
    <w:rsid w:val="72E15E16"/>
    <w:rsid w:val="72EE0533"/>
    <w:rsid w:val="73540F98"/>
    <w:rsid w:val="736507F6"/>
    <w:rsid w:val="73AC0640"/>
    <w:rsid w:val="73B2330F"/>
    <w:rsid w:val="73EF6311"/>
    <w:rsid w:val="73FE0302"/>
    <w:rsid w:val="740D4E17"/>
    <w:rsid w:val="74220495"/>
    <w:rsid w:val="74A569D0"/>
    <w:rsid w:val="74BC09A1"/>
    <w:rsid w:val="7501454E"/>
    <w:rsid w:val="75093403"/>
    <w:rsid w:val="7521074C"/>
    <w:rsid w:val="75385A96"/>
    <w:rsid w:val="757840E4"/>
    <w:rsid w:val="75860393"/>
    <w:rsid w:val="758B206A"/>
    <w:rsid w:val="758F0E96"/>
    <w:rsid w:val="759929D8"/>
    <w:rsid w:val="75B415C0"/>
    <w:rsid w:val="75F573FC"/>
    <w:rsid w:val="760D2A7F"/>
    <w:rsid w:val="7620086F"/>
    <w:rsid w:val="762B1157"/>
    <w:rsid w:val="76BF6607"/>
    <w:rsid w:val="76E41046"/>
    <w:rsid w:val="76F0487A"/>
    <w:rsid w:val="77000835"/>
    <w:rsid w:val="772D6E8E"/>
    <w:rsid w:val="7731279D"/>
    <w:rsid w:val="77577C6A"/>
    <w:rsid w:val="776112D4"/>
    <w:rsid w:val="776B3F01"/>
    <w:rsid w:val="778B619F"/>
    <w:rsid w:val="77DB72D8"/>
    <w:rsid w:val="77DC741B"/>
    <w:rsid w:val="77F932A5"/>
    <w:rsid w:val="78200134"/>
    <w:rsid w:val="78760DAF"/>
    <w:rsid w:val="787B63C5"/>
    <w:rsid w:val="789B25C4"/>
    <w:rsid w:val="78E81581"/>
    <w:rsid w:val="793D1193"/>
    <w:rsid w:val="794B223C"/>
    <w:rsid w:val="7956473D"/>
    <w:rsid w:val="795F7D0D"/>
    <w:rsid w:val="79971568"/>
    <w:rsid w:val="79A66FD3"/>
    <w:rsid w:val="79A74F98"/>
    <w:rsid w:val="79D0629D"/>
    <w:rsid w:val="79EE0E19"/>
    <w:rsid w:val="7A4B626B"/>
    <w:rsid w:val="7A660A22"/>
    <w:rsid w:val="7A8F2E13"/>
    <w:rsid w:val="7AEA338E"/>
    <w:rsid w:val="7B011C90"/>
    <w:rsid w:val="7B1D781F"/>
    <w:rsid w:val="7B3D021F"/>
    <w:rsid w:val="7C3074C7"/>
    <w:rsid w:val="7C396C3E"/>
    <w:rsid w:val="7C833A9B"/>
    <w:rsid w:val="7CF44998"/>
    <w:rsid w:val="7D557E11"/>
    <w:rsid w:val="7D5D6F6D"/>
    <w:rsid w:val="7D6B6113"/>
    <w:rsid w:val="7D785D38"/>
    <w:rsid w:val="7D913A27"/>
    <w:rsid w:val="7DA26EDC"/>
    <w:rsid w:val="7DAC5273"/>
    <w:rsid w:val="7E066731"/>
    <w:rsid w:val="7E3F39F1"/>
    <w:rsid w:val="7E5E6CCB"/>
    <w:rsid w:val="7E680EAA"/>
    <w:rsid w:val="7E832AC7"/>
    <w:rsid w:val="7E9B156F"/>
    <w:rsid w:val="7E9F071A"/>
    <w:rsid w:val="7EA97B73"/>
    <w:rsid w:val="7EB20667"/>
    <w:rsid w:val="7ECB20F8"/>
    <w:rsid w:val="7F034416"/>
    <w:rsid w:val="7F3900A1"/>
    <w:rsid w:val="7F3C6183"/>
    <w:rsid w:val="7F5B391B"/>
    <w:rsid w:val="7F686F78"/>
    <w:rsid w:val="7F6A7194"/>
    <w:rsid w:val="7F89586C"/>
    <w:rsid w:val="7F9F1785"/>
    <w:rsid w:val="7FF35BB4"/>
    <w:rsid w:val="BFC57707"/>
    <w:rsid w:val="DFF5B08B"/>
    <w:rsid w:val="EEB9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annotation text"/>
    <w:basedOn w:val="1"/>
    <w:autoRedefine/>
    <w:qFormat/>
    <w:uiPriority w:val="0"/>
    <w:pPr>
      <w:jc w:val="left"/>
    </w:pPr>
  </w:style>
  <w:style w:type="paragraph" w:styleId="4">
    <w:name w:val="Body Text"/>
    <w:basedOn w:val="1"/>
    <w:next w:val="1"/>
    <w:autoRedefine/>
    <w:unhideWhenUsed/>
    <w:qFormat/>
    <w:uiPriority w:val="99"/>
    <w:pPr>
      <w:ind w:left="118"/>
    </w:pPr>
    <w:rPr>
      <w:rFonts w:ascii="宋体" w:hAnsi="宋体" w:eastAsia="宋体"/>
    </w:rPr>
  </w:style>
  <w:style w:type="paragraph" w:styleId="5">
    <w:name w:val="Body Text Indent"/>
    <w:basedOn w:val="1"/>
    <w:next w:val="6"/>
    <w:autoRedefine/>
    <w:qFormat/>
    <w:uiPriority w:val="0"/>
    <w:pPr>
      <w:ind w:firstLine="480" w:firstLineChars="200"/>
    </w:pPr>
    <w:rPr>
      <w:rFonts w:ascii="宋体"/>
      <w:color w:val="000000"/>
      <w:sz w:val="24"/>
    </w:rPr>
  </w:style>
  <w:style w:type="paragraph" w:styleId="6">
    <w:name w:val="toc 9"/>
    <w:basedOn w:val="1"/>
    <w:next w:val="1"/>
    <w:autoRedefine/>
    <w:qFormat/>
    <w:uiPriority w:val="0"/>
    <w:pPr>
      <w:widowControl/>
      <w:wordWrap w:val="0"/>
      <w:autoSpaceDE/>
      <w:autoSpaceDN/>
      <w:spacing w:before="0" w:after="0" w:line="240" w:lineRule="auto"/>
      <w:ind w:left="2975" w:firstLine="0"/>
      <w:jc w:val="both"/>
    </w:pPr>
    <w:rPr>
      <w:sz w:val="21"/>
      <w:szCs w:val="22"/>
    </w:rPr>
  </w:style>
  <w:style w:type="paragraph" w:styleId="7">
    <w:name w:val="Plain Text"/>
    <w:basedOn w:val="1"/>
    <w:autoRedefine/>
    <w:qFormat/>
    <w:uiPriority w:val="0"/>
    <w:rPr>
      <w:rFonts w:ascii="宋体" w:hAnsi="Courier New" w:eastAsia="宋体" w:cs="Times New Roman"/>
      <w:szCs w:val="24"/>
    </w:rPr>
  </w:style>
  <w:style w:type="paragraph" w:styleId="8">
    <w:name w:val="Body Text First Indent"/>
    <w:basedOn w:val="4"/>
    <w:next w:val="1"/>
    <w:autoRedefine/>
    <w:qFormat/>
    <w:uiPriority w:val="0"/>
    <w:pPr>
      <w:ind w:firstLine="420" w:firstLineChars="100"/>
    </w:pPr>
  </w:style>
  <w:style w:type="paragraph" w:styleId="9">
    <w:name w:val="Body Text First Indent 2"/>
    <w:basedOn w:val="5"/>
    <w:next w:val="1"/>
    <w:autoRedefine/>
    <w:qFormat/>
    <w:uiPriority w:val="0"/>
    <w:pPr>
      <w:ind w:firstLine="420" w:firstLineChars="200"/>
    </w:pPr>
    <w:rPr>
      <w:snapToGrid w:val="0"/>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Emphasis"/>
    <w:basedOn w:val="12"/>
    <w:autoRedefine/>
    <w:qFormat/>
    <w:uiPriority w:val="0"/>
    <w:rPr>
      <w:i/>
    </w:rPr>
  </w:style>
  <w:style w:type="paragraph" w:customStyle="1" w:styleId="15">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16">
    <w:name w:val="正文首行缩进2个字 Char"/>
    <w:basedOn w:val="1"/>
    <w:autoRedefine/>
    <w:qFormat/>
    <w:uiPriority w:val="0"/>
    <w:pPr>
      <w:ind w:firstLine="480" w:firstLineChars="200"/>
    </w:pPr>
    <w:rPr>
      <w:rFonts w:eastAsia="楷体"/>
      <w:sz w:val="24"/>
      <w:szCs w:val="24"/>
    </w:rPr>
  </w:style>
  <w:style w:type="paragraph" w:customStyle="1" w:styleId="17">
    <w:name w:val=" Char Char Char1 Char Char Char Char Char Char Char Char Char Char Char Char Char"/>
    <w:basedOn w:val="1"/>
    <w:autoRedefine/>
    <w:qFormat/>
    <w:uiPriority w:val="0"/>
    <w:rPr>
      <w:rFonts w:ascii="Times New Roman" w:hAnsi="Times New Roman" w:eastAsia="宋体" w:cs="Times New Roman"/>
      <w:sz w:val="24"/>
    </w:rPr>
  </w:style>
  <w:style w:type="paragraph" w:customStyle="1" w:styleId="18">
    <w:name w:val="报告正文"/>
    <w:basedOn w:val="1"/>
    <w:autoRedefine/>
    <w:semiHidden/>
    <w:qFormat/>
    <w:uiPriority w:val="0"/>
    <w:pPr>
      <w:spacing w:line="440" w:lineRule="exact"/>
      <w:ind w:firstLine="200" w:firstLineChars="200"/>
      <w:jc w:val="left"/>
    </w:pPr>
    <w:rPr>
      <w:rFonts w:eastAsia="仿宋_GB2312"/>
      <w:sz w:val="24"/>
    </w:rPr>
  </w:style>
  <w:style w:type="character" w:customStyle="1" w:styleId="19">
    <w:name w:val="15"/>
    <w:basedOn w:val="12"/>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3879</Words>
  <Characters>4336</Characters>
  <Lines>1</Lines>
  <Paragraphs>1</Paragraphs>
  <TotalTime>1</TotalTime>
  <ScaleCrop>false</ScaleCrop>
  <LinksUpToDate>false</LinksUpToDate>
  <CharactersWithSpaces>4341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小刘小刘</cp:lastModifiedBy>
  <cp:lastPrinted>2025-01-02T01:08:00Z</cp:lastPrinted>
  <dcterms:modified xsi:type="dcterms:W3CDTF">2025-05-20T05:53:04Z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1DDDAAA7AB934AF59B660F3F980A873C_13</vt:lpwstr>
  </property>
  <property fmtid="{D5CDD505-2E9C-101B-9397-08002B2CF9AE}" pid="4" name="KSOTemplateDocerSaveRecord">
    <vt:lpwstr>eyJoZGlkIjoiZmQ2YzI1ZDAyMjM0MDY3NzAxYzYyNTNhZWNlOGZlODMiLCJ1c2VySWQiOiI0NDQzOTcwNDEifQ==</vt:lpwstr>
  </property>
</Properties>
</file>