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b/>
          <w:color w:val="auto"/>
          <w:sz w:val="32"/>
          <w:szCs w:val="32"/>
          <w:highlight w:val="none"/>
          <w:lang w:val="en-US" w:eastAsia="zh-CN"/>
        </w:rPr>
      </w:pPr>
      <w:bookmarkStart w:id="0" w:name="OLE_LINK33"/>
      <w:r>
        <w:rPr>
          <w:rFonts w:hint="eastAsia" w:ascii="Times New Roman" w:hAnsi="Times New Roman" w:cs="Times New Roman"/>
          <w:b/>
          <w:color w:val="auto"/>
          <w:sz w:val="32"/>
          <w:szCs w:val="32"/>
          <w:highlight w:val="none"/>
          <w:lang w:val="en-US" w:eastAsia="zh-CN"/>
        </w:rPr>
        <w:t>浙江中研机电技术有限公司</w:t>
      </w:r>
      <w:bookmarkEnd w:id="0"/>
    </w:p>
    <w:p>
      <w:pPr>
        <w:spacing w:line="360" w:lineRule="auto"/>
        <w:jc w:val="center"/>
        <w:rPr>
          <w:rFonts w:hint="eastAsia" w:ascii="Times New Roman" w:hAnsi="Times New Roman" w:cs="Times New Roman"/>
          <w:b/>
          <w:color w:val="auto"/>
          <w:sz w:val="32"/>
          <w:szCs w:val="32"/>
          <w:highlight w:val="none"/>
          <w:lang w:val="en-US" w:eastAsia="zh-CN"/>
        </w:rPr>
      </w:pPr>
      <w:bookmarkStart w:id="1" w:name="OLE_LINK34"/>
      <w:r>
        <w:rPr>
          <w:rFonts w:hint="eastAsia" w:ascii="Times New Roman" w:hAnsi="Times New Roman" w:cs="Times New Roman"/>
          <w:b/>
          <w:color w:val="auto"/>
          <w:sz w:val="32"/>
          <w:szCs w:val="32"/>
          <w:highlight w:val="none"/>
          <w:lang w:val="en-US" w:eastAsia="zh-CN"/>
        </w:rPr>
        <w:t>年产玻璃生产设备2条生产线、水泥生产设备3条生产线、石膏板生产设备3条生产线、环保设备2条生产线技改项目</w:t>
      </w:r>
      <w:bookmarkEnd w:id="1"/>
    </w:p>
    <w:p>
      <w:pPr>
        <w:spacing w:line="360" w:lineRule="auto"/>
        <w:jc w:val="center"/>
        <w:rPr>
          <w:rFonts w:hint="default" w:ascii="Times New Roman" w:hAnsi="Times New Roman" w:eastAsia="宋体" w:cs="Times New Roman"/>
          <w:b/>
          <w:bCs/>
          <w:color w:val="auto"/>
          <w:sz w:val="30"/>
          <w:szCs w:val="30"/>
          <w:highlight w:val="none"/>
          <w:lang w:val="en-US" w:eastAsia="zh-CN"/>
        </w:rPr>
      </w:pPr>
      <w:r>
        <w:rPr>
          <w:rFonts w:hint="default" w:ascii="Times New Roman" w:hAnsi="Times New Roman" w:eastAsia="宋体" w:cs="Times New Roman"/>
          <w:b/>
          <w:color w:val="auto"/>
          <w:sz w:val="32"/>
          <w:szCs w:val="32"/>
          <w:highlight w:val="none"/>
          <w:lang w:eastAsia="zh-CN"/>
        </w:rPr>
        <w:t>竣工环境保护验收</w:t>
      </w:r>
      <w:r>
        <w:rPr>
          <w:rFonts w:hint="default" w:ascii="Times New Roman" w:hAnsi="Times New Roman" w:eastAsia="宋体" w:cs="Times New Roman"/>
          <w:b/>
          <w:color w:val="auto"/>
          <w:sz w:val="32"/>
          <w:szCs w:val="32"/>
          <w:highlight w:val="none"/>
        </w:rPr>
        <w:t>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w:t>
      </w:r>
      <w:r>
        <w:rPr>
          <w:rFonts w:hint="eastAsia" w:ascii="Times New Roman" w:hAnsi="Times New Roman" w:cs="Times New Roman"/>
          <w:color w:val="auto"/>
          <w:kern w:val="0"/>
          <w:sz w:val="24"/>
          <w:highlight w:val="none"/>
          <w:lang w:val="en-US" w:eastAsia="zh-CN"/>
        </w:rPr>
        <w:t>5</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rPr>
        <w:t>日，建设单位</w:t>
      </w:r>
      <w:bookmarkStart w:id="2" w:name="OLE_LINK19"/>
      <w:r>
        <w:rPr>
          <w:rFonts w:hint="eastAsia" w:ascii="Times New Roman" w:hAnsi="Times New Roman" w:cs="Times New Roman"/>
          <w:color w:val="auto"/>
          <w:sz w:val="24"/>
          <w:szCs w:val="24"/>
          <w:highlight w:val="none"/>
          <w:lang w:val="en-US" w:eastAsia="zh-CN"/>
        </w:rPr>
        <w:t>浙江中研机电技术有限公司</w:t>
      </w:r>
      <w:bookmarkEnd w:id="2"/>
      <w:r>
        <w:rPr>
          <w:rFonts w:hint="default" w:ascii="Times New Roman" w:hAnsi="Times New Roman" w:eastAsia="宋体" w:cs="Times New Roman"/>
          <w:color w:val="auto"/>
          <w:kern w:val="0"/>
          <w:sz w:val="24"/>
          <w:highlight w:val="none"/>
        </w:rPr>
        <w:t>，根据《</w:t>
      </w:r>
      <w:r>
        <w:rPr>
          <w:rFonts w:hint="eastAsia" w:ascii="Times New Roman" w:hAnsi="Times New Roman" w:cs="Times New Roman"/>
          <w:color w:val="auto"/>
          <w:kern w:val="0"/>
          <w:sz w:val="24"/>
          <w:highlight w:val="none"/>
          <w:lang w:val="en-US" w:eastAsia="zh-CN"/>
        </w:rPr>
        <w:t>浙江中研机电技术有限公司</w:t>
      </w:r>
      <w:bookmarkStart w:id="3" w:name="OLE_LINK20"/>
      <w:bookmarkStart w:id="4" w:name="OLE_LINK35"/>
      <w:r>
        <w:rPr>
          <w:rFonts w:hint="eastAsia" w:ascii="Times New Roman" w:hAnsi="Times New Roman" w:cs="Times New Roman"/>
          <w:color w:val="auto"/>
          <w:kern w:val="0"/>
          <w:sz w:val="24"/>
          <w:highlight w:val="none"/>
          <w:lang w:val="en-US" w:eastAsia="zh-CN"/>
        </w:rPr>
        <w:t>年产玻璃生产设备2条生产线、水泥生产设备3条生产线、石膏板生产设备3条生产线、</w:t>
      </w:r>
      <w:bookmarkStart w:id="5" w:name="OLE_LINK1"/>
      <w:r>
        <w:rPr>
          <w:rFonts w:hint="eastAsia" w:ascii="Times New Roman" w:hAnsi="Times New Roman" w:cs="Times New Roman"/>
          <w:color w:val="auto"/>
          <w:kern w:val="0"/>
          <w:sz w:val="24"/>
          <w:highlight w:val="none"/>
          <w:lang w:val="en-US" w:eastAsia="zh-CN"/>
        </w:rPr>
        <w:t>环保设备</w:t>
      </w:r>
      <w:bookmarkEnd w:id="5"/>
      <w:r>
        <w:rPr>
          <w:rFonts w:hint="eastAsia" w:ascii="Times New Roman" w:hAnsi="Times New Roman" w:cs="Times New Roman"/>
          <w:color w:val="auto"/>
          <w:kern w:val="0"/>
          <w:sz w:val="24"/>
          <w:highlight w:val="none"/>
          <w:lang w:val="en-US" w:eastAsia="zh-CN"/>
        </w:rPr>
        <w:t>2条生产线</w:t>
      </w:r>
      <w:bookmarkEnd w:id="3"/>
      <w:r>
        <w:rPr>
          <w:rFonts w:hint="eastAsia" w:ascii="Times New Roman" w:hAnsi="Times New Roman" w:cs="Times New Roman"/>
          <w:color w:val="auto"/>
          <w:kern w:val="0"/>
          <w:sz w:val="24"/>
          <w:highlight w:val="none"/>
          <w:lang w:val="en-US" w:eastAsia="zh-CN"/>
        </w:rPr>
        <w:t>技改项目</w:t>
      </w:r>
      <w:bookmarkEnd w:id="4"/>
      <w:r>
        <w:rPr>
          <w:rFonts w:hint="default" w:ascii="Times New Roman" w:hAnsi="Times New Roman" w:eastAsia="宋体" w:cs="Times New Roman"/>
          <w:color w:val="auto"/>
          <w:kern w:val="0"/>
          <w:sz w:val="24"/>
          <w:highlight w:val="none"/>
        </w:rPr>
        <w:t>竣工环境保护验收监测报告</w:t>
      </w:r>
      <w:r>
        <w:rPr>
          <w:rFonts w:hint="eastAsia" w:ascii="Times New Roman" w:hAnsi="Times New Roman" w:cs="Times New Roman"/>
          <w:color w:val="auto"/>
          <w:kern w:val="0"/>
          <w:sz w:val="24"/>
          <w:highlight w:val="none"/>
          <w:lang w:val="en-US" w:eastAsia="zh-CN"/>
        </w:rPr>
        <w:t>表</w:t>
      </w:r>
      <w:r>
        <w:rPr>
          <w:rFonts w:hint="default" w:ascii="Times New Roman" w:hAnsi="Times New Roman" w:eastAsia="宋体" w:cs="Times New Roman"/>
          <w:color w:val="auto"/>
          <w:kern w:val="0"/>
          <w:sz w:val="24"/>
          <w:highlight w:val="none"/>
        </w:rPr>
        <w:t>》，并对照《建设项目竣工环境保护验收暂行办法》，严格依照国家有关法律法规、建设项目竣工环境保护验收技术规范、项目</w:t>
      </w:r>
      <w:r>
        <w:rPr>
          <w:rFonts w:hint="default" w:ascii="Times New Roman" w:hAnsi="Times New Roman" w:eastAsia="宋体" w:cs="Times New Roman"/>
          <w:color w:val="auto"/>
          <w:kern w:val="0"/>
          <w:sz w:val="24"/>
          <w:highlight w:val="none"/>
          <w:lang w:val="en-US" w:eastAsia="zh-CN"/>
        </w:rPr>
        <w:t>环境影响</w:t>
      </w:r>
      <w:r>
        <w:rPr>
          <w:rFonts w:hint="eastAsia" w:ascii="Times New Roman" w:hAnsi="Times New Roman" w:cs="Times New Roman"/>
          <w:color w:val="auto"/>
          <w:kern w:val="0"/>
          <w:sz w:val="24"/>
          <w:highlight w:val="none"/>
          <w:lang w:val="en-US" w:eastAsia="zh-CN"/>
        </w:rPr>
        <w:t>报告</w:t>
      </w:r>
      <w:r>
        <w:rPr>
          <w:rFonts w:hint="default" w:ascii="Times New Roman" w:hAnsi="Times New Roman" w:eastAsia="宋体" w:cs="Times New Roman"/>
          <w:color w:val="auto"/>
          <w:kern w:val="0"/>
          <w:sz w:val="24"/>
          <w:highlight w:val="none"/>
          <w:lang w:val="en-US" w:eastAsia="zh-CN"/>
        </w:rPr>
        <w:t>表和批复文件</w:t>
      </w:r>
      <w:r>
        <w:rPr>
          <w:rFonts w:hint="default" w:ascii="Times New Roman" w:hAnsi="Times New Roman" w:eastAsia="宋体" w:cs="Times New Roman"/>
          <w:color w:val="auto"/>
          <w:kern w:val="0"/>
          <w:sz w:val="24"/>
          <w:highlight w:val="none"/>
        </w:rPr>
        <w:t>等要求对</w:t>
      </w:r>
      <w:r>
        <w:rPr>
          <w:rFonts w:hint="eastAsia" w:ascii="Times New Roman" w:hAnsi="Times New Roman" w:cs="Times New Roman"/>
          <w:color w:val="auto"/>
          <w:kern w:val="0"/>
          <w:sz w:val="24"/>
          <w:highlight w:val="none"/>
          <w:lang w:val="en-US" w:eastAsia="zh-CN"/>
        </w:rPr>
        <w:t>年产玻璃生产设备2条生产线、水泥生产设备3条生产线、石膏板生产设备3条生产线、环保设备2条生产线技改项目（以下简称本项目）</w:t>
      </w:r>
      <w:r>
        <w:rPr>
          <w:rFonts w:hint="default" w:ascii="Times New Roman" w:hAnsi="Times New Roman" w:eastAsia="宋体" w:cs="Times New Roman"/>
          <w:color w:val="auto"/>
          <w:kern w:val="0"/>
          <w:sz w:val="24"/>
          <w:highlight w:val="none"/>
        </w:rPr>
        <w:t>进行验收，提出意见如下：</w:t>
      </w:r>
    </w:p>
    <w:p>
      <w:pPr>
        <w:numPr>
          <w:ilvl w:val="0"/>
          <w:numId w:val="2"/>
        </w:numPr>
        <w:spacing w:line="360" w:lineRule="auto"/>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建设项目基本情况：</w:t>
      </w:r>
    </w:p>
    <w:p>
      <w:pPr>
        <w:spacing w:line="360" w:lineRule="auto"/>
        <w:ind w:firstLine="482" w:firstLineChars="200"/>
        <w:rPr>
          <w:rFonts w:hint="eastAsia" w:ascii="Times New Roman" w:hAnsi="Times New Roman" w:cs="Times New Roman"/>
          <w:b/>
          <w:bCs/>
          <w:color w:val="auto"/>
          <w:kern w:val="0"/>
          <w:sz w:val="24"/>
          <w:highlight w:val="none"/>
          <w:lang w:val="en-US" w:eastAsia="zh-CN"/>
        </w:rPr>
      </w:pPr>
      <w:r>
        <w:rPr>
          <w:rFonts w:hint="eastAsia" w:ascii="Times New Roman" w:hAnsi="Times New Roman" w:cs="Times New Roman"/>
          <w:b/>
          <w:bCs/>
          <w:color w:val="auto"/>
          <w:kern w:val="0"/>
          <w:sz w:val="24"/>
          <w:highlight w:val="none"/>
          <w:lang w:val="en-US" w:eastAsia="zh-CN"/>
        </w:rPr>
        <w:t>环评审批情况：</w:t>
      </w:r>
    </w:p>
    <w:p>
      <w:pPr>
        <w:spacing w:line="360" w:lineRule="auto"/>
        <w:ind w:firstLine="480" w:firstLineChars="200"/>
        <w:rPr>
          <w:rFonts w:hint="eastAsia" w:ascii="Times New Roman" w:hAnsi="Times New Roman" w:cs="Times New Roman"/>
          <w:color w:val="auto"/>
          <w:kern w:val="0"/>
          <w:sz w:val="24"/>
          <w:highlight w:val="none"/>
          <w:lang w:val="en-US" w:eastAsia="zh-CN"/>
        </w:rPr>
      </w:pPr>
      <w:bookmarkStart w:id="6" w:name="OLE_LINK39"/>
      <w:bookmarkStart w:id="7" w:name="OLE_LINK37"/>
      <w:bookmarkStart w:id="8" w:name="OLE_LINK17"/>
      <w:r>
        <w:rPr>
          <w:rFonts w:hint="eastAsia" w:ascii="Times New Roman" w:hAnsi="Times New Roman" w:cs="Times New Roman"/>
          <w:color w:val="auto"/>
          <w:kern w:val="0"/>
          <w:sz w:val="24"/>
          <w:highlight w:val="none"/>
          <w:lang w:val="en-US" w:eastAsia="zh-CN"/>
        </w:rPr>
        <w:t>浙江中研机电技术有限公司</w:t>
      </w:r>
      <w:bookmarkEnd w:id="6"/>
      <w:r>
        <w:rPr>
          <w:rFonts w:hint="eastAsia" w:ascii="Times New Roman" w:hAnsi="Times New Roman" w:cs="Times New Roman"/>
          <w:color w:val="auto"/>
          <w:kern w:val="0"/>
          <w:sz w:val="24"/>
          <w:highlight w:val="none"/>
          <w:lang w:val="en-US" w:eastAsia="zh-CN"/>
        </w:rPr>
        <w:t>成立于2010年02月21日，注册地位于浙江省湖州市德清县高新区长安街272号，利用自有厂房组织生产，是一家专业从事机电技术研发、技术咨询、技术服务，玻璃生产设备、水泥生产设备、石膏板生产设备、环保设备生产，通用机械设备制造与销售的公司</w:t>
      </w:r>
      <w:bookmarkEnd w:id="7"/>
      <w:r>
        <w:rPr>
          <w:rFonts w:hint="eastAsia" w:ascii="Times New Roman" w:hAnsi="Times New Roman" w:cs="Times New Roman"/>
          <w:color w:val="auto"/>
          <w:kern w:val="0"/>
          <w:sz w:val="24"/>
          <w:highlight w:val="none"/>
          <w:lang w:val="en-US" w:eastAsia="zh-CN"/>
        </w:rPr>
        <w:t>。浙江中研机电技术有限公司拟投资100万元实施年产玻璃生产设备2条生产线、水泥生产设备3条生产线、石膏板生产设备3条生产线、环保设备2条生产线技改项目。企业利用现有场地，对原有项目进行技改，购置攻丝机、台钻等设备并升级改造现有废气处理设施，人工刷漆改为喷漆，原油性漆改为大部分水性漆技改前后总油漆用量不变，项目实施后产能减少，最终生产能力为年产玻璃成套设备生产线1条、水泥成套设备生产线1条、石膏板成套设备生产线1条、环保设备20套。本项目已经德清县湖州莫干山高新技术产业开发区管理委员会备案，项目代码：2410-330521-07-02-962759。为严格履行环境影响评价制度，企业于2025年4月委托浙江仕远环境科技有限公司编制了《浙江中研机电技术有限公司年产玻璃生产设备2条生产线、水泥生产设备3条生产线、石膏板生产设备3条生产线、环保设备2条生产线技改项目环境影响报告表》，并于2025年5月14日通过湖州市生态环境局德清分局审查，审查文号为湖德环建〔2025〕81号。企业于2025年7月委托浙江仕远环境科技有限公司编制完成了《浙江中研机电技术有限公司突发环境事件应急预案（简本）》，于2025年7月18日通过德清县环境应急与事故调查中心备案，备案编号为3305L1-2025-064-L。企业已完成固定污染源排污登记，登记编号为：91330521551753607T001W</w:t>
      </w:r>
      <w:bookmarkEnd w:id="8"/>
      <w:r>
        <w:rPr>
          <w:rFonts w:hint="eastAsia" w:ascii="Times New Roman" w:hAnsi="Times New Roman" w:cs="Times New Roman"/>
          <w:color w:val="auto"/>
          <w:kern w:val="0"/>
          <w:sz w:val="24"/>
          <w:highlight w:val="none"/>
          <w:lang w:val="en-US" w:eastAsia="zh-CN"/>
        </w:rPr>
        <w:t>。</w:t>
      </w:r>
    </w:p>
    <w:p>
      <w:pPr>
        <w:spacing w:line="360" w:lineRule="auto"/>
        <w:ind w:firstLine="482" w:firstLineChars="200"/>
        <w:rPr>
          <w:rFonts w:hint="eastAsia" w:ascii="Times New Roman" w:hAnsi="Times New Roman" w:cs="Times New Roman"/>
          <w:b/>
          <w:bCs/>
          <w:color w:val="auto"/>
          <w:kern w:val="0"/>
          <w:sz w:val="24"/>
          <w:highlight w:val="none"/>
          <w:lang w:val="en-US" w:eastAsia="zh-CN"/>
        </w:rPr>
      </w:pPr>
      <w:r>
        <w:rPr>
          <w:rFonts w:hint="eastAsia" w:ascii="Times New Roman" w:hAnsi="Times New Roman" w:cs="Times New Roman"/>
          <w:b/>
          <w:bCs/>
          <w:color w:val="auto"/>
          <w:kern w:val="0"/>
          <w:sz w:val="24"/>
          <w:highlight w:val="none"/>
          <w:lang w:val="en-US" w:eastAsia="zh-CN"/>
        </w:rPr>
        <w:t>验收情况：</w:t>
      </w:r>
    </w:p>
    <w:p>
      <w:pPr>
        <w:spacing w:line="360" w:lineRule="auto"/>
        <w:ind w:firstLine="480" w:firstLineChars="200"/>
        <w:rPr>
          <w:rFonts w:hint="eastAsia" w:ascii="Times New Roman" w:hAnsi="Times New Roman" w:cs="Times New Roman"/>
          <w:color w:val="auto"/>
          <w:kern w:val="0"/>
          <w:sz w:val="24"/>
          <w:highlight w:val="none"/>
          <w:lang w:val="en-US" w:eastAsia="zh-CN"/>
        </w:rPr>
      </w:pPr>
      <w:bookmarkStart w:id="9" w:name="OLE_LINK18"/>
      <w:r>
        <w:rPr>
          <w:rFonts w:hint="eastAsia" w:ascii="Times New Roman" w:hAnsi="Times New Roman" w:cs="Times New Roman"/>
          <w:color w:val="auto"/>
          <w:kern w:val="0"/>
          <w:sz w:val="24"/>
          <w:highlight w:val="none"/>
          <w:lang w:val="en-US" w:eastAsia="zh-CN"/>
        </w:rPr>
        <w:t>本项目于2025年5月16日开工建设进行设备安装，</w:t>
      </w:r>
      <w:r>
        <w:rPr>
          <w:rFonts w:hint="eastAsia" w:ascii="Times New Roman" w:hAnsi="Times New Roman" w:cs="Times New Roman"/>
          <w:color w:val="0000E1"/>
          <w:kern w:val="0"/>
          <w:sz w:val="24"/>
          <w:highlight w:val="none"/>
          <w:lang w:val="en-US" w:eastAsia="zh-CN"/>
        </w:rPr>
        <w:t>于2025年5月31日竣工，于2025年6月1日-2025年7月31日进行</w:t>
      </w:r>
      <w:bookmarkStart w:id="10" w:name="OLE_LINK25"/>
      <w:r>
        <w:rPr>
          <w:rFonts w:hint="eastAsia" w:ascii="Times New Roman" w:hAnsi="Times New Roman" w:cs="Times New Roman"/>
          <w:color w:val="0000E1"/>
          <w:kern w:val="0"/>
          <w:sz w:val="24"/>
          <w:highlight w:val="none"/>
          <w:lang w:val="en-US" w:eastAsia="zh-CN"/>
        </w:rPr>
        <w:t>调试生产</w:t>
      </w:r>
      <w:bookmarkEnd w:id="10"/>
      <w:r>
        <w:rPr>
          <w:rFonts w:hint="eastAsia" w:ascii="Times New Roman" w:hAnsi="Times New Roman" w:cs="Times New Roman"/>
          <w:color w:val="0000E1"/>
          <w:kern w:val="0"/>
          <w:sz w:val="24"/>
          <w:highlight w:val="none"/>
          <w:lang w:val="en-US" w:eastAsia="zh-CN"/>
        </w:rPr>
        <w:t>阶段</w:t>
      </w:r>
      <w:r>
        <w:commentReference w:id="0"/>
      </w:r>
      <w:r>
        <w:rPr>
          <w:rFonts w:hint="eastAsia" w:ascii="Times New Roman" w:hAnsi="Times New Roman" w:cs="Times New Roman"/>
          <w:color w:val="auto"/>
          <w:kern w:val="0"/>
          <w:sz w:val="24"/>
          <w:highlight w:val="none"/>
          <w:lang w:val="en-US" w:eastAsia="zh-CN"/>
        </w:rPr>
        <w:t>。本项目实际总投资100万元，其中环保投资35万元，约占项目总投资的35％。企业于2025年6月着手开展本项目的自主竣工环境保护验收工作，对照项目环境影响报告表文本和批复文件，对项目和环境保护设施建设情况进行了验收自查，然后根据自查结果于2025年6月编制完成验收监测方案，并委托中昱（浙江）环境监测股份有限公司于2025年6月25日-2025年6月26日进行了现场验收监测，通过对该工程“三同时”执行情况和效果的检查并依据监测结果及相应的国家有关环境标准，编制了本项目竣工环境保护验收监测报告表</w:t>
      </w:r>
      <w:bookmarkEnd w:id="9"/>
      <w:r>
        <w:rPr>
          <w:rFonts w:hint="eastAsia" w:ascii="Times New Roman" w:hAnsi="Times New Roman" w:cs="Times New Roman"/>
          <w:color w:val="auto"/>
          <w:kern w:val="0"/>
          <w:sz w:val="24"/>
          <w:highlight w:val="none"/>
          <w:lang w:val="en-US" w:eastAsia="zh-CN"/>
        </w:rPr>
        <w:t>。</w:t>
      </w:r>
    </w:p>
    <w:p>
      <w:pPr>
        <w:spacing w:line="360" w:lineRule="auto"/>
        <w:ind w:firstLine="480" w:firstLineChars="200"/>
        <w:rPr>
          <w:rFonts w:hint="default"/>
          <w:color w:val="auto"/>
          <w:highlight w:val="none"/>
        </w:rPr>
      </w:pPr>
      <w:r>
        <w:rPr>
          <w:rFonts w:hint="eastAsia" w:ascii="Times New Roman" w:hAnsi="Times New Roman" w:cs="Times New Roman"/>
          <w:color w:val="auto"/>
          <w:kern w:val="0"/>
          <w:sz w:val="24"/>
          <w:highlight w:val="none"/>
          <w:lang w:val="en-US" w:eastAsia="zh-CN"/>
        </w:rPr>
        <w:t>本次针对企业在产的年产玻璃生产设备2条生产线、水泥生产设备3条生产线、石膏板生产设备3条生产线、环保设备2条生产线技改项目及其配套工程、环保工程进行竣工环境保护“三同时”验收</w:t>
      </w:r>
      <w:r>
        <w:rPr>
          <w:rFonts w:hint="eastAsia" w:ascii="Times New Roman" w:hAnsi="Times New Roman"/>
          <w:color w:val="auto"/>
          <w:sz w:val="24"/>
          <w:highlight w:val="none"/>
          <w:lang w:val="en-US" w:eastAsia="zh-CN"/>
        </w:rPr>
        <w:t>。</w:t>
      </w:r>
    </w:p>
    <w:p>
      <w:pPr>
        <w:spacing w:line="360" w:lineRule="auto"/>
        <w:ind w:firstLine="482" w:firstLineChars="200"/>
        <w:outlineLvl w:val="0"/>
        <w:rPr>
          <w:rFonts w:hint="default" w:ascii="Times New Roman" w:hAnsi="Times New Roman" w:eastAsia="宋体" w:cs="Times New Roman"/>
          <w:b w:val="0"/>
          <w:bCs/>
          <w:color w:val="auto"/>
          <w:kern w:val="0"/>
          <w:sz w:val="24"/>
          <w:highlight w:val="none"/>
        </w:rPr>
      </w:pPr>
      <w:r>
        <w:rPr>
          <w:rFonts w:hint="default" w:ascii="Times New Roman" w:hAnsi="Times New Roman" w:eastAsia="宋体" w:cs="Times New Roman"/>
          <w:b/>
          <w:color w:val="auto"/>
          <w:kern w:val="0"/>
          <w:sz w:val="24"/>
          <w:highlight w:val="none"/>
        </w:rPr>
        <w:t>二、工程变动情况</w:t>
      </w:r>
    </w:p>
    <w:p>
      <w:pPr>
        <w:spacing w:line="360" w:lineRule="auto"/>
        <w:ind w:firstLine="480" w:firstLineChars="200"/>
        <w:jc w:val="both"/>
        <w:outlineLvl w:val="0"/>
        <w:rPr>
          <w:rFonts w:hint="eastAsia" w:ascii="Times New Roman" w:hAnsi="Times New Roman" w:eastAsia="宋体" w:cs="Times New Roman"/>
          <w:b w:val="0"/>
          <w:bCs/>
          <w:color w:val="auto"/>
          <w:kern w:val="0"/>
          <w:sz w:val="24"/>
          <w:szCs w:val="24"/>
          <w:highlight w:val="none"/>
          <w:lang w:eastAsia="zh-CN"/>
        </w:rPr>
      </w:pPr>
      <w:bookmarkStart w:id="11" w:name="_Toc498700049"/>
      <w:bookmarkStart w:id="12" w:name="_Toc498351802"/>
      <w:bookmarkStart w:id="13" w:name="_Toc498412723"/>
      <w:r>
        <w:rPr>
          <w:rFonts w:ascii="Times New Roman" w:hAnsi="Times New Roman" w:eastAsia="宋体" w:cs="Times New Roman"/>
          <w:b w:val="0"/>
          <w:bCs/>
          <w:color w:val="auto"/>
          <w:kern w:val="0"/>
          <w:sz w:val="24"/>
          <w:szCs w:val="24"/>
          <w:highlight w:val="none"/>
        </w:rPr>
        <w:t>经现场踏勘并对照环评文件</w:t>
      </w:r>
      <w:r>
        <w:rPr>
          <w:rFonts w:hint="eastAsia" w:ascii="Times New Roman" w:hAnsi="Times New Roman" w:eastAsia="宋体" w:cs="Times New Roman"/>
          <w:b w:val="0"/>
          <w:bCs/>
          <w:color w:val="auto"/>
          <w:kern w:val="0"/>
          <w:sz w:val="24"/>
          <w:szCs w:val="24"/>
          <w:highlight w:val="none"/>
          <w:lang w:eastAsia="zh-CN"/>
        </w:rPr>
        <w:t>：</w:t>
      </w:r>
    </w:p>
    <w:p>
      <w:pPr>
        <w:numPr>
          <w:ilvl w:val="0"/>
          <w:numId w:val="3"/>
        </w:numPr>
        <w:spacing w:line="360" w:lineRule="auto"/>
        <w:ind w:firstLine="480" w:firstLineChars="200"/>
        <w:jc w:val="both"/>
        <w:outlineLvl w:val="0"/>
        <w:rPr>
          <w:rFonts w:hint="eastAsia" w:ascii="Times New Roman" w:hAnsi="Times New Roman" w:cs="Times New Roman"/>
          <w:b w:val="0"/>
          <w:bCs/>
          <w:color w:val="auto"/>
          <w:kern w:val="0"/>
          <w:sz w:val="24"/>
          <w:szCs w:val="24"/>
          <w:highlight w:val="none"/>
          <w:lang w:val="en-US" w:eastAsia="zh-CN"/>
        </w:rPr>
      </w:pPr>
      <w:r>
        <w:rPr>
          <w:rFonts w:hint="eastAsia" w:ascii="Times New Roman" w:hAnsi="Times New Roman" w:cs="Times New Roman"/>
          <w:b w:val="0"/>
          <w:bCs/>
          <w:color w:val="auto"/>
          <w:kern w:val="0"/>
          <w:sz w:val="24"/>
          <w:szCs w:val="24"/>
          <w:highlight w:val="none"/>
          <w:lang w:val="en-US" w:eastAsia="zh-CN"/>
        </w:rPr>
        <w:t>产品品种、生产工艺（含主要生产装置、设备及配套设施）与环评审批一致；本项目实际原辅材料与环评对照，原辅材料的消耗在环评审批范围内。以上并未导致第6条中所列情形。</w:t>
      </w:r>
    </w:p>
    <w:p>
      <w:pPr>
        <w:numPr>
          <w:ilvl w:val="0"/>
          <w:numId w:val="3"/>
        </w:numPr>
        <w:spacing w:line="360" w:lineRule="auto"/>
        <w:ind w:firstLine="480" w:firstLineChars="200"/>
        <w:jc w:val="both"/>
        <w:outlineLvl w:val="0"/>
        <w:rPr>
          <w:rFonts w:hint="default" w:ascii="Times New Roman" w:hAnsi="Times New Roman" w:cs="Times New Roman"/>
          <w:b w:val="0"/>
          <w:bCs/>
          <w:color w:val="0000E1"/>
          <w:kern w:val="0"/>
          <w:sz w:val="24"/>
          <w:szCs w:val="24"/>
          <w:highlight w:val="none"/>
          <w:lang w:val="en-US" w:eastAsia="zh-CN"/>
        </w:rPr>
      </w:pPr>
      <w:r>
        <w:rPr>
          <w:rFonts w:hint="default" w:ascii="Times New Roman" w:hAnsi="Times New Roman" w:cs="Times New Roman"/>
          <w:b w:val="0"/>
          <w:bCs/>
          <w:color w:val="0000E1"/>
          <w:kern w:val="0"/>
          <w:sz w:val="24"/>
          <w:szCs w:val="24"/>
          <w:highlight w:val="none"/>
          <w:lang w:val="en-US" w:eastAsia="zh-CN"/>
        </w:rPr>
        <w:t>废气污染防治变化如下：</w:t>
      </w:r>
      <w:r>
        <w:rPr>
          <w:rFonts w:hint="default" w:ascii="Times New Roman" w:hAnsi="Times New Roman" w:cs="Times New Roman"/>
          <w:b/>
          <w:bCs w:val="0"/>
          <w:color w:val="0000E1"/>
          <w:kern w:val="0"/>
          <w:sz w:val="24"/>
          <w:szCs w:val="24"/>
          <w:highlight w:val="none"/>
          <w:lang w:val="en-US" w:eastAsia="zh-CN"/>
        </w:rPr>
        <w:t>环评审批</w:t>
      </w:r>
      <w:r>
        <w:rPr>
          <w:rFonts w:hint="default" w:ascii="Times New Roman" w:hAnsi="Times New Roman" w:cs="Times New Roman"/>
          <w:b w:val="0"/>
          <w:bCs/>
          <w:color w:val="0000E1"/>
          <w:kern w:val="0"/>
          <w:sz w:val="24"/>
          <w:szCs w:val="24"/>
          <w:highlight w:val="none"/>
          <w:lang w:val="en-US" w:eastAsia="zh-CN"/>
        </w:rPr>
        <w:t>切割粉尘：拟在切割粉尘产生区域设置移动式布袋除尘器（TA001）对切割粉尘进行收集、处理后无组织排放。</w:t>
      </w:r>
      <w:r>
        <w:rPr>
          <w:rFonts w:hint="default" w:ascii="Times New Roman" w:hAnsi="Times New Roman" w:cs="Times New Roman"/>
          <w:b/>
          <w:bCs w:val="0"/>
          <w:color w:val="0000E1"/>
          <w:kern w:val="0"/>
          <w:sz w:val="24"/>
          <w:szCs w:val="24"/>
          <w:highlight w:val="none"/>
          <w:lang w:val="en-US" w:eastAsia="zh-CN"/>
        </w:rPr>
        <w:t>实际</w:t>
      </w:r>
      <w:r>
        <w:rPr>
          <w:rFonts w:hint="default" w:ascii="Times New Roman" w:hAnsi="Times New Roman" w:cs="Times New Roman"/>
          <w:b w:val="0"/>
          <w:bCs/>
          <w:color w:val="0000E1"/>
          <w:kern w:val="0"/>
          <w:sz w:val="24"/>
          <w:szCs w:val="24"/>
          <w:highlight w:val="none"/>
          <w:lang w:val="en-US" w:eastAsia="zh-CN"/>
        </w:rPr>
        <w:t>切割粉尘：在切割粉尘产生区域设置布袋除尘器（TA001）对切割粉尘进行收集、处理后无组织排放。废水污染防治未发生变化。</w:t>
      </w:r>
    </w:p>
    <w:p>
      <w:pPr>
        <w:spacing w:line="360" w:lineRule="auto"/>
        <w:ind w:firstLine="480" w:firstLineChars="200"/>
        <w:jc w:val="both"/>
        <w:outlineLvl w:val="0"/>
        <w:rPr>
          <w:rFonts w:hint="eastAsia" w:ascii="Times New Roman" w:hAnsi="Times New Roman" w:cs="Times New Roman"/>
          <w:b w:val="0"/>
          <w:bCs/>
          <w:color w:val="0000E1"/>
          <w:kern w:val="0"/>
          <w:sz w:val="24"/>
          <w:szCs w:val="24"/>
          <w:highlight w:val="none"/>
          <w:lang w:val="en-US" w:eastAsia="zh-CN"/>
        </w:rPr>
      </w:pPr>
      <w:r>
        <w:rPr>
          <w:rFonts w:hint="eastAsia" w:ascii="Times New Roman" w:hAnsi="Times New Roman" w:cs="Times New Roman"/>
          <w:b w:val="0"/>
          <w:bCs/>
          <w:color w:val="0000E1"/>
          <w:kern w:val="0"/>
          <w:sz w:val="24"/>
          <w:szCs w:val="24"/>
          <w:highlight w:val="none"/>
          <w:lang w:val="en-US" w:eastAsia="zh-CN"/>
        </w:rPr>
        <w:t>项目性质、规模、地点与环境影响报告表及批复文件保持一致，基本无变动。</w:t>
      </w:r>
      <w:r>
        <w:commentReference w:id="1"/>
      </w:r>
    </w:p>
    <w:p>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ascii="Times New Roman" w:hAnsi="Times New Roman" w:eastAsia="宋体"/>
          <w:color w:val="auto"/>
          <w:kern w:val="0"/>
          <w:sz w:val="24"/>
          <w:szCs w:val="24"/>
          <w:highlight w:val="none"/>
        </w:rPr>
        <w:t>对照生态环境部 环办环评函〔2020〕688号关于印发《污染影响类建设项目重大变动清单</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试行</w:t>
      </w:r>
      <w:r>
        <w:rPr>
          <w:rFonts w:hint="eastAsia" w:ascii="Times New Roman" w:hAnsi="Times New Roman"/>
          <w:color w:val="auto"/>
          <w:kern w:val="0"/>
          <w:sz w:val="24"/>
          <w:szCs w:val="24"/>
          <w:highlight w:val="none"/>
          <w:lang w:eastAsia="zh-CN"/>
        </w:rPr>
        <w:t>）</w:t>
      </w:r>
      <w:r>
        <w:rPr>
          <w:rFonts w:ascii="Times New Roman" w:hAnsi="Times New Roman" w:eastAsia="宋体"/>
          <w:color w:val="auto"/>
          <w:kern w:val="0"/>
          <w:sz w:val="24"/>
          <w:szCs w:val="24"/>
          <w:highlight w:val="none"/>
        </w:rPr>
        <w:t>》的通知相关内容，</w:t>
      </w:r>
      <w:r>
        <w:rPr>
          <w:rFonts w:hint="eastAsia" w:ascii="Times New Roman" w:hAnsi="Times New Roman" w:eastAsia="宋体"/>
          <w:color w:val="auto"/>
          <w:kern w:val="0"/>
          <w:sz w:val="24"/>
          <w:szCs w:val="24"/>
          <w:highlight w:val="none"/>
          <w:lang w:val="en-US" w:eastAsia="zh-CN"/>
        </w:rPr>
        <w:t>企业</w:t>
      </w:r>
      <w:r>
        <w:rPr>
          <w:rFonts w:ascii="Times New Roman" w:hAnsi="Times New Roman" w:eastAsia="宋体"/>
          <w:color w:val="auto"/>
          <w:kern w:val="0"/>
          <w:sz w:val="24"/>
          <w:szCs w:val="24"/>
          <w:highlight w:val="none"/>
        </w:rPr>
        <w:t>不属于重大变动。</w:t>
      </w:r>
      <w:bookmarkEnd w:id="11"/>
      <w:bookmarkEnd w:id="12"/>
      <w:bookmarkEnd w:id="13"/>
    </w:p>
    <w:p>
      <w:pPr>
        <w:spacing w:line="360" w:lineRule="auto"/>
        <w:ind w:firstLine="602" w:firstLineChars="25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三、环境保护设施建设情况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highlight w:val="none"/>
        </w:rPr>
        <w:t>（一）</w:t>
      </w:r>
      <w:r>
        <w:rPr>
          <w:rStyle w:val="16"/>
          <w:rFonts w:hint="default" w:ascii="Times New Roman" w:hAnsi="Times New Roman" w:eastAsia="宋体" w:cs="Times New Roman"/>
          <w:b w:val="0"/>
          <w:color w:val="auto"/>
          <w:sz w:val="24"/>
          <w:szCs w:val="24"/>
          <w:highlight w:val="none"/>
          <w:vertAlign w:val="baseline"/>
          <w:lang w:val="en-US" w:eastAsia="zh-CN"/>
        </w:rPr>
        <w:t>废水：</w:t>
      </w:r>
      <w:r>
        <w:rPr>
          <w:rFonts w:hint="default" w:ascii="Times New Roman" w:hAnsi="Times New Roman" w:eastAsia="宋体" w:cs="Times New Roman"/>
          <w:color w:val="auto"/>
          <w:sz w:val="24"/>
          <w:szCs w:val="24"/>
          <w:lang w:val="en-US" w:eastAsia="zh-CN"/>
        </w:rPr>
        <w:t>本项目营运过程产生的废水主要是生活污水和喷枪清洗水。</w:t>
      </w:r>
    </w:p>
    <w:p>
      <w:pPr>
        <w:spacing w:line="360" w:lineRule="auto"/>
        <w:ind w:firstLine="480" w:firstLineChars="200"/>
        <w:jc w:val="both"/>
        <w:outlineLvl w:val="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①生活污水：经隔油池、化粪池预处理后纳管至区域城镇污水处理厂集中处理，达标排放。</w:t>
      </w:r>
    </w:p>
    <w:p>
      <w:pPr>
        <w:spacing w:line="360" w:lineRule="auto"/>
        <w:ind w:firstLine="480" w:firstLineChars="200"/>
        <w:jc w:val="both"/>
        <w:outlineLvl w:val="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②喷枪清洗水：回用于同类水性漆的调配。</w:t>
      </w:r>
    </w:p>
    <w:p>
      <w:pPr>
        <w:spacing w:line="360" w:lineRule="auto"/>
        <w:ind w:firstLine="480" w:firstLineChars="200"/>
        <w:jc w:val="both"/>
        <w:outlineLvl w:val="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（二）废气：本项目营运过程产生的废气主要为切割粉尘、焊接烟尘、打磨粉尘、调漆、喷漆、晾干、喷枪清洗废气和食堂油烟废气。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①切割粉尘：在切割粉尘产生区域设置</w:t>
      </w:r>
      <w:r>
        <w:rPr>
          <w:rFonts w:hint="eastAsia" w:ascii="Times New Roman" w:hAnsi="Times New Roman" w:cs="Times New Roman"/>
          <w:color w:val="0000E1"/>
          <w:kern w:val="0"/>
          <w:sz w:val="24"/>
          <w:highlight w:val="none"/>
          <w:lang w:val="en-US" w:eastAsia="zh-CN"/>
        </w:rPr>
        <w:t>布袋除尘器</w:t>
      </w:r>
      <w:r>
        <w:commentReference w:id="2"/>
      </w:r>
      <w:r>
        <w:rPr>
          <w:rFonts w:hint="eastAsia" w:ascii="Times New Roman" w:hAnsi="Times New Roman" w:cs="Times New Roman"/>
          <w:color w:val="auto"/>
          <w:kern w:val="0"/>
          <w:sz w:val="24"/>
          <w:highlight w:val="none"/>
          <w:lang w:val="en-US" w:eastAsia="zh-CN"/>
        </w:rPr>
        <w:t>（TA001）对切割粉尘进行收集、处理后无组织排放。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②焊接烟尘：在焊接区域配备一台移动式焊接烟尘净化器（TA002）对焊接烟尘进行收集处理，尾气于车间内无组织排放。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③打磨粉尘：经车间沉降后于车间内无组织排放。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④调漆、喷漆、晾干、喷枪清洗废气：采用车间整体密闭换风，并维持微负压状态，废气集中收集后通过一套干式过滤+四级活性炭吸附装置（TA003）处理，尾气通过一根15m高的排气筒DA001排放。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⑤</w:t>
      </w:r>
      <w:bookmarkStart w:id="14" w:name="OLE_LINK5"/>
      <w:r>
        <w:rPr>
          <w:rFonts w:hint="eastAsia" w:ascii="Times New Roman" w:hAnsi="Times New Roman" w:cs="Times New Roman"/>
          <w:color w:val="auto"/>
          <w:kern w:val="0"/>
          <w:sz w:val="24"/>
          <w:highlight w:val="none"/>
          <w:lang w:val="en-US" w:eastAsia="zh-CN"/>
        </w:rPr>
        <w:t>食堂油烟废气</w:t>
      </w:r>
      <w:bookmarkEnd w:id="14"/>
      <w:r>
        <w:rPr>
          <w:rFonts w:hint="eastAsia" w:ascii="Times New Roman" w:hAnsi="Times New Roman" w:cs="Times New Roman"/>
          <w:color w:val="auto"/>
          <w:kern w:val="0"/>
          <w:sz w:val="24"/>
          <w:highlight w:val="none"/>
          <w:lang w:val="en-US" w:eastAsia="zh-CN"/>
        </w:rPr>
        <w:t>：为消除油烟对周围环境的影响，食堂油烟废气经现有的油烟净化器（TA004）处理后于食堂屋顶高空排放（DA002）。</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Style w:val="16"/>
          <w:rFonts w:hint="default" w:ascii="Times New Roman" w:hAnsi="Times New Roman" w:eastAsia="宋体" w:cs="Times New Roman"/>
          <w:b w:val="0"/>
          <w:color w:val="auto"/>
          <w:sz w:val="24"/>
          <w:szCs w:val="24"/>
          <w:highlight w:val="none"/>
          <w:vertAlign w:val="baseline"/>
          <w:lang w:val="en-US" w:eastAsia="zh-CN"/>
        </w:rPr>
      </w:pPr>
      <w:r>
        <w:rPr>
          <w:rFonts w:hint="eastAsia" w:ascii="Times New Roman" w:hAnsi="Times New Roman" w:eastAsia="宋体" w:cs="Times New Roman"/>
          <w:b w:val="0"/>
          <w:color w:val="auto"/>
          <w:kern w:val="2"/>
          <w:sz w:val="24"/>
          <w:szCs w:val="24"/>
          <w:vertAlign w:val="baseline"/>
          <w:lang w:val="en-US" w:eastAsia="zh-CN" w:bidi="ar-SA"/>
        </w:rPr>
        <w:t>（</w:t>
      </w:r>
      <w:r>
        <w:rPr>
          <w:rFonts w:hint="eastAsia" w:ascii="Times New Roman" w:hAnsi="Times New Roman" w:cs="Times New Roman"/>
          <w:b w:val="0"/>
          <w:color w:val="auto"/>
          <w:kern w:val="2"/>
          <w:sz w:val="24"/>
          <w:szCs w:val="24"/>
          <w:vertAlign w:val="baseline"/>
          <w:lang w:val="en-US" w:eastAsia="zh-CN" w:bidi="ar-SA"/>
        </w:rPr>
        <w:t>三</w:t>
      </w:r>
      <w:r>
        <w:rPr>
          <w:rFonts w:hint="eastAsia" w:ascii="Times New Roman" w:hAnsi="Times New Roman" w:eastAsia="宋体" w:cs="Times New Roman"/>
          <w:b w:val="0"/>
          <w:color w:val="auto"/>
          <w:kern w:val="2"/>
          <w:sz w:val="24"/>
          <w:szCs w:val="24"/>
          <w:vertAlign w:val="baseline"/>
          <w:lang w:val="en-US" w:eastAsia="zh-CN" w:bidi="ar-SA"/>
        </w:rPr>
        <w:t>）</w:t>
      </w:r>
      <w:r>
        <w:rPr>
          <w:rFonts w:hint="default" w:ascii="Times New Roman" w:hAnsi="Times New Roman" w:eastAsia="宋体" w:cs="Times New Roman"/>
          <w:color w:val="auto"/>
          <w:kern w:val="0"/>
          <w:sz w:val="24"/>
          <w:highlight w:val="none"/>
        </w:rPr>
        <w:t>噪声：</w:t>
      </w:r>
      <w:r>
        <w:rPr>
          <w:rFonts w:hint="eastAsia" w:ascii="Times New Roman" w:hAnsi="Times New Roman" w:cs="Times New Roman"/>
          <w:color w:val="auto"/>
          <w:kern w:val="0"/>
          <w:sz w:val="24"/>
          <w:highlight w:val="none"/>
          <w:lang w:val="en-US" w:eastAsia="zh-CN"/>
        </w:rPr>
        <w:t>本</w:t>
      </w:r>
      <w:r>
        <w:rPr>
          <w:rFonts w:hint="eastAsia"/>
          <w:color w:val="auto"/>
          <w:sz w:val="24"/>
          <w:highlight w:val="none"/>
        </w:rPr>
        <w:t>项目</w:t>
      </w:r>
      <w:r>
        <w:rPr>
          <w:rFonts w:hint="eastAsia"/>
          <w:color w:val="auto"/>
          <w:sz w:val="24"/>
          <w:highlight w:val="none"/>
          <w:lang w:val="en-US" w:eastAsia="zh-CN"/>
        </w:rPr>
        <w:t>噪声源主要为生产设备及辅助设施运行噪声</w:t>
      </w:r>
      <w:r>
        <w:rPr>
          <w:rFonts w:hint="eastAsia"/>
          <w:color w:val="auto"/>
          <w:sz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highlight w:val="none"/>
        </w:rPr>
      </w:pPr>
      <w:r>
        <w:rPr>
          <w:rFonts w:hint="default" w:ascii="Times New Roman" w:hAnsi="Times New Roman" w:eastAsia="宋体"/>
          <w:color w:val="auto"/>
          <w:sz w:val="24"/>
          <w:szCs w:val="32"/>
          <w:highlight w:val="none"/>
          <w:lang w:val="en-US" w:eastAsia="zh-CN"/>
        </w:rPr>
        <w:t>企业实行昼间一班制，厂区噪声源主要为生产设备及辅助设施运行噪声。通过选用噪声低、振动小的设备；对风机等高噪声设备加设减振垫；合理布置设备位置；车间安装隔声门窗，生产时关闭门窗；加强生产现场管理和设备养护，减少或降低人为噪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四</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highlight w:val="none"/>
          <w:lang w:val="en-US" w:eastAsia="zh-CN"/>
        </w:rPr>
        <w:t>固废：本项目营运过程产生的固体废物包括生活垃圾、一般工业固废和危险废物。</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360" w:lineRule="auto"/>
        <w:ind w:left="0" w:leftChars="0" w:right="0" w:firstLine="480" w:firstLineChars="200"/>
        <w:jc w:val="both"/>
        <w:textAlignment w:val="auto"/>
        <w:rPr>
          <w:rFonts w:hint="eastAsia"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本项目一般固废仓库设置于生产车间外西北侧单独房间内，存放钢材废料、收集的金属粉尘、废焊丝、焊渣、废包装材料，占地面积约12m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暂存点为水泥地面，能做到防扬散、防流失、防止雨水的冲刷及防渗漏等相关要求，各类一般废物定置分类存放；危废仓库设置于生产车间外西北侧单独房间内，存放废皂化液、含废皂化液金属屑、漆渣、废润滑油、废皂化液桶、废涂料桶、废润滑油桶、废过滤材料、废活性炭等，占地面积约9m</w:t>
      </w:r>
      <w:r>
        <w:rPr>
          <w:rFonts w:hint="default" w:ascii="Times New Roman" w:hAnsi="Times New Roman" w:eastAsia="宋体" w:cs="Times New Roman"/>
          <w:color w:val="auto"/>
          <w:kern w:val="0"/>
          <w:sz w:val="24"/>
          <w:highlight w:val="none"/>
          <w:vertAlign w:val="superscript"/>
          <w:lang w:val="en-US" w:eastAsia="zh-CN"/>
        </w:rPr>
        <w:t>2</w:t>
      </w:r>
      <w:r>
        <w:rPr>
          <w:rFonts w:hint="default" w:ascii="Times New Roman" w:hAnsi="Times New Roman" w:eastAsia="宋体" w:cs="Times New Roman"/>
          <w:color w:val="auto"/>
          <w:kern w:val="0"/>
          <w:sz w:val="24"/>
          <w:highlight w:val="none"/>
          <w:lang w:val="en-US" w:eastAsia="zh-CN"/>
        </w:rPr>
        <w:t>。除废活性炭定期委托浙江悦胜环境科技有限公司安全处置，其他危废均定期委托湖州威能环境服务有限公司安全处置。危废库具备防腐防渗、防雨淋等措施，可以有效防止二次污染，规范建立了危废台账</w:t>
      </w:r>
      <w:r>
        <w:rPr>
          <w:rFonts w:hint="eastAsia" w:ascii="Times New Roman" w:hAnsi="Times New Roman" w:cs="Times New Roman"/>
          <w:color w:val="auto"/>
          <w:kern w:val="0"/>
          <w:sz w:val="24"/>
          <w:highlight w:val="none"/>
          <w:lang w:val="en-US" w:eastAsia="zh-CN"/>
        </w:rPr>
        <w:t>。</w:t>
      </w:r>
    </w:p>
    <w:p>
      <w:pPr>
        <w:widowControl/>
        <w:numPr>
          <w:ilvl w:val="0"/>
          <w:numId w:val="4"/>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其他环保设施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本项目所在厂区已实行雨污分流。浙江中研机电技术有限公司建立并完善了相关环保管理制度。企业于2025年7月委托浙江仕远环境科技有限公司编制完成了《浙江中研机电技术有限公司突发环境事件应急预案（简本）》，于2025年7月18日通过德清县环境应急与事故调查中心备案，备案编号为3305L1-2025-064-L。企业已完成固定污染源排污登记，登记编号为：91330521551753607T001W。目前企业已经按突发环境事件应急预案的相关要求配备了相应的应急物资，并对员工进行了相关突发事故的培训</w:t>
      </w:r>
      <w:r>
        <w:rPr>
          <w:rFonts w:hint="eastAsia" w:ascii="Times New Roman" w:hAnsi="Times New Roman" w:cs="Times New Roman"/>
          <w:color w:val="auto"/>
          <w:kern w:val="0"/>
          <w:sz w:val="24"/>
          <w:highlight w:val="none"/>
          <w:lang w:val="en-US" w:eastAsia="zh-CN"/>
        </w:rPr>
        <w:t>。</w:t>
      </w:r>
    </w:p>
    <w:p>
      <w:pPr>
        <w:widowControl/>
        <w:numPr>
          <w:ilvl w:val="0"/>
          <w:numId w:val="4"/>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土壤及地下水污染防治措施</w:t>
      </w:r>
    </w:p>
    <w:p>
      <w:pPr>
        <w:widowControl/>
        <w:numPr>
          <w:ilvl w:val="0"/>
          <w:numId w:val="0"/>
        </w:numPr>
        <w:spacing w:line="360" w:lineRule="auto"/>
        <w:ind w:firstLine="480" w:firstLineChars="200"/>
        <w:jc w:val="left"/>
        <w:rPr>
          <w:rFonts w:hint="default"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本项目地下水和土壤污染防治措施已按照“源头控制、分区防护、污染监控、应急响应”相结合的原则，全方位进行控制。厂区内采取分区防渗措施，项目重点污染防治区主要为生产车间、危化品仓库</w:t>
      </w:r>
      <w:r>
        <w:rPr>
          <w:rFonts w:hint="eastAsia" w:ascii="Times New Roman" w:hAnsi="Times New Roman"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危废仓库等</w:t>
      </w:r>
      <w:r>
        <w:rPr>
          <w:rFonts w:hint="eastAsia" w:ascii="Times New Roman" w:hAnsi="Times New Roman" w:cs="Times New Roman"/>
          <w:color w:val="auto"/>
          <w:kern w:val="0"/>
          <w:sz w:val="24"/>
          <w:highlight w:val="none"/>
          <w:lang w:val="en-US" w:eastAsia="zh-CN"/>
        </w:rPr>
        <w:t>。</w:t>
      </w:r>
    </w:p>
    <w:p>
      <w:pPr>
        <w:widowControl/>
        <w:numPr>
          <w:ilvl w:val="0"/>
          <w:numId w:val="4"/>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环境风险防范措施：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1、泄漏事故风险防范措施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（1）为了保证各物料仓储和使用安全，本项目各物料的存储条件和设施已严格按照有关文件中的要求执行，并有严格的管理。</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（2）总平面布置严格遵守国家颁布的有关防火和安全等方面规范和规定，在危险源布置方面，充分考虑厂内职工和厂外敏感目标的安全，一旦出现突发性事件时，对人员造成的伤害最小。</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（3）在生产装置、仓储区等附近场所以及需要提醒人员注意的地点均按标准设置各种安全标志，凡需要迅速发现并引起注意以防止发生事故的场所、部位，均按要求涂安全色。</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（4）车间、仓储区布置通风良好，保证易燃、易爆和有毒物质迅速稀释和扩散。</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2、乙炔泄露事故风险防范措施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乙炔泄漏时，应立即切断气源，疏散周围人员，禁止使用手机、打火机等引火物，切断电源防止静电火花，必要时使用干粉灭火器或二氧化碳灭火器灭火。</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3、火灾爆炸事故风险防范措施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（1）控制与消除火源</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工作时严禁吸烟、携带火种、穿带钉皮鞋等进入易燃易爆区；动火必须按动火手续办理动火证，采取有效的防范措施；使用防爆型电器；严禁钢制工具敲打、撞击、抛掷；安装避雷装置；转动设备部位要保持清洁，防止因摩擦引起杂物等燃烧；危险化学品物料运输要请专门的、有资质的运输单位，运用专用的设备进行运输。</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（2）加强管理、严格纪律，遵守各项规章制度和操作规程，严格执行岗位责任制；坚持巡回检查，发现问题及时处理；加强培训、教育和考核工作。</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4、物料贮存风险防范措施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（1）原料存放点为阴凉通风，远离热源、火种，防止日光暴晒，严禁受热。库内照明采用防爆照明灯，存放点周围不得堆放任何可燃材料。</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（2）原料库有专人管理，有消防器材，有醒目的防火标志。本项目已在仓库门口张贴防火标识，并配有进出台账管理。</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危废仓库从严建设，进一步根据《危险废物污染防治技术政策》和《危险废物贮存污染控制标准》进行完善。同时建立健全固体废弃物管理制度和管理程式，固体废弃物应按照性质分类收集并有专人管理，进行监督登记并设置相应的应急救援器材和物资、每年进行预案演练，完善风险防控系统。</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（4）对员工进行日常风险教育和培训，提高安全防范知识的宣传力度。企业定期对员工进行安全培训教育，从控制过程减少了风险事故的发生。</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5、环保设施风险防范措施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为确保不发生事故性废气排放，企业采取一定的事故性防范保护措施：</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1）企业委托有相应资质（建设部门核发的综合、行业专项等设计资质）的设计单位对建设项目（含环保设施）进行设计，落实安全生产相关技术要求，自行开展或组织环保和安全生产有关专家参与设计审查，出具审查报告，并按审查意见进行修改完善。</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2）建设单位严格按照设计方案和相关施工技术标准、规范施工。建设项目竣工后，建设单位应当按照法律、法规规定的标准和程序，对环保设施进行验收，确保环保设施符合生态环境和安全生产要求，并形成书面报告。</w:t>
      </w:r>
    </w:p>
    <w:p>
      <w:pPr>
        <w:widowControl/>
        <w:numPr>
          <w:ilvl w:val="0"/>
          <w:numId w:val="0"/>
        </w:numPr>
        <w:spacing w:line="360" w:lineRule="auto"/>
        <w:ind w:firstLine="480" w:firstLineChars="200"/>
        <w:jc w:val="left"/>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3）企业要把环保设施安全落实到生产经营工作全过程各方面，建立环保设施台账和维护管理制度，对环保设施操作、危险作业等相关岗位人员开展安全操作规程、风险管控、应急处置等专项安全培训教育。要依法依规开展环保设施安全风险辨识管控和隐患排查治理，定期进行安全可靠性鉴定，设置必要的安全监测监控系统和连锁保护，严格日常安全检查。要严格执行吊装、动火、登高、有限空间、检维修等危险作业审批制度，落实安全隔离措施，实施现场安全监护，配齐应急处置装备，确保环保设施安全、稳定、有效运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四、环境保护设施调试监测结果</w:t>
      </w:r>
    </w:p>
    <w:p>
      <w:pPr>
        <w:spacing w:line="360" w:lineRule="auto"/>
        <w:ind w:firstLine="480" w:firstLineChars="200"/>
        <w:outlineLvl w:val="0"/>
        <w:rPr>
          <w:rFonts w:hint="default" w:ascii="Times New Roman" w:hAnsi="Times New Roman" w:eastAsia="宋体" w:cs="Times New Roman"/>
          <w:color w:val="auto"/>
          <w:sz w:val="24"/>
          <w:highlight w:val="none"/>
          <w:lang w:eastAsia="zh-CN"/>
        </w:rPr>
      </w:pPr>
      <w:r>
        <w:rPr>
          <w:rFonts w:hint="eastAsia" w:ascii="Times New Roman" w:hAnsi="Times New Roman" w:cs="Times New Roman"/>
          <w:color w:val="auto"/>
          <w:kern w:val="0"/>
          <w:sz w:val="24"/>
          <w:highlight w:val="none"/>
          <w:lang w:val="en-US" w:eastAsia="zh-CN"/>
        </w:rPr>
        <w:t>中昱（浙江）环境监测股份有限公司</w:t>
      </w:r>
      <w:r>
        <w:rPr>
          <w:rFonts w:hint="default" w:ascii="Times New Roman" w:hAnsi="Times New Roman" w:eastAsia="宋体" w:cs="Times New Roman"/>
          <w:color w:val="auto"/>
          <w:kern w:val="0"/>
          <w:sz w:val="24"/>
          <w:highlight w:val="none"/>
        </w:rPr>
        <w:t>对</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项目进行了环境保护验收监测（报告编号：</w:t>
      </w:r>
      <w:r>
        <w:rPr>
          <w:rFonts w:hint="default" w:ascii="Times New Roman" w:hAnsi="Times New Roman" w:eastAsia="宋体" w:cs="Times New Roman"/>
          <w:snapToGrid/>
          <w:color w:val="auto"/>
          <w:spacing w:val="-3"/>
          <w:kern w:val="2"/>
          <w:sz w:val="24"/>
          <w:szCs w:val="24"/>
          <w:highlight w:val="none"/>
          <w:lang w:val="en-US" w:eastAsia="zh-CN" w:bidi="ar-SA"/>
        </w:rPr>
        <w:t>中昱环境（2025）检06-200号</w:t>
      </w:r>
      <w:r>
        <w:rPr>
          <w:rFonts w:hint="eastAsia" w:ascii="Times New Roman" w:hAnsi="Times New Roman" w:cs="Times New Roman"/>
          <w:snapToGrid/>
          <w:color w:val="auto"/>
          <w:spacing w:val="-3"/>
          <w:kern w:val="2"/>
          <w:sz w:val="24"/>
          <w:szCs w:val="24"/>
          <w:highlight w:val="none"/>
          <w:lang w:val="en-US" w:eastAsia="zh-CN" w:bidi="ar-SA"/>
        </w:rPr>
        <w:t>、中昱环境（2025）检06-202号）</w:t>
      </w:r>
      <w:r>
        <w:rPr>
          <w:rFonts w:hint="default" w:ascii="Times New Roman" w:hAnsi="Times New Roman" w:eastAsia="宋体" w:cs="Times New Roman"/>
          <w:color w:val="auto"/>
          <w:kern w:val="0"/>
          <w:sz w:val="24"/>
          <w:highlight w:val="none"/>
        </w:rPr>
        <w:t>。监测期间，验收</w:t>
      </w:r>
      <w:r>
        <w:rPr>
          <w:rFonts w:hint="eastAsia" w:ascii="Times New Roman" w:hAnsi="Times New Roman" w:cs="Times New Roman"/>
          <w:color w:val="auto"/>
          <w:kern w:val="0"/>
          <w:sz w:val="24"/>
          <w:highlight w:val="none"/>
          <w:lang w:val="en-US" w:eastAsia="zh-CN"/>
        </w:rPr>
        <w:t>本</w:t>
      </w:r>
      <w:r>
        <w:rPr>
          <w:rFonts w:hint="default" w:ascii="Times New Roman" w:hAnsi="Times New Roman" w:eastAsia="宋体" w:cs="Times New Roman"/>
          <w:color w:val="auto"/>
          <w:kern w:val="0"/>
          <w:sz w:val="24"/>
          <w:highlight w:val="none"/>
        </w:rPr>
        <w:t>项目</w:t>
      </w:r>
      <w:r>
        <w:rPr>
          <w:rFonts w:hint="eastAsia" w:ascii="Times New Roman" w:hAnsi="Times New Roman" w:cs="Times New Roman"/>
          <w:color w:val="auto"/>
          <w:kern w:val="0"/>
          <w:sz w:val="24"/>
          <w:highlight w:val="none"/>
          <w:lang w:val="en-US" w:eastAsia="zh-CN"/>
        </w:rPr>
        <w:t>时</w:t>
      </w:r>
      <w:r>
        <w:rPr>
          <w:rFonts w:hint="default" w:ascii="Times New Roman" w:hAnsi="Times New Roman" w:eastAsia="宋体" w:cs="Times New Roman"/>
          <w:color w:val="auto"/>
          <w:kern w:val="0"/>
          <w:sz w:val="24"/>
          <w:highlight w:val="none"/>
        </w:rPr>
        <w:t>生产工况正常，符合竣工验收工况负荷要求。</w:t>
      </w:r>
    </w:p>
    <w:p>
      <w:pPr>
        <w:pStyle w:val="9"/>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（一）环保设施处理效率</w:t>
      </w:r>
    </w:p>
    <w:p>
      <w:pPr>
        <w:pStyle w:val="9"/>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（1）废水处理设施</w:t>
      </w:r>
    </w:p>
    <w:p>
      <w:pPr>
        <w:pStyle w:val="9"/>
        <w:spacing w:line="360" w:lineRule="auto"/>
        <w:ind w:firstLine="480" w:firstLineChars="200"/>
        <w:rPr>
          <w:rFonts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本</w:t>
      </w:r>
      <w:r>
        <w:rPr>
          <w:rFonts w:ascii="Times New Roman" w:hAnsi="Times New Roman" w:eastAsia="宋体" w:cs="Times New Roman"/>
          <w:color w:val="auto"/>
          <w:sz w:val="24"/>
          <w:highlight w:val="none"/>
        </w:rPr>
        <w:t>项目</w:t>
      </w:r>
      <w:r>
        <w:rPr>
          <w:rFonts w:hint="eastAsia" w:ascii="Times New Roman" w:hAnsi="Times New Roman" w:cs="Times New Roman"/>
          <w:color w:val="auto"/>
          <w:sz w:val="24"/>
          <w:highlight w:val="none"/>
          <w:lang w:val="en-US" w:eastAsia="zh-CN"/>
        </w:rPr>
        <w:t>无</w:t>
      </w:r>
      <w:r>
        <w:rPr>
          <w:rFonts w:ascii="Times New Roman" w:hAnsi="Times New Roman" w:eastAsia="宋体" w:cs="Times New Roman"/>
          <w:color w:val="auto"/>
          <w:sz w:val="24"/>
          <w:highlight w:val="none"/>
        </w:rPr>
        <w:t>生产废水</w:t>
      </w:r>
      <w:r>
        <w:rPr>
          <w:rFonts w:hint="eastAsia" w:ascii="Times New Roman" w:hAnsi="Times New Roman" w:cs="Times New Roman"/>
          <w:color w:val="auto"/>
          <w:sz w:val="24"/>
          <w:highlight w:val="none"/>
          <w:lang w:val="en-US" w:eastAsia="zh-CN"/>
        </w:rPr>
        <w:t>排放，不涉及</w:t>
      </w:r>
      <w:r>
        <w:rPr>
          <w:rFonts w:ascii="Times New Roman" w:hAnsi="Times New Roman" w:eastAsia="宋体" w:cs="Times New Roman"/>
          <w:color w:val="auto"/>
          <w:sz w:val="24"/>
          <w:highlight w:val="none"/>
        </w:rPr>
        <w:t>废水处理设施处理效率问题。</w:t>
      </w:r>
    </w:p>
    <w:p>
      <w:pPr>
        <w:pStyle w:val="9"/>
        <w:numPr>
          <w:ilvl w:val="0"/>
          <w:numId w:val="5"/>
        </w:num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废气处理设施</w:t>
      </w:r>
    </w:p>
    <w:p>
      <w:pPr>
        <w:pStyle w:val="10"/>
        <w:keepNext w:val="0"/>
        <w:keepLines w:val="0"/>
        <w:widowControl w:val="0"/>
        <w:suppressLineNumbers w:val="0"/>
        <w:autoSpaceDE w:val="0"/>
        <w:autoSpaceDN/>
        <w:spacing w:before="0" w:beforeAutospacing="0" w:after="0" w:afterLines="0" w:afterAutospacing="0" w:line="360" w:lineRule="auto"/>
        <w:ind w:left="0" w:leftChars="0" w:right="0" w:firstLine="480" w:firstLineChars="200"/>
        <w:jc w:val="both"/>
        <w:rPr>
          <w:rFonts w:hint="default" w:ascii="Times New Roman" w:hAnsi="Times New Roman" w:eastAsia="宋体" w:cs="Times New Roman"/>
          <w:color w:val="auto"/>
          <w:kern w:val="2"/>
          <w:sz w:val="24"/>
          <w:szCs w:val="24"/>
        </w:rPr>
      </w:pPr>
      <w:r>
        <w:rPr>
          <w:rFonts w:hint="eastAsia" w:ascii="宋体" w:hAnsi="宋体" w:eastAsia="宋体" w:cs="宋体"/>
          <w:color w:val="auto"/>
          <w:kern w:val="2"/>
          <w:sz w:val="24"/>
          <w:szCs w:val="24"/>
          <w:lang w:val="en-US" w:eastAsia="zh-CN" w:bidi="ar"/>
        </w:rPr>
        <w:t>污染物去除效率根据废气处理设施进出口检测数据计算，得到项目配备废气处理设施对工业烟粉尘和挥发性有机物（</w:t>
      </w:r>
      <w:r>
        <w:rPr>
          <w:rFonts w:hint="default" w:ascii="Times New Roman" w:hAnsi="Times New Roman" w:eastAsia="宋体" w:cs="Times New Roman"/>
          <w:color w:val="auto"/>
          <w:kern w:val="2"/>
          <w:sz w:val="24"/>
          <w:szCs w:val="24"/>
          <w:lang w:val="en-US" w:eastAsia="zh-CN" w:bidi="ar"/>
        </w:rPr>
        <w:t>VOCs</w:t>
      </w:r>
      <w:r>
        <w:rPr>
          <w:rFonts w:hint="eastAsia" w:ascii="宋体" w:hAnsi="宋体" w:eastAsia="宋体" w:cs="宋体"/>
          <w:color w:val="auto"/>
          <w:kern w:val="2"/>
          <w:sz w:val="24"/>
          <w:szCs w:val="24"/>
          <w:lang w:val="en-US" w:eastAsia="zh-CN" w:bidi="ar"/>
        </w:rPr>
        <w:t>）的去除效率，具体见下表。</w:t>
      </w:r>
    </w:p>
    <w:p>
      <w:pPr>
        <w:pStyle w:val="10"/>
        <w:keepNext w:val="0"/>
        <w:keepLines w:val="0"/>
        <w:widowControl w:val="0"/>
        <w:suppressLineNumbers w:val="0"/>
        <w:autoSpaceDE w:val="0"/>
        <w:autoSpaceDN/>
        <w:spacing w:before="0" w:beforeAutospacing="0" w:after="0" w:afterLines="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表</w:t>
      </w:r>
      <w:r>
        <w:rPr>
          <w:rFonts w:hint="default" w:ascii="Times New Roman" w:hAnsi="Times New Roman" w:eastAsia="宋体" w:cs="Times New Roman"/>
          <w:b/>
          <w:bCs/>
          <w:color w:val="auto"/>
          <w:kern w:val="2"/>
          <w:sz w:val="21"/>
          <w:szCs w:val="21"/>
          <w:lang w:val="en-US" w:eastAsia="zh-CN" w:bidi="ar"/>
        </w:rPr>
        <w:t xml:space="preserve">1  </w:t>
      </w:r>
      <w:r>
        <w:rPr>
          <w:rFonts w:hint="eastAsia" w:ascii="宋体" w:hAnsi="宋体" w:eastAsia="宋体" w:cs="宋体"/>
          <w:b/>
          <w:bCs/>
          <w:color w:val="auto"/>
          <w:kern w:val="2"/>
          <w:sz w:val="21"/>
          <w:szCs w:val="21"/>
          <w:lang w:val="en-US" w:eastAsia="zh-CN" w:bidi="ar"/>
        </w:rPr>
        <w:t>废气处理效果一览表</w:t>
      </w:r>
      <w:r>
        <w:commentReference w:id="3"/>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17"/>
        <w:gridCol w:w="1755"/>
        <w:gridCol w:w="1452"/>
        <w:gridCol w:w="1867"/>
        <w:gridCol w:w="1674"/>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废气处理设施</w:t>
            </w:r>
          </w:p>
        </w:tc>
        <w:tc>
          <w:tcPr>
            <w:tcW w:w="3131" w:type="dxa"/>
            <w:gridSpan w:val="2"/>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污染物</w:t>
            </w:r>
          </w:p>
        </w:tc>
        <w:tc>
          <w:tcPr>
            <w:tcW w:w="1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进口</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出口</w:t>
            </w:r>
          </w:p>
        </w:tc>
        <w:tc>
          <w:tcPr>
            <w:tcW w:w="115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去除效率（</w:t>
            </w:r>
            <w:r>
              <w:rPr>
                <w:rFonts w:hint="default" w:ascii="Times New Roman" w:hAnsi="Times New Roman" w:eastAsia="宋体" w:cs="Times New Roman"/>
                <w:b/>
                <w:bCs/>
                <w:color w:val="auto"/>
                <w:kern w:val="2"/>
                <w:sz w:val="21"/>
                <w:szCs w:val="21"/>
                <w:lang w:val="en-US" w:eastAsia="zh-CN" w:bidi="ar"/>
              </w:rPr>
              <w:t>%</w:t>
            </w:r>
            <w:r>
              <w:rPr>
                <w:rFonts w:hint="eastAsia" w:ascii="宋体" w:hAnsi="宋体" w:eastAsia="宋体" w:cs="宋体"/>
                <w:b/>
                <w:bCs/>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5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3131" w:type="dxa"/>
            <w:gridSpan w:val="2"/>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平均速率（</w:t>
            </w:r>
            <w:r>
              <w:rPr>
                <w:rFonts w:hint="default" w:ascii="Times New Roman" w:hAnsi="Times New Roman" w:eastAsia="宋体" w:cs="Times New Roman"/>
                <w:b/>
                <w:bCs/>
                <w:color w:val="auto"/>
                <w:kern w:val="2"/>
                <w:sz w:val="21"/>
                <w:szCs w:val="21"/>
                <w:lang w:val="en-US" w:eastAsia="zh-CN" w:bidi="ar"/>
              </w:rPr>
              <w:t>kg/h</w:t>
            </w:r>
            <w:r>
              <w:rPr>
                <w:rFonts w:hint="eastAsia" w:ascii="宋体" w:hAnsi="宋体" w:eastAsia="宋体" w:cs="宋体"/>
                <w:b/>
                <w:bCs/>
                <w:color w:val="auto"/>
                <w:kern w:val="2"/>
                <w:sz w:val="21"/>
                <w:szCs w:val="21"/>
                <w:lang w:val="en-US" w:eastAsia="zh-CN" w:bidi="ar"/>
              </w:rPr>
              <w:t>）</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rPr>
            </w:pPr>
            <w:r>
              <w:rPr>
                <w:rFonts w:hint="eastAsia" w:ascii="宋体" w:hAnsi="宋体" w:eastAsia="宋体" w:cs="宋体"/>
                <w:b/>
                <w:bCs/>
                <w:color w:val="auto"/>
                <w:kern w:val="2"/>
                <w:sz w:val="21"/>
                <w:szCs w:val="21"/>
                <w:lang w:val="en-US" w:eastAsia="zh-CN" w:bidi="ar"/>
              </w:rPr>
              <w:t>平均速率（</w:t>
            </w:r>
            <w:r>
              <w:rPr>
                <w:rFonts w:hint="default" w:ascii="Times New Roman" w:hAnsi="Times New Roman" w:eastAsia="宋体" w:cs="Times New Roman"/>
                <w:b/>
                <w:bCs/>
                <w:color w:val="auto"/>
                <w:kern w:val="2"/>
                <w:sz w:val="21"/>
                <w:szCs w:val="21"/>
                <w:lang w:val="en-US" w:eastAsia="zh-CN" w:bidi="ar"/>
              </w:rPr>
              <w:t>kg/h</w:t>
            </w:r>
            <w:r>
              <w:rPr>
                <w:rFonts w:hint="eastAsia" w:ascii="宋体" w:hAnsi="宋体" w:eastAsia="宋体" w:cs="宋体"/>
                <w:b/>
                <w:bCs/>
                <w:color w:val="auto"/>
                <w:kern w:val="2"/>
                <w:sz w:val="21"/>
                <w:szCs w:val="21"/>
                <w:lang w:val="en-US" w:eastAsia="zh-CN" w:bidi="ar"/>
              </w:rPr>
              <w:t>）</w:t>
            </w:r>
          </w:p>
        </w:tc>
        <w:tc>
          <w:tcPr>
            <w:tcW w:w="115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157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干式过滤+四级活性炭吸附装置</w:t>
            </w:r>
          </w:p>
        </w:tc>
        <w:tc>
          <w:tcPr>
            <w:tcW w:w="171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挥发性有机物（</w:t>
            </w:r>
            <w:r>
              <w:rPr>
                <w:rFonts w:hint="default" w:ascii="Times New Roman" w:hAnsi="Times New Roman" w:eastAsia="宋体" w:cs="Times New Roman"/>
                <w:color w:val="auto"/>
                <w:kern w:val="2"/>
                <w:sz w:val="21"/>
                <w:szCs w:val="21"/>
                <w:lang w:val="en-US" w:eastAsia="zh-CN" w:bidi="ar"/>
              </w:rPr>
              <w:t>VOCs</w:t>
            </w:r>
            <w:r>
              <w:rPr>
                <w:rFonts w:hint="eastAsia" w:ascii="宋体" w:hAnsi="宋体"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2025.06.25</w:t>
            </w:r>
            <w:r>
              <w:rPr>
                <w:rFonts w:hint="eastAsia" w:ascii="宋体" w:hAnsi="宋体" w:eastAsia="宋体" w:cs="宋体"/>
                <w:color w:val="auto"/>
                <w:kern w:val="2"/>
                <w:sz w:val="21"/>
                <w:szCs w:val="21"/>
                <w:lang w:val="en-US" w:eastAsia="zh-CN" w:bidi="ar"/>
              </w:rPr>
              <w:t>）</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非甲烷总烃</w:t>
            </w:r>
          </w:p>
        </w:tc>
        <w:tc>
          <w:tcPr>
            <w:tcW w:w="1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0.224</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0.0554</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75.27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15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71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甲苯</w:t>
            </w:r>
          </w:p>
        </w:tc>
        <w:tc>
          <w:tcPr>
            <w:tcW w:w="1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rPr>
              <w:t>0.0592</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0000E1"/>
                <w:kern w:val="2"/>
                <w:sz w:val="21"/>
                <w:szCs w:val="21"/>
                <w:lang w:val="en-US" w:eastAsia="zh-CN"/>
              </w:rPr>
              <w:t>1.8</w:t>
            </w:r>
            <w:r>
              <w:rPr>
                <w:rFonts w:hint="eastAsia" w:ascii="Times New Roman" w:hAnsi="Times New Roman" w:cs="Times New Roman"/>
                <w:color w:val="0000E1"/>
                <w:kern w:val="2"/>
                <w:sz w:val="21"/>
                <w:szCs w:val="21"/>
                <w:lang w:val="en-US" w:eastAsia="zh-CN"/>
              </w:rPr>
              <w:t>0</w:t>
            </w:r>
            <w:r>
              <w:rPr>
                <w:rFonts w:hint="default" w:ascii="Times New Roman" w:hAnsi="Times New Roman" w:eastAsia="宋体" w:cs="Times New Roman"/>
                <w:color w:val="auto"/>
                <w:kern w:val="2"/>
                <w:sz w:val="21"/>
                <w:szCs w:val="21"/>
                <w:lang w:val="en-US" w:eastAsia="zh-CN"/>
              </w:rPr>
              <w:t>×10</w:t>
            </w:r>
            <w:r>
              <w:rPr>
                <w:rFonts w:hint="default" w:ascii="Times New Roman" w:hAnsi="Times New Roman" w:eastAsia="宋体" w:cs="Times New Roman"/>
                <w:color w:val="auto"/>
                <w:kern w:val="2"/>
                <w:sz w:val="21"/>
                <w:szCs w:val="21"/>
                <w:vertAlign w:val="superscript"/>
                <w:lang w:val="en-US" w:eastAsia="zh-CN"/>
              </w:rPr>
              <w:t>-3</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96.96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15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71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乙酸丁酯</w:t>
            </w:r>
          </w:p>
        </w:tc>
        <w:tc>
          <w:tcPr>
            <w:tcW w:w="1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0000E1"/>
                <w:kern w:val="2"/>
                <w:sz w:val="21"/>
                <w:szCs w:val="21"/>
                <w:lang w:val="en-US" w:eastAsia="zh-CN"/>
              </w:rPr>
              <w:t>1.03×10</w:t>
            </w:r>
            <w:r>
              <w:rPr>
                <w:rFonts w:hint="default" w:ascii="Times New Roman" w:hAnsi="Times New Roman" w:eastAsia="宋体" w:cs="Times New Roman"/>
                <w:color w:val="0000E1"/>
                <w:kern w:val="2"/>
                <w:sz w:val="21"/>
                <w:szCs w:val="21"/>
                <w:vertAlign w:val="superscript"/>
                <w:lang w:val="en-US" w:eastAsia="zh-CN"/>
              </w:rPr>
              <w:t>-3</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0000E1"/>
                <w:kern w:val="2"/>
                <w:sz w:val="21"/>
                <w:szCs w:val="21"/>
                <w:lang w:val="en-US" w:eastAsia="zh-CN"/>
              </w:rPr>
              <w:t>4.51×10</w:t>
            </w:r>
            <w:r>
              <w:rPr>
                <w:rFonts w:hint="default" w:ascii="Times New Roman" w:hAnsi="Times New Roman" w:eastAsia="宋体" w:cs="Times New Roman"/>
                <w:color w:val="0000E1"/>
                <w:kern w:val="2"/>
                <w:sz w:val="21"/>
                <w:szCs w:val="21"/>
                <w:vertAlign w:val="superscript"/>
                <w:lang w:val="en-US" w:eastAsia="zh-CN"/>
              </w:rPr>
              <w:t>-5</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0000E1"/>
                <w:kern w:val="2"/>
                <w:sz w:val="21"/>
                <w:szCs w:val="21"/>
                <w:lang w:val="en-US" w:eastAsia="zh-CN" w:bidi="ar"/>
              </w:rPr>
              <w:t>95.62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713"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挥发性有机物（</w:t>
            </w:r>
            <w:r>
              <w:rPr>
                <w:rFonts w:hint="default" w:ascii="Times New Roman" w:hAnsi="Times New Roman" w:eastAsia="宋体" w:cs="Times New Roman"/>
                <w:color w:val="auto"/>
                <w:kern w:val="2"/>
                <w:sz w:val="21"/>
                <w:szCs w:val="21"/>
                <w:lang w:val="en-US" w:eastAsia="zh-CN" w:bidi="ar"/>
              </w:rPr>
              <w:t>VOCs</w:t>
            </w:r>
            <w:r>
              <w:rPr>
                <w:rFonts w:hint="eastAsia" w:ascii="宋体" w:hAnsi="宋体"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2025.06.26</w:t>
            </w:r>
            <w:r>
              <w:rPr>
                <w:rFonts w:hint="eastAsia" w:ascii="宋体" w:hAnsi="宋体" w:eastAsia="宋体" w:cs="宋体"/>
                <w:color w:val="auto"/>
                <w:kern w:val="2"/>
                <w:sz w:val="21"/>
                <w:szCs w:val="21"/>
                <w:lang w:val="en-US" w:eastAsia="zh-CN" w:bidi="ar"/>
              </w:rPr>
              <w:t>）</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非甲烷总烃</w:t>
            </w:r>
          </w:p>
        </w:tc>
        <w:tc>
          <w:tcPr>
            <w:tcW w:w="1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0.241</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0000E1"/>
                <w:kern w:val="2"/>
                <w:sz w:val="21"/>
                <w:szCs w:val="21"/>
                <w:lang w:val="en-US" w:eastAsia="zh-CN"/>
              </w:rPr>
              <w:t>0.0600</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75.10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71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甲苯</w:t>
            </w:r>
          </w:p>
        </w:tc>
        <w:tc>
          <w:tcPr>
            <w:tcW w:w="1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0.0662</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rPr>
              <w:t>1.81×10</w:t>
            </w:r>
            <w:r>
              <w:rPr>
                <w:rFonts w:hint="eastAsia" w:ascii="Times New Roman" w:hAnsi="Times New Roman" w:eastAsia="宋体" w:cs="Times New Roman"/>
                <w:color w:val="auto"/>
                <w:kern w:val="2"/>
                <w:sz w:val="21"/>
                <w:szCs w:val="21"/>
                <w:vertAlign w:val="superscript"/>
                <w:lang w:val="en-US" w:eastAsia="zh-CN"/>
              </w:rPr>
              <w:t>-3</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auto"/>
                <w:kern w:val="2"/>
                <w:sz w:val="21"/>
                <w:szCs w:val="21"/>
                <w:lang w:val="en-US" w:eastAsia="zh-CN" w:bidi="ar"/>
              </w:rPr>
              <w:t>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 w:hRule="atLeast"/>
          <w:jc w:val="center"/>
        </w:trPr>
        <w:tc>
          <w:tcPr>
            <w:tcW w:w="15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713"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乙酸丁酯</w:t>
            </w:r>
          </w:p>
        </w:tc>
        <w:tc>
          <w:tcPr>
            <w:tcW w:w="1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0000E1"/>
                <w:kern w:val="2"/>
                <w:sz w:val="21"/>
                <w:szCs w:val="21"/>
                <w:lang w:val="en-US" w:eastAsia="zh-CN"/>
              </w:rPr>
              <w:t>4.93×10</w:t>
            </w:r>
            <w:r>
              <w:rPr>
                <w:rFonts w:hint="eastAsia" w:ascii="Times New Roman" w:hAnsi="Times New Roman" w:eastAsia="宋体" w:cs="Times New Roman"/>
                <w:color w:val="0000E1"/>
                <w:kern w:val="2"/>
                <w:sz w:val="21"/>
                <w:szCs w:val="21"/>
                <w:vertAlign w:val="superscript"/>
                <w:lang w:val="en-US" w:eastAsia="zh-CN"/>
              </w:rPr>
              <w:t>-3</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rPr>
            </w:pPr>
            <w:r>
              <w:rPr>
                <w:rFonts w:hint="eastAsia" w:ascii="Times New Roman" w:hAnsi="Times New Roman" w:eastAsia="宋体" w:cs="Times New Roman"/>
                <w:color w:val="0000E1"/>
                <w:kern w:val="2"/>
                <w:sz w:val="21"/>
                <w:szCs w:val="21"/>
                <w:lang w:val="en-US" w:eastAsia="zh-CN"/>
              </w:rPr>
              <w:t>4.53×10</w:t>
            </w:r>
            <w:r>
              <w:rPr>
                <w:rFonts w:hint="eastAsia" w:ascii="Times New Roman" w:hAnsi="Times New Roman" w:eastAsia="宋体" w:cs="Times New Roman"/>
                <w:color w:val="0000E1"/>
                <w:kern w:val="2"/>
                <w:sz w:val="21"/>
                <w:szCs w:val="21"/>
                <w:vertAlign w:val="superscript"/>
                <w:lang w:val="en-US" w:eastAsia="zh-CN"/>
              </w:rPr>
              <w:t>-5</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0000E1"/>
                <w:kern w:val="2"/>
                <w:sz w:val="21"/>
                <w:szCs w:val="21"/>
                <w:lang w:val="en-US" w:eastAsia="zh-CN" w:bidi="ar"/>
              </w:rPr>
              <w:t>99.08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313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工业烟粉尘（</w:t>
            </w:r>
            <w:r>
              <w:rPr>
                <w:rFonts w:hint="default" w:ascii="Times New Roman" w:hAnsi="Times New Roman" w:eastAsia="宋体" w:cs="Times New Roman"/>
                <w:color w:val="auto"/>
                <w:kern w:val="2"/>
                <w:sz w:val="21"/>
                <w:szCs w:val="21"/>
                <w:lang w:val="en-US" w:eastAsia="zh-CN" w:bidi="ar"/>
              </w:rPr>
              <w:t>2025.06.25</w:t>
            </w:r>
            <w:r>
              <w:rPr>
                <w:rFonts w:hint="eastAsia" w:ascii="宋体" w:hAnsi="宋体" w:eastAsia="宋体" w:cs="宋体"/>
                <w:color w:val="auto"/>
                <w:kern w:val="2"/>
                <w:sz w:val="21"/>
                <w:szCs w:val="21"/>
                <w:lang w:val="en-US" w:eastAsia="zh-CN" w:bidi="ar"/>
              </w:rPr>
              <w:t>）</w:t>
            </w:r>
          </w:p>
        </w:tc>
        <w:tc>
          <w:tcPr>
            <w:tcW w:w="1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0000E1"/>
                <w:kern w:val="2"/>
                <w:sz w:val="21"/>
                <w:szCs w:val="21"/>
                <w:lang w:val="en-US" w:eastAsia="zh-CN" w:bidi="ar"/>
              </w:rPr>
              <w:t>0.0810</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0000E1"/>
                <w:kern w:val="2"/>
                <w:sz w:val="21"/>
                <w:szCs w:val="21"/>
                <w:lang w:val="en-US" w:eastAsia="zh-CN" w:bidi="ar"/>
              </w:rPr>
              <w:t>0.0258</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0000E1"/>
                <w:kern w:val="2"/>
                <w:sz w:val="21"/>
                <w:szCs w:val="21"/>
                <w:lang w:val="en-US" w:eastAsia="zh-CN" w:bidi="ar"/>
              </w:rPr>
              <w:t>68.15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313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工业烟粉尘（</w:t>
            </w:r>
            <w:r>
              <w:rPr>
                <w:rFonts w:hint="default" w:ascii="Times New Roman" w:hAnsi="Times New Roman" w:eastAsia="宋体" w:cs="Times New Roman"/>
                <w:color w:val="auto"/>
                <w:kern w:val="2"/>
                <w:sz w:val="21"/>
                <w:szCs w:val="21"/>
                <w:lang w:val="en-US" w:eastAsia="zh-CN" w:bidi="ar"/>
              </w:rPr>
              <w:t>2025.06.26</w:t>
            </w:r>
            <w:r>
              <w:rPr>
                <w:rFonts w:hint="eastAsia" w:ascii="宋体" w:hAnsi="宋体" w:eastAsia="宋体" w:cs="宋体"/>
                <w:color w:val="auto"/>
                <w:kern w:val="2"/>
                <w:sz w:val="21"/>
                <w:szCs w:val="21"/>
                <w:lang w:val="en-US" w:eastAsia="zh-CN" w:bidi="ar"/>
              </w:rPr>
              <w:t>）</w:t>
            </w:r>
          </w:p>
        </w:tc>
        <w:tc>
          <w:tcPr>
            <w:tcW w:w="1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0000E1"/>
                <w:kern w:val="2"/>
                <w:sz w:val="21"/>
                <w:szCs w:val="21"/>
                <w:lang w:val="en-US" w:eastAsia="zh-CN" w:bidi="ar"/>
              </w:rPr>
              <w:t>0.0833</w:t>
            </w:r>
          </w:p>
        </w:tc>
        <w:tc>
          <w:tcPr>
            <w:tcW w:w="16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0000E1"/>
                <w:kern w:val="2"/>
                <w:sz w:val="21"/>
                <w:szCs w:val="21"/>
                <w:lang w:val="en-US" w:eastAsia="zh-CN" w:bidi="ar"/>
              </w:rPr>
              <w:t>0.0278</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Times New Roman" w:hAnsi="Times New Roman" w:eastAsia="宋体" w:cs="Times New Roman"/>
                <w:color w:val="0000E1"/>
                <w:kern w:val="2"/>
                <w:sz w:val="21"/>
                <w:szCs w:val="21"/>
                <w:lang w:val="en-US" w:eastAsia="zh-CN" w:bidi="ar"/>
              </w:rPr>
              <w:t>66.63</w:t>
            </w:r>
          </w:p>
        </w:tc>
      </w:tr>
    </w:tbl>
    <w:p>
      <w:pPr>
        <w:pStyle w:val="9"/>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监测结果显示：</w:t>
      </w:r>
      <w:r>
        <w:rPr>
          <w:rFonts w:hint="default" w:ascii="Times New Roman" w:hAnsi="Times New Roman" w:eastAsia="宋体" w:cs="Times New Roman"/>
          <w:color w:val="auto"/>
          <w:sz w:val="24"/>
          <w:highlight w:val="none"/>
          <w:lang w:val="en-US" w:eastAsia="zh-CN"/>
        </w:rPr>
        <w:t>本项目调漆、喷漆、晾干、喷枪清洗废气中颗粒物、非甲烷总烃、苯系物（甲苯）、乙酸酯类（乙酸丁酯）、臭气浓度，其有组织排放浓度满足《工业涂装工序大气污染物排放标准》（DB33/2146-2018）中表1大气污染物排放限值</w:t>
      </w:r>
      <w:r>
        <w:rPr>
          <w:rFonts w:hint="eastAsia" w:ascii="Times New Roman" w:hAnsi="Times New Roman" w:cs="Times New Roman"/>
          <w:color w:val="auto"/>
          <w:sz w:val="24"/>
          <w:highlight w:val="none"/>
          <w:lang w:val="en-US" w:eastAsia="zh-CN"/>
        </w:rPr>
        <w:t>，说明本项目采取的废气处理设施合理。</w:t>
      </w:r>
    </w:p>
    <w:p>
      <w:pPr>
        <w:pStyle w:val="9"/>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3</w:t>
      </w:r>
      <w:r>
        <w:rPr>
          <w:rFonts w:ascii="Times New Roman" w:hAnsi="Times New Roman" w:eastAsia="宋体" w:cs="Times New Roman"/>
          <w:color w:val="auto"/>
          <w:sz w:val="24"/>
          <w:szCs w:val="32"/>
          <w:highlight w:val="none"/>
        </w:rPr>
        <w:t>）厂界噪声治理设施</w:t>
      </w:r>
    </w:p>
    <w:p>
      <w:pPr>
        <w:pStyle w:val="9"/>
        <w:spacing w:line="360" w:lineRule="auto"/>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lang w:bidi="ar"/>
        </w:rPr>
        <w:t>监测结果显示：</w:t>
      </w:r>
      <w:r>
        <w:rPr>
          <w:rFonts w:hint="eastAsia" w:ascii="Times New Roman" w:hAnsi="Times New Roman" w:cs="Times New Roman"/>
          <w:color w:val="auto"/>
          <w:sz w:val="24"/>
          <w:highlight w:val="none"/>
          <w:lang w:val="en-US" w:eastAsia="zh-CN" w:bidi="ar"/>
        </w:rPr>
        <w:t>本项目昼间西侧厂界噪声满足《工业企业厂界环境噪声排放标准》（GB12348-2008）4类标准，其余各侧厂界噪声满足《工业企业厂界环境噪声排放标准》（GB12348-2008）3类标准</w:t>
      </w:r>
      <w:r>
        <w:rPr>
          <w:rFonts w:hint="eastAsia" w:ascii="Times New Roman" w:hAnsi="Times New Roman" w:cs="Times New Roman"/>
          <w:color w:val="auto"/>
          <w:sz w:val="24"/>
          <w:highlight w:val="none"/>
          <w:lang w:val="en-US" w:eastAsia="zh-CN"/>
        </w:rPr>
        <w:t>，说明本项目采取的噪声防治措施合理。</w:t>
      </w:r>
    </w:p>
    <w:p>
      <w:pPr>
        <w:pStyle w:val="9"/>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w:t>
      </w:r>
      <w:r>
        <w:rPr>
          <w:rFonts w:hint="eastAsia" w:ascii="Times New Roman" w:hAnsi="Times New Roman" w:cs="Times New Roman"/>
          <w:color w:val="auto"/>
          <w:sz w:val="24"/>
          <w:szCs w:val="32"/>
          <w:highlight w:val="none"/>
          <w:lang w:val="en-US" w:eastAsia="zh-CN"/>
        </w:rPr>
        <w:t>4</w:t>
      </w:r>
      <w:r>
        <w:rPr>
          <w:rFonts w:ascii="Times New Roman" w:hAnsi="Times New Roman" w:eastAsia="宋体" w:cs="Times New Roman"/>
          <w:color w:val="auto"/>
          <w:sz w:val="24"/>
          <w:szCs w:val="32"/>
          <w:highlight w:val="none"/>
        </w:rPr>
        <w:t>）固体废物治理设施</w:t>
      </w:r>
    </w:p>
    <w:p>
      <w:pPr>
        <w:pStyle w:val="9"/>
        <w:spacing w:line="360" w:lineRule="auto"/>
        <w:ind w:firstLine="360" w:firstLineChars="15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sz w:val="24"/>
          <w:szCs w:val="32"/>
          <w:highlight w:val="none"/>
          <w:lang w:val="en-US" w:eastAsia="zh-CN"/>
        </w:rPr>
        <w:t>本</w:t>
      </w:r>
      <w:r>
        <w:rPr>
          <w:rFonts w:ascii="Times New Roman" w:hAnsi="Times New Roman" w:eastAsia="宋体" w:cs="Times New Roman"/>
          <w:color w:val="auto"/>
          <w:sz w:val="24"/>
          <w:szCs w:val="32"/>
          <w:highlight w:val="none"/>
        </w:rPr>
        <w:t>项目固废均委托外单位进行处置，自身不配备</w:t>
      </w:r>
      <w:r>
        <w:rPr>
          <w:rFonts w:hint="eastAsia" w:ascii="Times New Roman" w:hAnsi="Times New Roman" w:cs="Times New Roman"/>
          <w:color w:val="auto"/>
          <w:sz w:val="24"/>
          <w:szCs w:val="32"/>
          <w:highlight w:val="none"/>
          <w:lang w:eastAsia="zh-CN"/>
        </w:rPr>
        <w:t>固体废物处理</w:t>
      </w:r>
      <w:r>
        <w:rPr>
          <w:rFonts w:ascii="Times New Roman" w:hAnsi="Times New Roman" w:eastAsia="宋体" w:cs="Times New Roman"/>
          <w:color w:val="auto"/>
          <w:sz w:val="24"/>
          <w:szCs w:val="32"/>
          <w:highlight w:val="none"/>
        </w:rPr>
        <w:t>设施。</w:t>
      </w:r>
      <w:r>
        <w:rPr>
          <w:rFonts w:hint="eastAsia" w:ascii="Times New Roman" w:hAnsi="Times New Roman" w:cs="Times New Roman"/>
          <w:color w:val="auto"/>
          <w:kern w:val="0"/>
          <w:sz w:val="24"/>
          <w:highlight w:val="none"/>
          <w:lang w:val="en-US" w:eastAsia="zh-CN"/>
        </w:rPr>
        <w:t>生活垃圾集中收集后由当地环卫部门清运；钢材废料、收集的金属粉尘、废焊丝、焊渣、废包装材料集中收集后暂存于一般固废仓库，由杭州三杭再生资源有限公司回收利用；废皂化液、含废皂化液金属屑、漆渣、废润滑油、废皂化液桶、废涂料桶、废润滑油桶、废过滤材料、废活性炭集中收集后在危废仓库暂存，除废活性炭定期委托浙江悦胜环境科技有限公司安全处置，其他危废均定期委托湖州威能环境服务有限公司安全处置。</w:t>
      </w:r>
    </w:p>
    <w:p>
      <w:pPr>
        <w:pStyle w:val="9"/>
        <w:spacing w:line="360" w:lineRule="auto"/>
        <w:ind w:firstLine="360" w:firstLineChars="150"/>
        <w:rPr>
          <w:rFonts w:ascii="Times New Roman" w:hAnsi="Times New Roman" w:eastAsia="宋体" w:cs="Times New Roman"/>
          <w:color w:val="auto"/>
          <w:sz w:val="24"/>
          <w:szCs w:val="32"/>
          <w:highlight w:val="none"/>
        </w:rPr>
      </w:pPr>
      <w:r>
        <w:rPr>
          <w:rFonts w:ascii="Times New Roman" w:hAnsi="Times New Roman" w:eastAsia="宋体" w:cs="Times New Roman"/>
          <w:color w:val="auto"/>
          <w:sz w:val="24"/>
          <w:szCs w:val="32"/>
          <w:highlight w:val="none"/>
        </w:rPr>
        <w:t>（二）污染物排放情况</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hint="eastAsia" w:ascii="Times New Roman" w:hAnsi="Times New Roman" w:eastAsia="宋体"/>
          <w:color w:val="auto"/>
          <w:kern w:val="0"/>
          <w:sz w:val="24"/>
          <w:highlight w:val="none"/>
          <w:lang w:eastAsia="zh-CN"/>
        </w:rPr>
        <w:t>（</w:t>
      </w:r>
      <w:r>
        <w:rPr>
          <w:rFonts w:hint="eastAsia" w:ascii="Times New Roman" w:hAnsi="Times New Roman" w:eastAsia="宋体"/>
          <w:color w:val="auto"/>
          <w:kern w:val="0"/>
          <w:sz w:val="24"/>
          <w:highlight w:val="none"/>
          <w:lang w:val="en-US" w:eastAsia="zh-CN"/>
        </w:rPr>
        <w:t>1</w:t>
      </w:r>
      <w:r>
        <w:rPr>
          <w:rFonts w:hint="eastAsia" w:ascii="Times New Roman" w:hAnsi="Times New Roman" w:eastAsia="宋体"/>
          <w:color w:val="auto"/>
          <w:kern w:val="0"/>
          <w:sz w:val="24"/>
          <w:highlight w:val="none"/>
          <w:lang w:eastAsia="zh-CN"/>
        </w:rPr>
        <w:t>）</w:t>
      </w:r>
      <w:r>
        <w:rPr>
          <w:rFonts w:ascii="Times New Roman" w:hAnsi="Times New Roman" w:eastAsia="宋体"/>
          <w:color w:val="auto"/>
          <w:kern w:val="0"/>
          <w:sz w:val="24"/>
          <w:highlight w:val="none"/>
        </w:rPr>
        <w:t>废水污染物排放评价</w:t>
      </w:r>
    </w:p>
    <w:p>
      <w:pPr>
        <w:pStyle w:val="9"/>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24"/>
          <w:highlight w:val="none"/>
          <w:lang w:val="en-US" w:eastAsia="zh-CN"/>
        </w:rPr>
        <w:t>项目验收监测期间，由检测结果可知，本项目生活污水pH值、化学需氧量、动植物油排放浓度满足《污水综合排放标准》（GB8978-1996）中的三级标准，氨氮排放浓度满足《工业企业废水氮、磷污染物间接排放限值》（DB33/887-2013），即pH限值为6-9，化学需氧量浓度限值≤500mg/L，动植物油浓度限值≤100mg/L，氨氮浓度限值≤35mg/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hint="eastAsia" w:ascii="Times New Roman" w:hAnsi="Times New Roman" w:cs="Times New Roman"/>
          <w:color w:val="auto"/>
          <w:sz w:val="24"/>
          <w:szCs w:val="32"/>
          <w:highlight w:val="none"/>
          <w:lang w:eastAsia="zh-CN"/>
        </w:rPr>
        <w:t>（</w:t>
      </w:r>
      <w:r>
        <w:rPr>
          <w:rFonts w:hint="eastAsia" w:ascii="Times New Roman" w:hAnsi="Times New Roman" w:cs="Times New Roman"/>
          <w:color w:val="auto"/>
          <w:sz w:val="24"/>
          <w:szCs w:val="32"/>
          <w:highlight w:val="none"/>
          <w:lang w:val="en-US" w:eastAsia="zh-CN"/>
        </w:rPr>
        <w:t>2</w:t>
      </w:r>
      <w:r>
        <w:rPr>
          <w:rFonts w:hint="eastAsia" w:ascii="Times New Roman" w:hAnsi="Times New Roman" w:cs="Times New Roman"/>
          <w:color w:val="auto"/>
          <w:sz w:val="24"/>
          <w:szCs w:val="32"/>
          <w:highlight w:val="none"/>
          <w:lang w:eastAsia="zh-CN"/>
        </w:rPr>
        <w:t>）</w:t>
      </w:r>
      <w:r>
        <w:rPr>
          <w:rFonts w:ascii="Times New Roman" w:hAnsi="Times New Roman" w:eastAsia="宋体"/>
          <w:color w:val="auto"/>
          <w:kern w:val="0"/>
          <w:sz w:val="24"/>
          <w:highlight w:val="none"/>
        </w:rPr>
        <w:t>废气污染物排放评价</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本项目调漆、喷漆、晾干、喷枪清洗废气中颗粒物、非甲烷总烃、苯系物（甲苯）、乙酸酯类（乙酸丁酯）、臭气浓度，其有组织排放浓度满足《工业涂装工序大气污染物排放标准》（DB33/2146-2018）中表1大气污染物排放限值；食堂油烟废气中油烟排放浓度满足《饮食业油烟排放标准（试行）》（GB18483-2001）中的小型规模标准。</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验收监测期间，由检测结果可知，本项目厂界颗粒物无组织排放浓度满足《大气污染物综合排放标准》（GB16297-1996）表2中的无组织排放监控浓度限值；非甲烷总烃、苯系物（甲苯）、乙酸丁酯、臭气浓度无组织排放浓度满足《工业涂装工序大气污染物排放标准》（DB33/2146-2018）中表6企业边界大气污染物浓度限值；厂区内VOCs无组织排放浓度满足《挥发性有机物无组织排放控制标准》（GB37822-2019）表A.1中的特别排放限值。</w:t>
      </w:r>
    </w:p>
    <w:p>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Times New Roman" w:hAnsi="Times New Roman" w:eastAsia="宋体" w:cs="Times New Roman"/>
          <w:color w:val="auto"/>
          <w:sz w:val="24"/>
          <w:szCs w:val="32"/>
          <w:highlight w:val="none"/>
        </w:rPr>
      </w:pPr>
      <w:r>
        <w:rPr>
          <w:rFonts w:ascii="Times New Roman" w:hAnsi="Times New Roman" w:eastAsia="宋体"/>
          <w:color w:val="auto"/>
          <w:sz w:val="24"/>
          <w:szCs w:val="32"/>
          <w:highlight w:val="none"/>
        </w:rPr>
        <w:t>（</w:t>
      </w:r>
      <w:r>
        <w:rPr>
          <w:rFonts w:ascii="Times New Roman" w:hAnsi="Times New Roman" w:eastAsia="宋体"/>
          <w:color w:val="auto"/>
          <w:kern w:val="0"/>
          <w:sz w:val="24"/>
          <w:highlight w:val="none"/>
        </w:rPr>
        <w:t>3）</w:t>
      </w:r>
      <w:r>
        <w:rPr>
          <w:rFonts w:ascii="Times New Roman" w:hAnsi="Times New Roman" w:eastAsia="宋体" w:cs="Times New Roman"/>
          <w:color w:val="auto"/>
          <w:sz w:val="24"/>
          <w:szCs w:val="32"/>
          <w:highlight w:val="none"/>
        </w:rPr>
        <w:t>噪声污染物排放评价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olor w:val="auto"/>
          <w:kern w:val="0"/>
          <w:sz w:val="24"/>
          <w:highlight w:val="none"/>
          <w:lang w:val="en-US" w:eastAsia="zh-CN"/>
        </w:rPr>
      </w:pPr>
      <w:r>
        <w:rPr>
          <w:rFonts w:hint="default" w:ascii="Times New Roman" w:hAnsi="Times New Roman" w:eastAsia="宋体"/>
          <w:color w:val="auto"/>
          <w:kern w:val="0"/>
          <w:sz w:val="24"/>
          <w:highlight w:val="none"/>
          <w:lang w:val="en-US" w:eastAsia="zh-CN"/>
        </w:rPr>
        <w:t>项目验收监测期间，由检测结果可知，昼间西侧厂界噪声满足《工业企业厂界环境噪声排放标准》（GB12348-2008）4类标准，其余各侧厂界噪声满足《工业企业厂界环境噪声排放标准》（GB12348-2008）3类标准</w:t>
      </w:r>
      <w:r>
        <w:rPr>
          <w:rFonts w:hint="eastAsia" w:ascii="Times New Roman" w:hAnsi="Times New Roman" w:eastAsia="宋体"/>
          <w:color w:val="auto"/>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（4）污染物排放总量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fldChar w:fldCharType="begin"/>
      </w:r>
      <w:r>
        <w:rPr>
          <w:rFonts w:hint="default" w:ascii="Times New Roman" w:hAnsi="Times New Roman" w:cs="Times New Roman"/>
          <w:color w:val="auto"/>
          <w:sz w:val="24"/>
          <w:szCs w:val="24"/>
          <w:highlight w:val="none"/>
          <w:lang w:val="en-US" w:eastAsia="zh-CN"/>
        </w:rPr>
        <w:instrText xml:space="preserve"> = 1 \* GB3 \* MERGEFORMAT </w:instrText>
      </w:r>
      <w:r>
        <w:rPr>
          <w:rFonts w:hint="default" w:ascii="Times New Roman" w:hAnsi="Times New Roman" w:cs="Times New Roman"/>
          <w:color w:val="auto"/>
          <w:sz w:val="24"/>
          <w:szCs w:val="24"/>
          <w:highlight w:val="none"/>
          <w:lang w:val="en-US" w:eastAsia="zh-CN"/>
        </w:rPr>
        <w:fldChar w:fldCharType="separate"/>
      </w:r>
      <w:r>
        <w:rPr>
          <w:rFonts w:hint="default" w:ascii="Times New Roman" w:hAnsi="Times New Roman" w:cs="Times New Roman"/>
          <w:color w:val="auto"/>
          <w:sz w:val="24"/>
          <w:szCs w:val="24"/>
          <w:highlight w:val="none"/>
          <w:lang w:val="en-US" w:eastAsia="zh-CN"/>
        </w:rPr>
        <w:t>①</w:t>
      </w:r>
      <w:r>
        <w:rPr>
          <w:rFonts w:hint="default" w:ascii="Times New Roman" w:hAnsi="Times New Roman" w:cs="Times New Roman"/>
          <w:color w:val="auto"/>
          <w:sz w:val="24"/>
          <w:szCs w:val="24"/>
          <w:highlight w:val="none"/>
          <w:lang w:val="en-US" w:eastAsia="zh-CN"/>
        </w:rPr>
        <w:fldChar w:fldCharType="end"/>
      </w:r>
      <w:r>
        <w:rPr>
          <w:rFonts w:hint="default" w:ascii="Times New Roman" w:hAnsi="Times New Roman" w:cs="Times New Roman"/>
          <w:color w:val="auto"/>
          <w:sz w:val="24"/>
          <w:szCs w:val="24"/>
          <w:highlight w:val="none"/>
          <w:lang w:val="en-US" w:eastAsia="zh-CN"/>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根据原环评文件，废水中纳入总量控制的指标为CODCr、NH</w:t>
      </w:r>
      <w:r>
        <w:rPr>
          <w:rFonts w:hint="default" w:ascii="Times New Roman" w:hAnsi="Times New Roman" w:cs="Times New Roman"/>
          <w:color w:val="auto"/>
          <w:sz w:val="24"/>
          <w:szCs w:val="24"/>
          <w:highlight w:val="none"/>
          <w:vertAlign w:val="subscript"/>
          <w:lang w:val="en-US" w:eastAsia="zh-CN"/>
        </w:rPr>
        <w:t>3</w:t>
      </w:r>
      <w:r>
        <w:rPr>
          <w:rFonts w:hint="default" w:ascii="Times New Roman" w:hAnsi="Times New Roman" w:cs="Times New Roman"/>
          <w:color w:val="auto"/>
          <w:sz w:val="24"/>
          <w:szCs w:val="24"/>
          <w:highlight w:val="none"/>
          <w:lang w:val="en-US" w:eastAsia="zh-CN"/>
        </w:rPr>
        <w:t>-N。生活污水经隔油池、化粪池预处理后纳管至区域城镇污水处理厂集中处理，其排放量约为384t/a。区域城镇污水处理厂尾水排放执行《城镇污水处理厂污染物排放标准》（GB18918-2002）中的一级A标准，其中化学需氧量、氨氮、总氮、总磷排放执行《城镇污水处理厂主要水污染物排放标准》（DB33/2169-2018）中的现有城镇污水处理厂排放限值，则排入自然水体的主要污染物量约COD</w:t>
      </w:r>
      <w:r>
        <w:rPr>
          <w:rFonts w:hint="default" w:ascii="Times New Roman" w:hAnsi="Times New Roman" w:cs="Times New Roman"/>
          <w:color w:val="auto"/>
          <w:sz w:val="24"/>
          <w:szCs w:val="24"/>
          <w:highlight w:val="none"/>
          <w:vertAlign w:val="subscript"/>
          <w:lang w:val="en-US" w:eastAsia="zh-CN"/>
        </w:rPr>
        <w:t>Cr</w:t>
      </w:r>
      <w:r>
        <w:rPr>
          <w:rFonts w:hint="default" w:ascii="Times New Roman" w:hAnsi="Times New Roman" w:cs="Times New Roman"/>
          <w:color w:val="auto"/>
          <w:sz w:val="24"/>
          <w:szCs w:val="24"/>
          <w:highlight w:val="none"/>
          <w:lang w:val="en-US" w:eastAsia="zh-CN"/>
        </w:rPr>
        <w:t>：0.015t/a、NH</w:t>
      </w:r>
      <w:r>
        <w:rPr>
          <w:rFonts w:hint="default" w:ascii="Times New Roman" w:hAnsi="Times New Roman" w:cs="Times New Roman"/>
          <w:color w:val="auto"/>
          <w:sz w:val="24"/>
          <w:szCs w:val="24"/>
          <w:highlight w:val="none"/>
          <w:vertAlign w:val="subscript"/>
          <w:lang w:val="en-US" w:eastAsia="zh-CN"/>
        </w:rPr>
        <w:t>3</w:t>
      </w:r>
      <w:r>
        <w:rPr>
          <w:rFonts w:hint="default" w:ascii="Times New Roman" w:hAnsi="Times New Roman" w:cs="Times New Roman"/>
          <w:color w:val="auto"/>
          <w:sz w:val="24"/>
          <w:szCs w:val="24"/>
          <w:highlight w:val="none"/>
          <w:lang w:val="en-US" w:eastAsia="zh-CN"/>
        </w:rPr>
        <w:t>-N：0.001t/a。</w:t>
      </w:r>
    </w:p>
    <w:p>
      <w:pPr>
        <w:keepNext w:val="0"/>
        <w:keepLines w:val="0"/>
        <w:pageBreakBefore w:val="0"/>
        <w:widowControl w:val="0"/>
        <w:kinsoku/>
        <w:wordWrap/>
        <w:overflowPunct/>
        <w:topLinePunct w:val="0"/>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②废气</w:t>
      </w:r>
    </w:p>
    <w:p>
      <w:pPr>
        <w:pStyle w:val="10"/>
        <w:keepNext w:val="0"/>
        <w:keepLines w:val="0"/>
        <w:widowControl w:val="0"/>
        <w:suppressLineNumbers w:val="0"/>
        <w:autoSpaceDE w:val="0"/>
        <w:autoSpaceDN/>
        <w:spacing w:before="0" w:beforeAutospacing="0" w:after="0" w:afterLines="0" w:afterAutospacing="0" w:line="360" w:lineRule="auto"/>
        <w:ind w:left="0" w:leftChars="0" w:right="0" w:firstLine="480" w:firstLineChars="200"/>
        <w:jc w:val="both"/>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根据原环评文件，废气中纳入总量控制的指标为挥发性有机物（VOCs）和工业烟粉尘。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本项目调漆、喷漆、晾干、喷枪清洗工序合计满负荷年工作时间为</w:t>
      </w:r>
      <w:r>
        <w:rPr>
          <w:rFonts w:hint="default" w:ascii="Times New Roman" w:hAnsi="Times New Roman" w:cs="Times New Roman"/>
          <w:color w:val="auto"/>
          <w:sz w:val="24"/>
          <w:szCs w:val="24"/>
          <w:highlight w:val="none"/>
          <w:lang w:val="en-US" w:eastAsia="zh-CN"/>
        </w:rPr>
        <w:t>2400h</w:t>
      </w:r>
      <w:r>
        <w:rPr>
          <w:rFonts w:hint="eastAsia" w:ascii="Times New Roman" w:hAnsi="Times New Roman" w:cs="Times New Roman"/>
          <w:color w:val="auto"/>
          <w:sz w:val="24"/>
          <w:szCs w:val="24"/>
          <w:highlight w:val="none"/>
          <w:lang w:val="en-US" w:eastAsia="zh-CN"/>
        </w:rPr>
        <w:t>。调漆、喷漆、晾干、喷枪清洗废气采用车间整体密闭换风，并维持微负压状态，废气集中收集后通过一套干式过滤</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四级活性炭吸附装置（</w:t>
      </w:r>
      <w:r>
        <w:rPr>
          <w:rFonts w:hint="default" w:ascii="Times New Roman" w:hAnsi="Times New Roman" w:cs="Times New Roman"/>
          <w:color w:val="auto"/>
          <w:sz w:val="24"/>
          <w:szCs w:val="24"/>
          <w:highlight w:val="none"/>
          <w:lang w:val="en-US" w:eastAsia="zh-CN"/>
        </w:rPr>
        <w:t>TA003</w:t>
      </w:r>
      <w:r>
        <w:rPr>
          <w:rFonts w:hint="eastAsia" w:ascii="Times New Roman" w:hAnsi="Times New Roman" w:cs="Times New Roman"/>
          <w:color w:val="auto"/>
          <w:sz w:val="24"/>
          <w:szCs w:val="24"/>
          <w:highlight w:val="none"/>
          <w:lang w:val="en-US" w:eastAsia="zh-CN"/>
        </w:rPr>
        <w:t>）处理，尾气通过一根</w:t>
      </w:r>
      <w:r>
        <w:rPr>
          <w:rFonts w:hint="default" w:ascii="Times New Roman" w:hAnsi="Times New Roman" w:cs="Times New Roman"/>
          <w:color w:val="auto"/>
          <w:sz w:val="24"/>
          <w:szCs w:val="24"/>
          <w:highlight w:val="none"/>
          <w:lang w:val="en-US" w:eastAsia="zh-CN"/>
        </w:rPr>
        <w:t>15m</w:t>
      </w:r>
      <w:r>
        <w:rPr>
          <w:rFonts w:hint="eastAsia" w:ascii="Times New Roman" w:hAnsi="Times New Roman" w:cs="Times New Roman"/>
          <w:color w:val="auto"/>
          <w:sz w:val="24"/>
          <w:szCs w:val="24"/>
          <w:highlight w:val="none"/>
          <w:lang w:val="en-US" w:eastAsia="zh-CN"/>
        </w:rPr>
        <w:t>高的排气筒</w:t>
      </w:r>
      <w:r>
        <w:rPr>
          <w:rFonts w:hint="default" w:ascii="Times New Roman" w:hAnsi="Times New Roman" w:cs="Times New Roman"/>
          <w:color w:val="auto"/>
          <w:sz w:val="24"/>
          <w:szCs w:val="24"/>
          <w:highlight w:val="none"/>
          <w:lang w:val="en-US" w:eastAsia="zh-CN"/>
        </w:rPr>
        <w:t>DA001</w:t>
      </w:r>
      <w:r>
        <w:rPr>
          <w:rFonts w:hint="eastAsia" w:ascii="Times New Roman" w:hAnsi="Times New Roman" w:cs="Times New Roman"/>
          <w:color w:val="auto"/>
          <w:sz w:val="24"/>
          <w:szCs w:val="24"/>
          <w:highlight w:val="none"/>
          <w:lang w:val="en-US" w:eastAsia="zh-CN"/>
        </w:rPr>
        <w:t>排放。</w:t>
      </w:r>
      <w:r>
        <w:rPr>
          <w:rFonts w:hint="eastAsia" w:ascii="Times New Roman" w:hAnsi="Times New Roman" w:cs="Times New Roman"/>
          <w:b/>
          <w:bCs/>
          <w:color w:val="auto"/>
          <w:sz w:val="24"/>
          <w:szCs w:val="24"/>
          <w:highlight w:val="none"/>
          <w:lang w:val="en-US" w:eastAsia="zh-CN"/>
        </w:rPr>
        <w:t>非甲烷总烃排放量</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排放速率×年工作时间</w:t>
      </w:r>
      <w:r>
        <w:rPr>
          <w:rFonts w:hint="default" w:ascii="Times New Roman" w:hAnsi="Times New Roman" w:cs="Times New Roman"/>
          <w:color w:val="auto"/>
          <w:sz w:val="24"/>
          <w:szCs w:val="24"/>
          <w:highlight w:val="none"/>
          <w:lang w:val="en-US" w:eastAsia="zh-CN"/>
        </w:rPr>
        <w:t>=1/2</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0.0554+</w:t>
      </w:r>
      <w:r>
        <w:rPr>
          <w:rFonts w:hint="default" w:ascii="Times New Roman" w:hAnsi="Times New Roman" w:cs="Times New Roman"/>
          <w:color w:val="0000E1"/>
          <w:sz w:val="24"/>
          <w:szCs w:val="24"/>
          <w:highlight w:val="none"/>
          <w:lang w:val="en-US" w:eastAsia="zh-CN"/>
        </w:rPr>
        <w:t>0.0600</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2400</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0.138t/a</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颗粒物排放量</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排放速率×年工作时间</w:t>
      </w:r>
      <w:r>
        <w:rPr>
          <w:rFonts w:hint="default" w:ascii="Times New Roman" w:hAnsi="Times New Roman" w:cs="Times New Roman"/>
          <w:color w:val="auto"/>
          <w:sz w:val="24"/>
          <w:szCs w:val="24"/>
          <w:highlight w:val="none"/>
          <w:lang w:val="en-US" w:eastAsia="zh-CN"/>
        </w:rPr>
        <w:t>=1/2</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0000E1"/>
          <w:sz w:val="24"/>
          <w:szCs w:val="24"/>
          <w:highlight w:val="none"/>
          <w:lang w:val="en-US" w:eastAsia="zh-CN"/>
        </w:rPr>
        <w:t>0.0258+0.0278</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2400</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b/>
          <w:bCs/>
          <w:color w:val="0000E1"/>
          <w:sz w:val="24"/>
          <w:szCs w:val="24"/>
          <w:highlight w:val="none"/>
          <w:lang w:val="en-US" w:eastAsia="zh-CN"/>
        </w:rPr>
        <w:t>0.064t/a</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甲苯排放量</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排放速率×年工作时间</w:t>
      </w:r>
      <w:r>
        <w:rPr>
          <w:rFonts w:hint="default" w:ascii="Times New Roman" w:hAnsi="Times New Roman" w:cs="Times New Roman"/>
          <w:color w:val="auto"/>
          <w:sz w:val="24"/>
          <w:szCs w:val="24"/>
          <w:highlight w:val="none"/>
          <w:lang w:val="en-US" w:eastAsia="zh-CN"/>
        </w:rPr>
        <w:t>=1/2</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1.8</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+1.81</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vertAlign w:val="superscript"/>
          <w:lang w:val="en-US" w:eastAsia="zh-CN"/>
        </w:rPr>
        <w:t>-3</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2400</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b/>
          <w:bCs/>
          <w:color w:val="auto"/>
          <w:sz w:val="24"/>
          <w:szCs w:val="24"/>
          <w:highlight w:val="none"/>
          <w:lang w:val="en-US" w:eastAsia="zh-CN"/>
        </w:rPr>
        <w:t>0.004t/a</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b/>
          <w:bCs/>
          <w:color w:val="auto"/>
          <w:sz w:val="24"/>
          <w:szCs w:val="24"/>
          <w:highlight w:val="none"/>
          <w:lang w:val="en-US" w:eastAsia="zh-CN"/>
        </w:rPr>
        <w:t>乙酸丁酯排放量</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排放速率×年工作时间</w:t>
      </w:r>
      <w:r>
        <w:rPr>
          <w:rFonts w:hint="default" w:ascii="Times New Roman" w:hAnsi="Times New Roman" w:cs="Times New Roman"/>
          <w:color w:val="auto"/>
          <w:sz w:val="24"/>
          <w:szCs w:val="24"/>
          <w:highlight w:val="none"/>
          <w:lang w:val="en-US" w:eastAsia="zh-CN"/>
        </w:rPr>
        <w:t>=1/2</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0000E1"/>
          <w:sz w:val="24"/>
          <w:szCs w:val="24"/>
          <w:highlight w:val="none"/>
          <w:lang w:val="en-US" w:eastAsia="zh-CN"/>
        </w:rPr>
        <w:t>4.51×10</w:t>
      </w:r>
      <w:r>
        <w:rPr>
          <w:rFonts w:hint="default" w:ascii="Times New Roman" w:hAnsi="Times New Roman" w:cs="Times New Roman"/>
          <w:color w:val="0000E1"/>
          <w:sz w:val="24"/>
          <w:szCs w:val="24"/>
          <w:highlight w:val="none"/>
          <w:vertAlign w:val="superscript"/>
          <w:lang w:val="en-US" w:eastAsia="zh-CN"/>
        </w:rPr>
        <w:t>-5</w:t>
      </w:r>
      <w:r>
        <w:rPr>
          <w:rFonts w:hint="default" w:ascii="Times New Roman" w:hAnsi="Times New Roman" w:cs="Times New Roman"/>
          <w:color w:val="0000E1"/>
          <w:sz w:val="24"/>
          <w:szCs w:val="24"/>
          <w:highlight w:val="none"/>
          <w:lang w:val="en-US" w:eastAsia="zh-CN"/>
        </w:rPr>
        <w:t>+4.53×10</w:t>
      </w:r>
      <w:r>
        <w:rPr>
          <w:rFonts w:hint="default" w:ascii="Times New Roman" w:hAnsi="Times New Roman" w:cs="Times New Roman"/>
          <w:color w:val="0000E1"/>
          <w:sz w:val="24"/>
          <w:szCs w:val="24"/>
          <w:highlight w:val="none"/>
          <w:vertAlign w:val="superscript"/>
          <w:lang w:val="en-US" w:eastAsia="zh-CN"/>
        </w:rPr>
        <w:t>-5</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2400</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b/>
          <w:bCs/>
          <w:color w:val="0000E1"/>
          <w:sz w:val="24"/>
          <w:szCs w:val="24"/>
          <w:highlight w:val="none"/>
          <w:lang w:val="en-US" w:eastAsia="zh-CN"/>
        </w:rPr>
        <w:t>0.0001</w:t>
      </w:r>
      <w:r>
        <w:rPr>
          <w:rFonts w:hint="default" w:ascii="Times New Roman" w:hAnsi="Times New Roman" w:cs="Times New Roman"/>
          <w:b/>
          <w:bCs/>
          <w:color w:val="auto"/>
          <w:sz w:val="24"/>
          <w:szCs w:val="24"/>
          <w:highlight w:val="none"/>
          <w:lang w:val="en-US" w:eastAsia="zh-CN"/>
        </w:rPr>
        <w:t>t/a</w:t>
      </w:r>
      <w:r>
        <w:rPr>
          <w:rFonts w:hint="eastAsia" w:ascii="Times New Roman" w:hAnsi="Times New Roman" w:cs="Times New Roman"/>
          <w:color w:val="auto"/>
          <w:sz w:val="24"/>
          <w:szCs w:val="24"/>
          <w:highlight w:val="none"/>
          <w:lang w:val="en-US" w:eastAsia="zh-CN"/>
        </w:rPr>
        <w:t>。综上，合计</w:t>
      </w:r>
      <w:r>
        <w:rPr>
          <w:rFonts w:hint="eastAsia" w:ascii="Times New Roman" w:hAnsi="Times New Roman" w:cs="Times New Roman"/>
          <w:b/>
          <w:bCs/>
          <w:color w:val="auto"/>
          <w:sz w:val="24"/>
          <w:szCs w:val="24"/>
          <w:highlight w:val="none"/>
          <w:lang w:val="en-US" w:eastAsia="zh-CN"/>
        </w:rPr>
        <w:t>挥发性有机物（</w:t>
      </w:r>
      <w:r>
        <w:rPr>
          <w:rFonts w:hint="default" w:ascii="Times New Roman" w:hAnsi="Times New Roman" w:cs="Times New Roman"/>
          <w:b/>
          <w:bCs/>
          <w:color w:val="auto"/>
          <w:sz w:val="24"/>
          <w:szCs w:val="24"/>
          <w:highlight w:val="none"/>
          <w:lang w:val="en-US" w:eastAsia="zh-CN"/>
        </w:rPr>
        <w:t>VOCs</w:t>
      </w:r>
      <w:r>
        <w:rPr>
          <w:rFonts w:hint="eastAsia" w:ascii="Times New Roman" w:hAnsi="Times New Roman" w:cs="Times New Roman"/>
          <w:b/>
          <w:bCs/>
          <w:color w:val="auto"/>
          <w:sz w:val="24"/>
          <w:szCs w:val="24"/>
          <w:highlight w:val="none"/>
          <w:lang w:val="en-US" w:eastAsia="zh-CN"/>
        </w:rPr>
        <w:t>）排放量</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非甲烷总烃排放量</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甲苯排放量</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乙酸丁酯排放量</w:t>
      </w:r>
      <w:r>
        <w:rPr>
          <w:rFonts w:hint="default" w:ascii="Times New Roman" w:hAnsi="Times New Roman" w:cs="Times New Roman"/>
          <w:color w:val="auto"/>
          <w:sz w:val="24"/>
          <w:szCs w:val="24"/>
          <w:highlight w:val="none"/>
          <w:lang w:val="en-US" w:eastAsia="zh-CN"/>
        </w:rPr>
        <w:t>=0.138+0.004+</w:t>
      </w:r>
      <w:r>
        <w:rPr>
          <w:rFonts w:hint="default" w:ascii="Times New Roman" w:hAnsi="Times New Roman" w:cs="Times New Roman"/>
          <w:color w:val="0000E1"/>
          <w:sz w:val="24"/>
          <w:szCs w:val="24"/>
          <w:highlight w:val="none"/>
          <w:lang w:val="en-US" w:eastAsia="zh-CN"/>
        </w:rPr>
        <w:t>0.0001=</w:t>
      </w:r>
      <w:r>
        <w:rPr>
          <w:rFonts w:hint="default" w:ascii="Times New Roman" w:hAnsi="Times New Roman" w:cs="Times New Roman"/>
          <w:b/>
          <w:bCs/>
          <w:color w:val="0000E1"/>
          <w:sz w:val="24"/>
          <w:szCs w:val="24"/>
          <w:highlight w:val="none"/>
          <w:lang w:val="en-US" w:eastAsia="zh-CN"/>
        </w:rPr>
        <w:t>0.142</w:t>
      </w:r>
      <w:r>
        <w:rPr>
          <w:rFonts w:hint="default" w:ascii="Times New Roman" w:hAnsi="Times New Roman" w:cs="Times New Roman"/>
          <w:b/>
          <w:bCs/>
          <w:color w:val="0000E1"/>
          <w:sz w:val="24"/>
          <w:szCs w:val="24"/>
          <w:highlight w:val="none"/>
          <w:lang w:val="en-US" w:eastAsia="zh-CN"/>
        </w:rPr>
        <w:t>t/a</w:t>
      </w:r>
      <w:r>
        <w:rPr>
          <w:rFonts w:hint="eastAsia" w:ascii="Times New Roman" w:hAnsi="Times New Roman" w:cs="Times New Roman"/>
          <w:color w:val="auto"/>
          <w:sz w:val="24"/>
          <w:szCs w:val="24"/>
          <w:highlight w:val="none"/>
          <w:lang w:val="en-US" w:eastAsia="zh-CN"/>
        </w:rPr>
        <w:t>。</w:t>
      </w:r>
      <w:r>
        <w:commentReference w:id="4"/>
      </w:r>
    </w:p>
    <w:p>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lang w:val="en-US" w:eastAsia="zh-CN" w:bidi="ar"/>
        </w:rPr>
        <w:t>根据企业的生产情况和验收监测结果，核算实际主要污染物排放总量控制指标COD</w:t>
      </w:r>
      <w:r>
        <w:rPr>
          <w:rFonts w:hint="default" w:ascii="Times New Roman" w:hAnsi="Times New Roman" w:eastAsia="宋体" w:cs="Times New Roman"/>
          <w:color w:val="auto"/>
          <w:kern w:val="2"/>
          <w:sz w:val="24"/>
          <w:szCs w:val="24"/>
          <w:vertAlign w:val="subscript"/>
          <w:lang w:val="en-US" w:eastAsia="zh-CN" w:bidi="ar"/>
        </w:rPr>
        <w:t>Cr</w:t>
      </w:r>
      <w:r>
        <w:rPr>
          <w:rFonts w:hint="default" w:ascii="Times New Roman" w:hAnsi="Times New Roman" w:eastAsia="宋体" w:cs="Times New Roman"/>
          <w:color w:val="auto"/>
          <w:kern w:val="2"/>
          <w:sz w:val="24"/>
          <w:szCs w:val="24"/>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3</w:t>
      </w:r>
      <w:r>
        <w:rPr>
          <w:rFonts w:hint="default" w:ascii="Times New Roman" w:hAnsi="Times New Roman" w:eastAsia="宋体" w:cs="Times New Roman"/>
          <w:color w:val="auto"/>
          <w:kern w:val="2"/>
          <w:sz w:val="24"/>
          <w:szCs w:val="24"/>
          <w:lang w:val="en-US" w:eastAsia="zh-CN" w:bidi="ar"/>
        </w:rPr>
        <w:t>-N、</w:t>
      </w:r>
      <w:bookmarkStart w:id="15" w:name="OLE_LINK14"/>
      <w:r>
        <w:rPr>
          <w:rFonts w:hint="default" w:ascii="Times New Roman" w:hAnsi="Times New Roman" w:eastAsia="宋体" w:cs="Times New Roman"/>
          <w:color w:val="auto"/>
          <w:kern w:val="2"/>
          <w:sz w:val="24"/>
          <w:szCs w:val="24"/>
          <w:lang w:val="en-US" w:eastAsia="zh-CN" w:bidi="ar"/>
        </w:rPr>
        <w:t>工业烟粉尘</w:t>
      </w:r>
      <w:bookmarkEnd w:id="15"/>
      <w:r>
        <w:rPr>
          <w:rFonts w:hint="default" w:ascii="Times New Roman" w:hAnsi="Times New Roman" w:eastAsia="宋体" w:cs="Times New Roman"/>
          <w:color w:val="auto"/>
          <w:kern w:val="2"/>
          <w:sz w:val="24"/>
          <w:szCs w:val="24"/>
          <w:lang w:val="en-US" w:eastAsia="zh-CN" w:bidi="ar"/>
        </w:rPr>
        <w:t>和挥发性有机物（VOCs）排放总量，具体见下表。</w:t>
      </w:r>
    </w:p>
    <w:p>
      <w:pPr>
        <w:pStyle w:val="10"/>
        <w:keepNext w:val="0"/>
        <w:keepLines w:val="0"/>
        <w:widowControl w:val="0"/>
        <w:suppressLineNumbers w:val="0"/>
        <w:autoSpaceDE w:val="0"/>
        <w:autoSpaceDN/>
        <w:spacing w:before="0" w:beforeAutospacing="0" w:after="0" w:afterLines="0" w:afterAutospacing="0"/>
        <w:ind w:left="0" w:right="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lang w:val="en-US" w:eastAsia="zh-CN" w:bidi="ar"/>
        </w:rPr>
        <w:t>表2  实际污染物排放总</w:t>
      </w:r>
      <w:r>
        <w:rPr>
          <w:rFonts w:hint="eastAsia" w:ascii="宋体" w:hAnsi="宋体" w:eastAsia="宋体" w:cs="宋体"/>
          <w:b/>
          <w:bCs/>
          <w:color w:val="auto"/>
          <w:kern w:val="2"/>
          <w:sz w:val="21"/>
          <w:szCs w:val="21"/>
          <w:lang w:val="en-US" w:eastAsia="zh-CN" w:bidi="ar"/>
        </w:rPr>
        <w:t>量控制指标核算表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16"/>
        <w:gridCol w:w="1735"/>
        <w:gridCol w:w="1264"/>
        <w:gridCol w:w="1123"/>
        <w:gridCol w:w="1123"/>
        <w:gridCol w:w="1193"/>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类别</w:t>
            </w:r>
          </w:p>
        </w:tc>
        <w:tc>
          <w:tcPr>
            <w:tcW w:w="29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总量控制指标名称</w:t>
            </w:r>
          </w:p>
        </w:tc>
        <w:tc>
          <w:tcPr>
            <w:tcW w:w="2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审批排放量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w:t>
            </w:r>
            <w:r>
              <w:rPr>
                <w:rFonts w:hint="default" w:ascii="Times New Roman" w:hAnsi="Times New Roman" w:eastAsia="宋体" w:cs="Times New Roman"/>
                <w:b/>
                <w:bCs w:val="0"/>
                <w:color w:val="auto"/>
                <w:kern w:val="2"/>
                <w:sz w:val="21"/>
                <w:szCs w:val="21"/>
                <w:lang w:val="en-US" w:eastAsia="zh-CN" w:bidi="ar"/>
              </w:rPr>
              <w:t>t/a</w:t>
            </w:r>
            <w:r>
              <w:rPr>
                <w:rFonts w:hint="eastAsia" w:ascii="宋体" w:hAnsi="宋体" w:eastAsia="宋体" w:cs="宋体"/>
                <w:b/>
                <w:bCs w:val="0"/>
                <w:color w:val="auto"/>
                <w:kern w:val="2"/>
                <w:sz w:val="21"/>
                <w:szCs w:val="21"/>
                <w:lang w:val="en-US" w:eastAsia="zh-CN" w:bidi="ar"/>
              </w:rPr>
              <w:t>）</w:t>
            </w:r>
          </w:p>
        </w:tc>
        <w:tc>
          <w:tcPr>
            <w:tcW w:w="2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实际排放量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kern w:val="2"/>
                <w:sz w:val="21"/>
                <w:szCs w:val="21"/>
              </w:rPr>
            </w:pPr>
            <w:r>
              <w:rPr>
                <w:rFonts w:hint="eastAsia" w:ascii="宋体" w:hAnsi="宋体" w:eastAsia="宋体" w:cs="宋体"/>
                <w:b/>
                <w:bCs w:val="0"/>
                <w:color w:val="auto"/>
                <w:kern w:val="2"/>
                <w:sz w:val="21"/>
                <w:szCs w:val="21"/>
                <w:lang w:val="en-US" w:eastAsia="zh-CN" w:bidi="ar"/>
              </w:rPr>
              <w:t>（</w:t>
            </w:r>
            <w:r>
              <w:rPr>
                <w:rFonts w:hint="default" w:ascii="Times New Roman" w:hAnsi="Times New Roman" w:eastAsia="宋体" w:cs="Times New Roman"/>
                <w:b/>
                <w:bCs w:val="0"/>
                <w:color w:val="auto"/>
                <w:kern w:val="2"/>
                <w:sz w:val="21"/>
                <w:szCs w:val="21"/>
                <w:lang w:val="en-US" w:eastAsia="zh-CN" w:bidi="ar"/>
              </w:rPr>
              <w:t>t/a</w:t>
            </w:r>
            <w:r>
              <w:rPr>
                <w:rFonts w:hint="eastAsia" w:ascii="宋体" w:hAnsi="宋体" w:eastAsia="宋体" w:cs="宋体"/>
                <w:b/>
                <w:bCs w:val="0"/>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废水</w:t>
            </w:r>
          </w:p>
        </w:tc>
        <w:tc>
          <w:tcPr>
            <w:tcW w:w="29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eastAsia" w:ascii="宋体" w:hAnsi="宋体" w:eastAsia="宋体" w:cs="宋体"/>
                <w:color w:val="auto"/>
                <w:kern w:val="0"/>
                <w:sz w:val="21"/>
                <w:szCs w:val="21"/>
                <w:lang w:val="en-US" w:eastAsia="zh-CN" w:bidi="ar"/>
              </w:rPr>
              <w:t>水量</w:t>
            </w:r>
          </w:p>
        </w:tc>
        <w:tc>
          <w:tcPr>
            <w:tcW w:w="2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384</w:t>
            </w:r>
          </w:p>
        </w:tc>
        <w:tc>
          <w:tcPr>
            <w:tcW w:w="2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9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0"/>
                <w:sz w:val="21"/>
                <w:szCs w:val="21"/>
                <w:lang w:val="en-US" w:eastAsia="zh-CN" w:bidi="ar"/>
              </w:rPr>
              <w:t>COD</w:t>
            </w:r>
            <w:r>
              <w:rPr>
                <w:rFonts w:hint="default" w:ascii="Times New Roman" w:hAnsi="Times New Roman" w:eastAsia="宋体" w:cs="Times New Roman"/>
                <w:color w:val="auto"/>
                <w:kern w:val="0"/>
                <w:sz w:val="21"/>
                <w:szCs w:val="21"/>
                <w:vertAlign w:val="subscript"/>
                <w:lang w:val="en-US" w:eastAsia="zh-CN" w:bidi="ar"/>
              </w:rPr>
              <w:t>Cr</w:t>
            </w:r>
          </w:p>
        </w:tc>
        <w:tc>
          <w:tcPr>
            <w:tcW w:w="2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0.015</w:t>
            </w:r>
          </w:p>
        </w:tc>
        <w:tc>
          <w:tcPr>
            <w:tcW w:w="2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91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29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0"/>
                <w:sz w:val="21"/>
                <w:szCs w:val="21"/>
                <w:lang w:val="en-US" w:eastAsia="zh-CN" w:bidi="ar"/>
              </w:rPr>
              <w:t>NH</w:t>
            </w:r>
            <w:r>
              <w:rPr>
                <w:rFonts w:hint="default" w:ascii="Times New Roman" w:hAnsi="Times New Roman" w:eastAsia="宋体" w:cs="Times New Roman"/>
                <w:color w:val="auto"/>
                <w:kern w:val="0"/>
                <w:sz w:val="21"/>
                <w:szCs w:val="21"/>
                <w:vertAlign w:val="subscript"/>
                <w:lang w:val="en-US" w:eastAsia="zh-CN" w:bidi="ar"/>
              </w:rPr>
              <w:t>3</w:t>
            </w:r>
            <w:r>
              <w:rPr>
                <w:rFonts w:hint="default" w:ascii="Times New Roman" w:hAnsi="Times New Roman" w:eastAsia="宋体" w:cs="Times New Roman"/>
                <w:color w:val="auto"/>
                <w:kern w:val="0"/>
                <w:sz w:val="21"/>
                <w:szCs w:val="21"/>
                <w:lang w:val="en-US" w:eastAsia="zh-CN" w:bidi="ar"/>
              </w:rPr>
              <w:t>-N</w:t>
            </w:r>
          </w:p>
        </w:tc>
        <w:tc>
          <w:tcPr>
            <w:tcW w:w="2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0.001</w:t>
            </w:r>
          </w:p>
        </w:tc>
        <w:tc>
          <w:tcPr>
            <w:tcW w:w="23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color w:val="auto"/>
                <w:kern w:val="2"/>
                <w:sz w:val="21"/>
                <w:szCs w:val="21"/>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91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废气</w:t>
            </w: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工业烟粉尘</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有组织</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0.333</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0.436</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cs="Times New Roman"/>
                <w:b w:val="0"/>
                <w:bCs w:val="0"/>
                <w:color w:val="0000FF"/>
                <w:sz w:val="21"/>
                <w:szCs w:val="21"/>
                <w:highlight w:val="none"/>
                <w:lang w:val="en-US" w:eastAsia="zh-CN"/>
              </w:rPr>
              <w:t>0.064</w:t>
            </w:r>
          </w:p>
        </w:tc>
        <w:tc>
          <w:tcPr>
            <w:tcW w:w="1194"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0000E1"/>
                <w:kern w:val="2"/>
                <w:sz w:val="21"/>
                <w:szCs w:val="21"/>
                <w:lang w:val="en-US" w:eastAsia="zh-CN" w:bidi="ar"/>
              </w:rPr>
            </w:pPr>
            <w:r>
              <w:rPr>
                <w:rFonts w:hint="eastAsia" w:ascii="Times New Roman" w:hAnsi="Times New Roman" w:cs="Times New Roman"/>
                <w:b w:val="0"/>
                <w:bCs w:val="0"/>
                <w:color w:val="0000E1"/>
                <w:sz w:val="21"/>
                <w:szCs w:val="21"/>
                <w:highlight w:val="none"/>
                <w:lang w:val="en-US" w:eastAsia="zh-CN"/>
              </w:rPr>
              <w:t>0.167</w:t>
            </w:r>
            <w:r>
              <w:rPr>
                <w:rFonts w:hint="eastAsia" w:ascii="Times New Roman" w:hAnsi="Times New Roman" w:cs="Times New Roman"/>
                <w:b w:val="0"/>
                <w:bCs w:val="0"/>
                <w:color w:val="0000E1"/>
                <w:sz w:val="21"/>
                <w:szCs w:val="21"/>
                <w:highlight w:val="none"/>
                <w:vertAlign w:val="super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91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73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无组织</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kern w:val="2"/>
                <w:sz w:val="21"/>
                <w:szCs w:val="21"/>
              </w:rPr>
            </w:pPr>
            <w:r>
              <w:rPr>
                <w:rFonts w:hint="default" w:ascii="Times New Roman" w:hAnsi="Times New Roman" w:eastAsia="宋体" w:cs="Times New Roman"/>
                <w:i w:val="0"/>
                <w:iCs w:val="0"/>
                <w:color w:val="auto"/>
                <w:kern w:val="0"/>
                <w:sz w:val="21"/>
                <w:szCs w:val="21"/>
                <w:lang w:val="en-US" w:eastAsia="zh-CN" w:bidi="ar"/>
              </w:rPr>
              <w:t>0.103</w:t>
            </w: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cs="Times New Roman"/>
                <w:color w:val="auto"/>
                <w:sz w:val="20"/>
                <w:szCs w:val="20"/>
              </w:rPr>
            </w:pPr>
            <w:r>
              <w:rPr>
                <w:rFonts w:hint="eastAsia" w:ascii="Times New Roman" w:hAnsi="Times New Roman" w:cs="Times New Roman"/>
                <w:b w:val="0"/>
                <w:bCs w:val="0"/>
                <w:color w:val="auto"/>
                <w:sz w:val="21"/>
                <w:szCs w:val="21"/>
                <w:highlight w:val="none"/>
                <w:lang w:val="en-US" w:eastAsia="zh-CN"/>
              </w:rPr>
              <w:t>0.103</w:t>
            </w:r>
          </w:p>
        </w:tc>
        <w:tc>
          <w:tcPr>
            <w:tcW w:w="119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cs="Times New Roman"/>
                <w:color w:val="0000E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91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73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color w:val="auto"/>
                <w:kern w:val="2"/>
                <w:sz w:val="21"/>
                <w:szCs w:val="21"/>
                <w:lang w:val="en-US" w:eastAsia="zh-CN" w:bidi="ar"/>
              </w:rPr>
              <w:t>挥发性有机物（VOCs）</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有组织</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0.191</w:t>
            </w:r>
          </w:p>
        </w:tc>
        <w:tc>
          <w:tcPr>
            <w:tcW w:w="112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0.276</w:t>
            </w:r>
          </w:p>
        </w:tc>
        <w:tc>
          <w:tcPr>
            <w:tcW w:w="1193"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kern w:val="2"/>
                <w:sz w:val="21"/>
                <w:szCs w:val="21"/>
              </w:rPr>
            </w:pPr>
            <w:r>
              <w:rPr>
                <w:rFonts w:hint="default" w:ascii="Times New Roman" w:hAnsi="Times New Roman" w:cs="Times New Roman"/>
                <w:b w:val="0"/>
                <w:bCs w:val="0"/>
                <w:color w:val="0000FF"/>
                <w:sz w:val="21"/>
                <w:szCs w:val="21"/>
                <w:highlight w:val="none"/>
                <w:lang w:val="en-US" w:eastAsia="zh-CN"/>
              </w:rPr>
              <w:t>0.142</w:t>
            </w:r>
          </w:p>
        </w:tc>
        <w:tc>
          <w:tcPr>
            <w:tcW w:w="1194" w:type="dxa"/>
            <w:vMerge w:val="restart"/>
            <w:tcBorders>
              <w:top w:val="nil"/>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cs="Times New Roman"/>
                <w:color w:val="0000E1"/>
                <w:sz w:val="20"/>
                <w:szCs w:val="20"/>
              </w:rPr>
            </w:pPr>
            <w:r>
              <w:rPr>
                <w:rFonts w:hint="eastAsia" w:ascii="Times New Roman" w:hAnsi="Times New Roman" w:cs="Times New Roman"/>
                <w:b w:val="0"/>
                <w:bCs w:val="0"/>
                <w:color w:val="0000E1"/>
                <w:sz w:val="21"/>
                <w:szCs w:val="21"/>
                <w:highlight w:val="none"/>
                <w:lang w:val="en-US" w:eastAsia="zh-CN"/>
              </w:rPr>
              <w:t>0.227</w:t>
            </w:r>
            <w:r>
              <w:rPr>
                <w:rFonts w:hint="eastAsia" w:ascii="Times New Roman" w:hAnsi="Times New Roman" w:cs="Times New Roman"/>
                <w:b w:val="0"/>
                <w:bCs w:val="0"/>
                <w:color w:val="0000E1"/>
                <w:sz w:val="21"/>
                <w:szCs w:val="21"/>
                <w:highlight w:val="none"/>
                <w:vertAlign w:val="super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73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rPr>
            </w:pPr>
            <w:r>
              <w:rPr>
                <w:rFonts w:hint="eastAsia" w:ascii="宋体" w:hAnsi="宋体" w:eastAsia="宋体" w:cs="宋体"/>
                <w:b w:val="0"/>
                <w:bCs w:val="0"/>
                <w:color w:val="auto"/>
                <w:kern w:val="2"/>
                <w:sz w:val="21"/>
                <w:szCs w:val="21"/>
                <w:lang w:val="en-US" w:eastAsia="zh-CN" w:bidi="ar"/>
              </w:rPr>
              <w:t>无组织</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0"/>
                <w:sz w:val="21"/>
                <w:szCs w:val="21"/>
                <w:lang w:val="en-US" w:eastAsia="zh-CN" w:bidi="ar"/>
              </w:rPr>
              <w:t>0.085</w:t>
            </w:r>
          </w:p>
        </w:tc>
        <w:tc>
          <w:tcPr>
            <w:tcW w:w="112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1193" w:type="dxa"/>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cs="Times New Roman"/>
                <w:color w:val="auto"/>
                <w:sz w:val="20"/>
                <w:szCs w:val="20"/>
              </w:rPr>
            </w:pPr>
            <w:r>
              <w:rPr>
                <w:rFonts w:hint="eastAsia" w:ascii="Times New Roman" w:hAnsi="Times New Roman" w:cs="Times New Roman"/>
                <w:b w:val="0"/>
                <w:bCs w:val="0"/>
                <w:color w:val="auto"/>
                <w:sz w:val="21"/>
                <w:szCs w:val="21"/>
                <w:highlight w:val="none"/>
                <w:lang w:val="en-US" w:eastAsia="zh-CN"/>
              </w:rPr>
              <w:t>0.085</w:t>
            </w:r>
          </w:p>
        </w:tc>
        <w:tc>
          <w:tcPr>
            <w:tcW w:w="119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line="240" w:lineRule="auto"/>
              <w:ind w:left="0" w:leftChars="0" w:right="0" w:rightChars="0"/>
              <w:jc w:val="center"/>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95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ind w:left="420" w:right="0" w:hanging="420" w:hangingChars="200"/>
              <w:jc w:val="both"/>
              <w:rPr>
                <w:rFonts w:hint="eastAsia" w:ascii="Times New Roman" w:hAnsi="Times New Roman" w:eastAsia="宋体" w:cs="Times New Roman"/>
                <w:b w:val="0"/>
                <w:bCs w:val="0"/>
                <w:color w:val="auto"/>
                <w:kern w:val="2"/>
                <w:sz w:val="21"/>
                <w:szCs w:val="21"/>
              </w:rPr>
            </w:pPr>
            <w:r>
              <w:rPr>
                <w:rFonts w:hint="eastAsia" w:ascii="宋体" w:hAnsi="宋体" w:eastAsia="宋体" w:cs="宋体"/>
                <w:b w:val="0"/>
                <w:bCs w:val="0"/>
                <w:color w:val="auto"/>
                <w:kern w:val="2"/>
                <w:sz w:val="21"/>
                <w:szCs w:val="21"/>
                <w:lang w:val="en-US" w:eastAsia="zh-CN" w:bidi="ar"/>
              </w:rPr>
              <w:t>注：</w:t>
            </w:r>
            <w:r>
              <w:rPr>
                <w:rFonts w:hint="default" w:ascii="Times New Roman" w:hAnsi="Times New Roman" w:eastAsia="宋体" w:cs="Times New Roman"/>
                <w:b w:val="0"/>
                <w:bCs w:val="0"/>
                <w:color w:val="auto"/>
                <w:kern w:val="2"/>
                <w:sz w:val="21"/>
                <w:szCs w:val="21"/>
                <w:lang w:val="en-US" w:eastAsia="zh-CN" w:bidi="ar"/>
              </w:rPr>
              <w:t>1</w:t>
            </w:r>
            <w:r>
              <w:rPr>
                <w:rFonts w:hint="eastAsia" w:ascii="宋体" w:hAnsi="宋体" w:eastAsia="宋体" w:cs="宋体"/>
                <w:b w:val="0"/>
                <w:bCs w:val="0"/>
                <w:color w:val="auto"/>
                <w:kern w:val="2"/>
                <w:sz w:val="21"/>
                <w:szCs w:val="21"/>
                <w:lang w:val="en-US" w:eastAsia="zh-CN" w:bidi="ar"/>
              </w:rPr>
              <w:t>、由于无法核算实际无组织排放量，故</w:t>
            </w:r>
            <w:r>
              <w:rPr>
                <w:rFonts w:hint="eastAsia" w:ascii="宋体" w:hAnsi="宋体" w:eastAsia="宋体" w:cs="宋体"/>
                <w:b/>
                <w:bCs/>
                <w:color w:val="auto"/>
                <w:kern w:val="2"/>
                <w:sz w:val="21"/>
                <w:szCs w:val="21"/>
                <w:lang w:val="en-US" w:eastAsia="zh-CN" w:bidi="ar"/>
              </w:rPr>
              <w:t>实际排放量=实际有组织排放量+环评审批无组织排放量</w:t>
            </w:r>
            <w:r>
              <w:rPr>
                <w:rFonts w:hint="eastAsia" w:ascii="宋体" w:hAnsi="宋体" w:eastAsia="宋体" w:cs="宋体"/>
                <w:b w:val="0"/>
                <w:bCs w:val="0"/>
                <w:color w:val="auto"/>
                <w:kern w:val="2"/>
                <w:sz w:val="21"/>
                <w:szCs w:val="21"/>
                <w:lang w:val="en-US" w:eastAsia="zh-CN" w:bidi="ar"/>
              </w:rPr>
              <w:t>；</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Times New Roman" w:hAnsi="Times New Roman" w:eastAsia="宋体" w:cs="Times New Roman"/>
                <w:b w:val="0"/>
                <w:bCs w:val="0"/>
                <w:color w:val="auto"/>
                <w:kern w:val="2"/>
                <w:sz w:val="21"/>
                <w:szCs w:val="21"/>
              </w:rPr>
            </w:pPr>
            <w:r>
              <w:rPr>
                <w:rFonts w:hint="default" w:ascii="Times New Roman" w:hAnsi="Times New Roman" w:eastAsia="宋体" w:cs="Times New Roman"/>
                <w:b w:val="0"/>
                <w:bCs w:val="0"/>
                <w:color w:val="auto"/>
                <w:kern w:val="2"/>
                <w:sz w:val="21"/>
                <w:szCs w:val="21"/>
                <w:lang w:val="en-US" w:eastAsia="zh-CN" w:bidi="ar"/>
              </w:rPr>
              <w:t>2、验收监测期间，生产负荷为100%。</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kern w:val="2"/>
          <w:sz w:val="24"/>
          <w:szCs w:val="24"/>
          <w:lang w:val="en-US" w:eastAsia="zh-CN" w:bidi="ar"/>
        </w:rPr>
        <w:t>根据上表可知，实际主要污染物排放总量控制指标COD</w:t>
      </w:r>
      <w:r>
        <w:rPr>
          <w:rFonts w:hint="default" w:ascii="Times New Roman" w:hAnsi="Times New Roman" w:eastAsia="宋体" w:cs="Times New Roman"/>
          <w:color w:val="auto"/>
          <w:kern w:val="2"/>
          <w:sz w:val="24"/>
          <w:szCs w:val="24"/>
          <w:vertAlign w:val="subscript"/>
          <w:lang w:val="en-US" w:eastAsia="zh-CN" w:bidi="ar"/>
        </w:rPr>
        <w:t>Cr</w:t>
      </w:r>
      <w:r>
        <w:rPr>
          <w:rFonts w:hint="default" w:ascii="Times New Roman" w:hAnsi="Times New Roman" w:eastAsia="宋体" w:cs="Times New Roman"/>
          <w:color w:val="auto"/>
          <w:kern w:val="2"/>
          <w:sz w:val="24"/>
          <w:szCs w:val="24"/>
          <w:lang w:val="en-US" w:eastAsia="zh-CN" w:bidi="ar"/>
        </w:rPr>
        <w:t>、NH</w:t>
      </w:r>
      <w:r>
        <w:rPr>
          <w:rFonts w:hint="default" w:ascii="Times New Roman" w:hAnsi="Times New Roman" w:eastAsia="宋体" w:cs="Times New Roman"/>
          <w:color w:val="auto"/>
          <w:kern w:val="2"/>
          <w:sz w:val="24"/>
          <w:szCs w:val="24"/>
          <w:vertAlign w:val="subscript"/>
          <w:lang w:val="en-US" w:eastAsia="zh-CN" w:bidi="ar"/>
        </w:rPr>
        <w:t>3</w:t>
      </w:r>
      <w:r>
        <w:rPr>
          <w:rFonts w:hint="default" w:ascii="Times New Roman" w:hAnsi="Times New Roman" w:eastAsia="宋体" w:cs="Times New Roman"/>
          <w:color w:val="auto"/>
          <w:kern w:val="2"/>
          <w:sz w:val="24"/>
          <w:szCs w:val="24"/>
          <w:lang w:val="en-US" w:eastAsia="zh-CN" w:bidi="ar"/>
        </w:rPr>
        <w:t>-N、工业烟粉尘和挥发性有机物（VOCs）均在环评审批的总量控制指标范围内。</w:t>
      </w:r>
    </w:p>
    <w:p>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default" w:ascii="Times New Roman" w:hAnsi="Times New Roman" w:eastAsia="宋体" w:cs="Times New Roman"/>
          <w:b/>
          <w:color w:val="auto"/>
          <w:kern w:val="0"/>
          <w:sz w:val="24"/>
          <w:highlight w:val="none"/>
        </w:rPr>
        <w:t>五、工程建设对环境的影响</w:t>
      </w:r>
    </w:p>
    <w:p>
      <w:pPr>
        <w:spacing w:line="360" w:lineRule="auto"/>
        <w:ind w:firstLine="480" w:firstLineChars="200"/>
        <w:rPr>
          <w:rFonts w:hint="default" w:ascii="Times New Roman" w:hAnsi="Times New Roman" w:eastAsia="宋体" w:cs="Times New Roman"/>
          <w:color w:val="auto"/>
          <w:kern w:val="0"/>
          <w:sz w:val="24"/>
          <w:highlight w:val="none"/>
        </w:rPr>
      </w:pPr>
      <w:r>
        <w:rPr>
          <w:rFonts w:ascii="Times New Roman" w:hAnsi="Times New Roman" w:eastAsia="宋体"/>
          <w:color w:val="auto"/>
          <w:kern w:val="0"/>
          <w:sz w:val="24"/>
          <w:szCs w:val="24"/>
          <w:highlight w:val="none"/>
        </w:rPr>
        <w:t>依据《建设项目竣工环境保护验收暂行办法</w:t>
      </w:r>
      <w:r>
        <w:rPr>
          <w:rFonts w:hint="eastAsia" w:ascii="Times New Roman" w:hAnsi="Times New Roman"/>
          <w:color w:val="auto"/>
          <w:kern w:val="0"/>
          <w:sz w:val="24"/>
          <w:szCs w:val="24"/>
          <w:highlight w:val="none"/>
          <w:lang w:eastAsia="zh-CN"/>
        </w:rPr>
        <w:t>》《</w:t>
      </w:r>
      <w:r>
        <w:rPr>
          <w:rFonts w:hint="eastAsia" w:ascii="Times New Roman" w:hAnsi="Times New Roman" w:cs="Times New Roman"/>
          <w:b w:val="0"/>
          <w:bCs w:val="0"/>
          <w:color w:val="auto"/>
          <w:sz w:val="24"/>
          <w:szCs w:val="24"/>
          <w:highlight w:val="none"/>
          <w:lang w:val="en-US" w:eastAsia="zh-CN"/>
        </w:rPr>
        <w:t>浙江中研机电技术有限公司年产玻璃生产设备2条生产线、水泥生产设备3条生产线、石膏板生产设备3条生产线、环保设备2条生产线技改项目</w:t>
      </w:r>
      <w:r>
        <w:rPr>
          <w:rFonts w:hint="eastAsia" w:ascii="Times New Roman" w:hAnsi="Times New Roman"/>
          <w:color w:val="auto"/>
          <w:kern w:val="0"/>
          <w:sz w:val="24"/>
          <w:szCs w:val="24"/>
          <w:highlight w:val="none"/>
          <w:lang w:val="en-US" w:eastAsia="zh-CN"/>
        </w:rPr>
        <w:t>竣工环境保护</w:t>
      </w:r>
      <w:r>
        <w:rPr>
          <w:rFonts w:ascii="Times New Roman" w:hAnsi="Times New Roman" w:eastAsia="宋体"/>
          <w:color w:val="auto"/>
          <w:kern w:val="0"/>
          <w:sz w:val="24"/>
          <w:szCs w:val="24"/>
          <w:highlight w:val="none"/>
        </w:rPr>
        <w:t>验收监测报告表》等资料及环境保护设施现场检查情况，</w:t>
      </w:r>
      <w:r>
        <w:rPr>
          <w:rFonts w:hint="eastAsia" w:ascii="Times New Roman" w:hAnsi="Times New Roman" w:cs="Times New Roman"/>
          <w:color w:val="auto"/>
          <w:kern w:val="0"/>
          <w:sz w:val="24"/>
          <w:highlight w:val="none"/>
          <w:lang w:val="en-US" w:eastAsia="zh-CN"/>
        </w:rPr>
        <w:t>浙江中研机电技术有限公司年产玻璃生产设备2条生产线、水泥生产设备3条生产线、石膏板生产设备3条生产线、环保设备2条生产线技改项目</w:t>
      </w:r>
      <w:r>
        <w:rPr>
          <w:rFonts w:ascii="Times New Roman" w:hAnsi="Times New Roman" w:eastAsia="宋体"/>
          <w:color w:val="auto"/>
          <w:kern w:val="0"/>
          <w:sz w:val="24"/>
          <w:szCs w:val="24"/>
          <w:highlight w:val="none"/>
        </w:rPr>
        <w:t>环保手续齐全，污染防治措施基本按照</w:t>
      </w:r>
      <w:r>
        <w:rPr>
          <w:rFonts w:hint="eastAsia" w:ascii="Times New Roman" w:hAnsi="Times New Roman" w:eastAsia="宋体"/>
          <w:color w:val="auto"/>
          <w:kern w:val="0"/>
          <w:sz w:val="24"/>
          <w:szCs w:val="24"/>
          <w:highlight w:val="none"/>
          <w:lang w:val="en-US" w:eastAsia="zh-CN"/>
        </w:rPr>
        <w:t>环境影响</w:t>
      </w:r>
      <w:r>
        <w:rPr>
          <w:rFonts w:hint="eastAsia" w:ascii="Times New Roman" w:hAnsi="Times New Roman"/>
          <w:color w:val="auto"/>
          <w:kern w:val="0"/>
          <w:sz w:val="24"/>
          <w:szCs w:val="24"/>
          <w:highlight w:val="none"/>
          <w:lang w:val="en-US" w:eastAsia="zh-CN"/>
        </w:rPr>
        <w:t>报告表及</w:t>
      </w:r>
      <w:bookmarkStart w:id="16" w:name="OLE_LINK2"/>
      <w:r>
        <w:rPr>
          <w:rFonts w:hint="eastAsia" w:ascii="Times New Roman" w:hAnsi="Times New Roman" w:eastAsia="宋体"/>
          <w:color w:val="auto"/>
          <w:kern w:val="0"/>
          <w:sz w:val="24"/>
          <w:szCs w:val="24"/>
          <w:highlight w:val="none"/>
          <w:lang w:val="en-US" w:eastAsia="zh-CN"/>
        </w:rPr>
        <w:t>批复文件</w:t>
      </w:r>
      <w:bookmarkEnd w:id="16"/>
      <w:r>
        <w:rPr>
          <w:rFonts w:ascii="Times New Roman" w:hAnsi="Times New Roman" w:eastAsia="宋体"/>
          <w:color w:val="auto"/>
          <w:kern w:val="0"/>
          <w:sz w:val="24"/>
          <w:szCs w:val="24"/>
          <w:highlight w:val="none"/>
        </w:rPr>
        <w:t>要求落实；经验收监测，废气、废水、噪声</w:t>
      </w:r>
      <w:r>
        <w:rPr>
          <w:rFonts w:hint="eastAsia" w:ascii="Times New Roman" w:hAnsi="Times New Roman"/>
          <w:color w:val="auto"/>
          <w:kern w:val="0"/>
          <w:sz w:val="24"/>
          <w:szCs w:val="24"/>
          <w:highlight w:val="none"/>
          <w:lang w:val="en-US" w:eastAsia="zh-CN"/>
        </w:rPr>
        <w:t>数据均能</w:t>
      </w:r>
      <w:r>
        <w:rPr>
          <w:rFonts w:ascii="Times New Roman" w:hAnsi="Times New Roman" w:eastAsia="宋体"/>
          <w:color w:val="auto"/>
          <w:kern w:val="0"/>
          <w:sz w:val="24"/>
          <w:szCs w:val="24"/>
          <w:highlight w:val="none"/>
        </w:rPr>
        <w:t>达标，固体废物能得到妥善处置，因此该项目符合申请建设项目竣工环境保护自主验收条件项目，不存在《建设项目竣工环境保护验收暂行办法》第八条中所列验收不合格的情形，符合竣工环境保护验收条件，验收结论为合格。</w:t>
      </w:r>
    </w:p>
    <w:p>
      <w:pPr>
        <w:spacing w:line="360" w:lineRule="auto"/>
        <w:ind w:firstLine="482" w:firstLineChars="200"/>
        <w:outlineLvl w:val="0"/>
        <w:rPr>
          <w:rFonts w:hint="default" w:ascii="Times New Roman" w:hAnsi="Times New Roman" w:eastAsia="宋体" w:cs="Times New Roman"/>
          <w:b/>
          <w:color w:val="auto"/>
          <w:kern w:val="0"/>
          <w:sz w:val="24"/>
          <w:highlight w:val="none"/>
        </w:rPr>
      </w:pPr>
      <w:r>
        <w:rPr>
          <w:rFonts w:hint="eastAsia" w:ascii="Times New Roman" w:hAnsi="Times New Roman" w:cs="Times New Roman"/>
          <w:b/>
          <w:color w:val="auto"/>
          <w:kern w:val="0"/>
          <w:sz w:val="24"/>
          <w:highlight w:val="none"/>
          <w:lang w:val="en-US" w:eastAsia="zh-CN"/>
        </w:rPr>
        <w:t>六</w:t>
      </w:r>
      <w:r>
        <w:rPr>
          <w:rFonts w:hint="default" w:ascii="Times New Roman" w:hAnsi="Times New Roman" w:eastAsia="宋体" w:cs="Times New Roman"/>
          <w:b/>
          <w:color w:val="auto"/>
          <w:kern w:val="0"/>
          <w:sz w:val="24"/>
          <w:highlight w:val="none"/>
        </w:rPr>
        <w:t>、后续要求</w:t>
      </w:r>
    </w:p>
    <w:p>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（一）完善生产设施和环保设施标识标牌，完善企业环保管理制度，完善各类台账建设。</w:t>
      </w:r>
    </w:p>
    <w:p>
      <w:pPr>
        <w:spacing w:line="360" w:lineRule="auto"/>
        <w:ind w:firstLine="424" w:firstLineChars="177"/>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（二）进一步加强对</w:t>
      </w:r>
      <w:r>
        <w:rPr>
          <w:rFonts w:hint="default" w:ascii="Times New Roman" w:hAnsi="Times New Roman" w:eastAsia="宋体"/>
          <w:color w:val="auto"/>
          <w:kern w:val="0"/>
          <w:sz w:val="24"/>
          <w:highlight w:val="none"/>
          <w:lang w:val="en-US" w:eastAsia="zh-CN"/>
        </w:rPr>
        <w:t>颗粒物、非甲烷总烃、苯系物（甲苯）、乙酸酯类（乙酸丁酯）、臭气浓度</w:t>
      </w:r>
      <w:r>
        <w:rPr>
          <w:rFonts w:hint="eastAsia" w:ascii="Times New Roman" w:hAnsi="Times New Roman"/>
          <w:color w:val="auto"/>
          <w:kern w:val="0"/>
          <w:sz w:val="24"/>
          <w:highlight w:val="none"/>
          <w:lang w:val="en-US" w:eastAsia="zh-CN"/>
        </w:rPr>
        <w:t>等</w:t>
      </w:r>
      <w:r>
        <w:rPr>
          <w:rFonts w:ascii="Times New Roman" w:hAnsi="Times New Roman" w:eastAsia="宋体"/>
          <w:color w:val="auto"/>
          <w:kern w:val="0"/>
          <w:sz w:val="24"/>
          <w:highlight w:val="none"/>
        </w:rPr>
        <w:t>处理设施的日常管理和维护。</w:t>
      </w:r>
    </w:p>
    <w:p>
      <w:pPr>
        <w:pStyle w:val="6"/>
        <w:spacing w:line="360" w:lineRule="auto"/>
        <w:ind w:left="0" w:firstLine="405" w:firstLineChars="169"/>
        <w:rPr>
          <w:rFonts w:ascii="Times New Roman" w:hAnsi="Times New Roman" w:eastAsia="宋体"/>
          <w:color w:val="auto"/>
          <w:kern w:val="0"/>
          <w:sz w:val="24"/>
          <w:highlight w:val="none"/>
        </w:rPr>
      </w:pPr>
      <w:r>
        <w:rPr>
          <w:rFonts w:ascii="Times New Roman" w:hAnsi="Times New Roman" w:eastAsia="宋体"/>
          <w:color w:val="auto"/>
          <w:kern w:val="0"/>
          <w:sz w:val="24"/>
          <w:highlight w:val="none"/>
        </w:rPr>
        <w:t>（</w:t>
      </w:r>
      <w:r>
        <w:rPr>
          <w:rFonts w:hint="eastAsia" w:ascii="Times New Roman" w:hAnsi="Times New Roman" w:eastAsia="宋体"/>
          <w:color w:val="auto"/>
          <w:kern w:val="0"/>
          <w:sz w:val="24"/>
          <w:highlight w:val="none"/>
          <w:lang w:val="en-US" w:eastAsia="zh-CN"/>
        </w:rPr>
        <w:t>三</w:t>
      </w:r>
      <w:r>
        <w:rPr>
          <w:rFonts w:ascii="Times New Roman" w:hAnsi="Times New Roman" w:eastAsia="宋体"/>
          <w:color w:val="auto"/>
          <w:kern w:val="0"/>
          <w:sz w:val="24"/>
          <w:highlight w:val="none"/>
        </w:rPr>
        <w:t>）建议企业加强日常环保管理和环境风险防范与应急事件处置能力，并开展演练。</w:t>
      </w:r>
    </w:p>
    <w:p>
      <w:pPr>
        <w:spacing w:line="360" w:lineRule="auto"/>
        <w:ind w:firstLine="482" w:firstLineChars="200"/>
        <w:outlineLvl w:val="0"/>
        <w:rPr>
          <w:rFonts w:hint="eastAsia" w:ascii="Times New Roman" w:hAnsi="Times New Roman" w:eastAsia="宋体" w:cs="Times New Roman"/>
          <w:b/>
          <w:color w:val="auto"/>
          <w:kern w:val="0"/>
          <w:sz w:val="24"/>
          <w:highlight w:val="none"/>
          <w:lang w:val="en-US" w:eastAsia="zh-CN"/>
        </w:rPr>
      </w:pPr>
      <w:r>
        <w:rPr>
          <w:rFonts w:hint="eastAsia" w:ascii="Times New Roman" w:hAnsi="Times New Roman" w:cs="Times New Roman"/>
          <w:b/>
          <w:color w:val="auto"/>
          <w:kern w:val="0"/>
          <w:sz w:val="24"/>
          <w:highlight w:val="none"/>
          <w:lang w:val="en-US" w:eastAsia="zh-CN"/>
        </w:rPr>
        <w:t>七</w:t>
      </w:r>
      <w:r>
        <w:rPr>
          <w:rFonts w:hint="default" w:ascii="Times New Roman" w:hAnsi="Times New Roman" w:eastAsia="宋体" w:cs="Times New Roman"/>
          <w:b/>
          <w:color w:val="auto"/>
          <w:kern w:val="0"/>
          <w:sz w:val="24"/>
          <w:highlight w:val="none"/>
        </w:rPr>
        <w:t>、验收人员</w:t>
      </w:r>
      <w:r>
        <w:rPr>
          <w:rFonts w:hint="eastAsia" w:ascii="Times New Roman" w:hAnsi="Times New Roman" w:cs="Times New Roman"/>
          <w:b/>
          <w:color w:val="auto"/>
          <w:kern w:val="0"/>
          <w:sz w:val="24"/>
          <w:highlight w:val="none"/>
          <w:lang w:val="en-US" w:eastAsia="zh-CN"/>
        </w:rPr>
        <w:t>信息</w:t>
      </w:r>
    </w:p>
    <w:p>
      <w:pPr>
        <w:spacing w:line="360" w:lineRule="auto"/>
        <w:ind w:firstLine="480" w:firstLineChars="200"/>
        <w:jc w:val="both"/>
        <w:rPr>
          <w:rFonts w:hint="eastAsia" w:ascii="Times New Roman" w:hAnsi="Times New Roman" w:cs="Times New Roman"/>
          <w:b w:val="0"/>
          <w:bCs w:val="0"/>
          <w:color w:val="auto"/>
          <w:sz w:val="24"/>
          <w:szCs w:val="24"/>
          <w:highlight w:val="none"/>
          <w:lang w:eastAsia="zh-CN"/>
        </w:rPr>
      </w:pPr>
      <w:r>
        <w:rPr>
          <w:rFonts w:hint="eastAsia" w:ascii="Times New Roman" w:hAnsi="Times New Roman" w:cs="Times New Roman"/>
          <w:b w:val="0"/>
          <w:bCs w:val="0"/>
          <w:color w:val="auto"/>
          <w:sz w:val="24"/>
          <w:szCs w:val="24"/>
          <w:highlight w:val="none"/>
          <w:lang w:eastAsia="zh-CN"/>
        </w:rPr>
        <w:t>验收工作组成员名单及信息附后。</w:t>
      </w:r>
    </w:p>
    <w:p>
      <w:pPr>
        <w:spacing w:line="360" w:lineRule="auto"/>
        <w:ind w:firstLine="480" w:firstLineChars="200"/>
        <w:jc w:val="right"/>
        <w:rPr>
          <w:rFonts w:hint="eastAsia" w:ascii="Times New Roman" w:hAnsi="Times New Roman"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浙江中研机电技术有限公司</w:t>
      </w:r>
    </w:p>
    <w:p>
      <w:pPr>
        <w:spacing w:line="360" w:lineRule="auto"/>
        <w:ind w:firstLine="480" w:firstLineChars="200"/>
        <w:jc w:val="right"/>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20</w:t>
      </w:r>
      <w:r>
        <w:rPr>
          <w:rFonts w:hint="default" w:ascii="Times New Roman" w:hAnsi="Times New Roman" w:eastAsia="宋体" w:cs="Times New Roman"/>
          <w:color w:val="auto"/>
          <w:kern w:val="0"/>
          <w:sz w:val="24"/>
          <w:highlight w:val="none"/>
          <w:lang w:val="en-US" w:eastAsia="zh-CN"/>
        </w:rPr>
        <w:t>25</w:t>
      </w:r>
      <w:r>
        <w:rPr>
          <w:rFonts w:hint="default" w:ascii="Times New Roman" w:hAnsi="Times New Roman" w:eastAsia="宋体" w:cs="Times New Roman"/>
          <w:color w:val="auto"/>
          <w:kern w:val="0"/>
          <w:sz w:val="24"/>
          <w:highlight w:val="none"/>
        </w:rPr>
        <w:t>年</w:t>
      </w:r>
      <w:r>
        <w:rPr>
          <w:rFonts w:hint="eastAsia" w:ascii="Times New Roman" w:hAnsi="Times New Roman" w:cs="Times New Roman"/>
          <w:color w:val="auto"/>
          <w:kern w:val="0"/>
          <w:sz w:val="24"/>
          <w:highlight w:val="none"/>
          <w:lang w:val="en-US" w:eastAsia="zh-CN"/>
        </w:rPr>
        <w:t>8</w:t>
      </w:r>
      <w:r>
        <w:rPr>
          <w:rFonts w:hint="default" w:ascii="Times New Roman" w:hAnsi="Times New Roman" w:eastAsia="宋体" w:cs="Times New Roman"/>
          <w:color w:val="auto"/>
          <w:kern w:val="0"/>
          <w:sz w:val="24"/>
          <w:highlight w:val="none"/>
        </w:rPr>
        <w:t>月</w:t>
      </w:r>
      <w:r>
        <w:rPr>
          <w:rFonts w:hint="default"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rPr>
        <w:t>日</w:t>
      </w: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ind w:firstLine="480" w:firstLineChars="200"/>
        <w:jc w:val="right"/>
        <w:rPr>
          <w:rFonts w:hint="default" w:ascii="Times New Roman" w:hAnsi="Times New Roman" w:eastAsia="宋体" w:cs="Times New Roman"/>
          <w:color w:val="auto"/>
          <w:kern w:val="0"/>
          <w:sz w:val="24"/>
          <w:highlight w:val="none"/>
        </w:rPr>
      </w:pPr>
    </w:p>
    <w:p>
      <w:pPr>
        <w:spacing w:line="360" w:lineRule="auto"/>
        <w:jc w:val="both"/>
        <w:rPr>
          <w:rFonts w:hint="eastAsia" w:ascii="Times New Roman" w:hAnsi="Times New Roman" w:eastAsia="宋体" w:cs="Times New Roman"/>
          <w:color w:val="auto"/>
          <w:kern w:val="0"/>
          <w:sz w:val="24"/>
          <w:highlight w:val="none"/>
          <w:lang w:val="en-US" w:eastAsia="zh-CN"/>
        </w:rPr>
      </w:pPr>
    </w:p>
    <w:sectPr>
      <w:pgSz w:w="11906" w:h="16838"/>
      <w:pgMar w:top="1134" w:right="1134" w:bottom="1134" w:left="1440" w:header="851" w:footer="992" w:gutter="0"/>
      <w:cols w:space="72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小刘小刘" w:date="2025-08-26T16:42:26Z" w:initials="">
    <w:p w14:paraId="5FB96603">
      <w:pPr>
        <w:pStyle w:val="5"/>
        <w:rPr>
          <w:rFonts w:hint="eastAsia" w:eastAsia="宋体"/>
          <w:lang w:val="en-US" w:eastAsia="zh-CN"/>
        </w:rPr>
      </w:pPr>
      <w:r>
        <w:rPr>
          <w:rFonts w:hint="eastAsia"/>
          <w:lang w:val="en-US" w:eastAsia="zh-CN"/>
        </w:rPr>
        <w:t>对应改</w:t>
      </w:r>
    </w:p>
  </w:comment>
  <w:comment w:id="1" w:author="小刘小刘" w:date="2025-08-26T16:42:34Z" w:initials="">
    <w:p w14:paraId="149569A8">
      <w:pPr>
        <w:pStyle w:val="5"/>
        <w:rPr>
          <w:rFonts w:hint="eastAsia"/>
          <w:lang w:val="en-US" w:eastAsia="zh-CN"/>
        </w:rPr>
      </w:pPr>
      <w:r>
        <w:rPr>
          <w:rFonts w:hint="eastAsia"/>
          <w:lang w:val="en-US" w:eastAsia="zh-CN"/>
        </w:rPr>
        <w:t>对应改</w:t>
      </w:r>
    </w:p>
    <w:p w14:paraId="67666FD7">
      <w:pPr>
        <w:pStyle w:val="5"/>
      </w:pPr>
    </w:p>
  </w:comment>
  <w:comment w:id="2" w:author="小刘小刘" w:date="2025-08-26T16:42:42Z" w:initials="">
    <w:p w14:paraId="43514C65">
      <w:pPr>
        <w:pStyle w:val="5"/>
        <w:rPr>
          <w:rFonts w:hint="eastAsia"/>
          <w:lang w:val="en-US" w:eastAsia="zh-CN"/>
        </w:rPr>
      </w:pPr>
      <w:r>
        <w:rPr>
          <w:rFonts w:hint="eastAsia"/>
          <w:lang w:val="en-US" w:eastAsia="zh-CN"/>
        </w:rPr>
        <w:t>对应改</w:t>
      </w:r>
    </w:p>
    <w:p w14:paraId="5BED1205">
      <w:pPr>
        <w:pStyle w:val="5"/>
      </w:pPr>
    </w:p>
  </w:comment>
  <w:comment w:id="3" w:author="小刘小刘" w:date="2025-08-26T16:43:15Z" w:initials="">
    <w:p w14:paraId="0C182AD9">
      <w:pPr>
        <w:pStyle w:val="5"/>
        <w:rPr>
          <w:rFonts w:hint="eastAsia"/>
          <w:lang w:val="en-US" w:eastAsia="zh-CN"/>
        </w:rPr>
      </w:pPr>
      <w:r>
        <w:rPr>
          <w:rFonts w:hint="eastAsia"/>
          <w:lang w:val="en-US" w:eastAsia="zh-CN"/>
        </w:rPr>
        <w:t>对应改</w:t>
      </w:r>
    </w:p>
    <w:p w14:paraId="04424282">
      <w:pPr>
        <w:pStyle w:val="5"/>
      </w:pPr>
    </w:p>
  </w:comment>
  <w:comment w:id="4" w:author="小刘小刘" w:date="2025-08-26T16:43:37Z" w:initials="">
    <w:p w14:paraId="0C1F75B9">
      <w:pPr>
        <w:pStyle w:val="5"/>
        <w:rPr>
          <w:rFonts w:hint="eastAsia"/>
          <w:lang w:val="en-US" w:eastAsia="zh-CN"/>
        </w:rPr>
      </w:pPr>
      <w:r>
        <w:rPr>
          <w:rFonts w:hint="eastAsia"/>
          <w:lang w:val="en-US" w:eastAsia="zh-CN"/>
        </w:rPr>
        <w:t>对应改</w:t>
      </w:r>
    </w:p>
    <w:p w14:paraId="7AE41BBD">
      <w:pPr>
        <w:pStyle w:val="5"/>
      </w:pPr>
      <w:bookmarkStart w:id="17" w:name="_GoBack"/>
      <w:bookmarkEnd w:id="1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B96603" w15:done="0"/>
  <w15:commentEx w15:paraId="67666FD7" w15:done="0"/>
  <w15:commentEx w15:paraId="5BED1205" w15:done="0"/>
  <w15:commentEx w15:paraId="04424282" w15:done="0"/>
  <w15:commentEx w15:paraId="7AE41B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45C18"/>
    <w:multiLevelType w:val="singleLevel"/>
    <w:tmpl w:val="A9A45C18"/>
    <w:lvl w:ilvl="0" w:tentative="0">
      <w:start w:val="2"/>
      <w:numFmt w:val="decimal"/>
      <w:suff w:val="nothing"/>
      <w:lvlText w:val="（%1）"/>
      <w:lvlJc w:val="left"/>
    </w:lvl>
  </w:abstractNum>
  <w:abstractNum w:abstractNumId="1">
    <w:nsid w:val="02E7035F"/>
    <w:multiLevelType w:val="singleLevel"/>
    <w:tmpl w:val="02E7035F"/>
    <w:lvl w:ilvl="0" w:tentative="0">
      <w:start w:val="5"/>
      <w:numFmt w:val="chineseCounting"/>
      <w:suff w:val="nothing"/>
      <w:lvlText w:val="（%1）"/>
      <w:lvlJc w:val="left"/>
      <w:rPr>
        <w:rFonts w:hint="eastAsia"/>
      </w:rPr>
    </w:lvl>
  </w:abstractNum>
  <w:abstractNum w:abstractNumId="2">
    <w:nsid w:val="301E8E9C"/>
    <w:multiLevelType w:val="singleLevel"/>
    <w:tmpl w:val="301E8E9C"/>
    <w:lvl w:ilvl="0" w:tentative="0">
      <w:start w:val="1"/>
      <w:numFmt w:val="decimal"/>
      <w:suff w:val="nothing"/>
      <w:lvlText w:val="（%1）"/>
      <w:lvlJc w:val="left"/>
    </w:lvl>
  </w:abstractNum>
  <w:abstractNum w:abstractNumId="3">
    <w:nsid w:val="406F2A9D"/>
    <w:multiLevelType w:val="multilevel"/>
    <w:tmpl w:val="406F2A9D"/>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41862CA9"/>
    <w:multiLevelType w:val="multilevel"/>
    <w:tmpl w:val="41862CA9"/>
    <w:lvl w:ilvl="0" w:tentative="0">
      <w:start w:val="1"/>
      <w:numFmt w:val="decimal"/>
      <w:suff w:val="space"/>
      <w:lvlText w:val="%1"/>
      <w:lvlJc w:val="left"/>
      <w:pPr>
        <w:ind w:left="0" w:firstLine="0"/>
      </w:pPr>
      <w:rPr>
        <w:rFonts w:hint="eastAsia"/>
        <w:sz w:val="30"/>
        <w:szCs w:val="30"/>
      </w:rPr>
    </w:lvl>
    <w:lvl w:ilvl="1" w:tentative="0">
      <w:start w:val="1"/>
      <w:numFmt w:val="decimal"/>
      <w:pStyle w:val="21"/>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刘小刘">
    <w15:presenceInfo w15:providerId="WPS Office" w15:userId="3424752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RlNjQyYjNlZTdiMmNlMjBkMWNhNTkzOTRkMTAifQ=="/>
  </w:docVars>
  <w:rsids>
    <w:rsidRoot w:val="00000000"/>
    <w:rsid w:val="006F44F3"/>
    <w:rsid w:val="00AE01F7"/>
    <w:rsid w:val="00B420B4"/>
    <w:rsid w:val="00B87A8B"/>
    <w:rsid w:val="00E15234"/>
    <w:rsid w:val="00EF7950"/>
    <w:rsid w:val="00FD2119"/>
    <w:rsid w:val="013B0DE8"/>
    <w:rsid w:val="01553993"/>
    <w:rsid w:val="01C012ED"/>
    <w:rsid w:val="01C77D80"/>
    <w:rsid w:val="01FD26C6"/>
    <w:rsid w:val="02306473"/>
    <w:rsid w:val="025263E9"/>
    <w:rsid w:val="02B12833"/>
    <w:rsid w:val="02D84414"/>
    <w:rsid w:val="02E828A9"/>
    <w:rsid w:val="031160F4"/>
    <w:rsid w:val="03566F57"/>
    <w:rsid w:val="0363238C"/>
    <w:rsid w:val="038D16A3"/>
    <w:rsid w:val="038F541B"/>
    <w:rsid w:val="03DB41BC"/>
    <w:rsid w:val="04096F7B"/>
    <w:rsid w:val="040F20B8"/>
    <w:rsid w:val="041D6583"/>
    <w:rsid w:val="04497378"/>
    <w:rsid w:val="045126D0"/>
    <w:rsid w:val="047A39D5"/>
    <w:rsid w:val="04F34A42"/>
    <w:rsid w:val="058C7E64"/>
    <w:rsid w:val="0597059F"/>
    <w:rsid w:val="05F31C91"/>
    <w:rsid w:val="06103038"/>
    <w:rsid w:val="064A73D7"/>
    <w:rsid w:val="065B7836"/>
    <w:rsid w:val="06EE09F3"/>
    <w:rsid w:val="072736DA"/>
    <w:rsid w:val="072B7687"/>
    <w:rsid w:val="072C3B31"/>
    <w:rsid w:val="073472B0"/>
    <w:rsid w:val="07373DFF"/>
    <w:rsid w:val="07483E98"/>
    <w:rsid w:val="074F1149"/>
    <w:rsid w:val="075C73C2"/>
    <w:rsid w:val="077F5883"/>
    <w:rsid w:val="07886BEA"/>
    <w:rsid w:val="07A5520D"/>
    <w:rsid w:val="08406CE4"/>
    <w:rsid w:val="08762705"/>
    <w:rsid w:val="088968DD"/>
    <w:rsid w:val="08B651F8"/>
    <w:rsid w:val="08C07E24"/>
    <w:rsid w:val="09063A89"/>
    <w:rsid w:val="09153CCC"/>
    <w:rsid w:val="093B7E06"/>
    <w:rsid w:val="094D7C70"/>
    <w:rsid w:val="09594501"/>
    <w:rsid w:val="098F4818"/>
    <w:rsid w:val="0A352E89"/>
    <w:rsid w:val="0A410AF1"/>
    <w:rsid w:val="0A420C4B"/>
    <w:rsid w:val="0AAC0EF8"/>
    <w:rsid w:val="0ABE325C"/>
    <w:rsid w:val="0AC62EBA"/>
    <w:rsid w:val="0AED5AFE"/>
    <w:rsid w:val="0AFA5870"/>
    <w:rsid w:val="0B097861"/>
    <w:rsid w:val="0B1A43F5"/>
    <w:rsid w:val="0B297F03"/>
    <w:rsid w:val="0B4602A1"/>
    <w:rsid w:val="0B4E5BBB"/>
    <w:rsid w:val="0B64718D"/>
    <w:rsid w:val="0B753148"/>
    <w:rsid w:val="0B7C1E4D"/>
    <w:rsid w:val="0B8E420A"/>
    <w:rsid w:val="0BB51A45"/>
    <w:rsid w:val="0BDF6813"/>
    <w:rsid w:val="0BEF4CA9"/>
    <w:rsid w:val="0BF57DE5"/>
    <w:rsid w:val="0C296C83"/>
    <w:rsid w:val="0C542D5E"/>
    <w:rsid w:val="0CAF3B7D"/>
    <w:rsid w:val="0CBB2DDD"/>
    <w:rsid w:val="0CE20369"/>
    <w:rsid w:val="0CEC568C"/>
    <w:rsid w:val="0D0C378D"/>
    <w:rsid w:val="0D134413"/>
    <w:rsid w:val="0D2E7A52"/>
    <w:rsid w:val="0D4940E8"/>
    <w:rsid w:val="0D75673E"/>
    <w:rsid w:val="0DB3645F"/>
    <w:rsid w:val="0DE30506"/>
    <w:rsid w:val="0E4F5ED2"/>
    <w:rsid w:val="0E752FC5"/>
    <w:rsid w:val="0F2A5FF8"/>
    <w:rsid w:val="0F2B6C1B"/>
    <w:rsid w:val="0F803D94"/>
    <w:rsid w:val="10101691"/>
    <w:rsid w:val="10234F21"/>
    <w:rsid w:val="10596B94"/>
    <w:rsid w:val="10702130"/>
    <w:rsid w:val="108A4FA0"/>
    <w:rsid w:val="10F22B45"/>
    <w:rsid w:val="10F60887"/>
    <w:rsid w:val="115D26B4"/>
    <w:rsid w:val="118A6CA0"/>
    <w:rsid w:val="11D230A2"/>
    <w:rsid w:val="12130FC5"/>
    <w:rsid w:val="12575356"/>
    <w:rsid w:val="125F5E2E"/>
    <w:rsid w:val="126A598F"/>
    <w:rsid w:val="134C0770"/>
    <w:rsid w:val="13596EAB"/>
    <w:rsid w:val="135D042F"/>
    <w:rsid w:val="13957CB9"/>
    <w:rsid w:val="13C133CE"/>
    <w:rsid w:val="13D673F9"/>
    <w:rsid w:val="146E6986"/>
    <w:rsid w:val="147650D9"/>
    <w:rsid w:val="14A800EA"/>
    <w:rsid w:val="14B120F6"/>
    <w:rsid w:val="14D07641"/>
    <w:rsid w:val="14D41776"/>
    <w:rsid w:val="150A66AF"/>
    <w:rsid w:val="150D2643"/>
    <w:rsid w:val="152534E9"/>
    <w:rsid w:val="152F0BBC"/>
    <w:rsid w:val="156D0C34"/>
    <w:rsid w:val="157E03B5"/>
    <w:rsid w:val="158278D5"/>
    <w:rsid w:val="15870CEB"/>
    <w:rsid w:val="16287735"/>
    <w:rsid w:val="1683324F"/>
    <w:rsid w:val="16A42B33"/>
    <w:rsid w:val="16CA07EC"/>
    <w:rsid w:val="16D57191"/>
    <w:rsid w:val="16F45869"/>
    <w:rsid w:val="16F95920"/>
    <w:rsid w:val="16FC64CC"/>
    <w:rsid w:val="172B7D93"/>
    <w:rsid w:val="174B2FAF"/>
    <w:rsid w:val="17681DB3"/>
    <w:rsid w:val="17B429B6"/>
    <w:rsid w:val="17EB45EE"/>
    <w:rsid w:val="1853036D"/>
    <w:rsid w:val="1866284C"/>
    <w:rsid w:val="18932E60"/>
    <w:rsid w:val="189337CE"/>
    <w:rsid w:val="18E52319"/>
    <w:rsid w:val="19436634"/>
    <w:rsid w:val="19472921"/>
    <w:rsid w:val="19570331"/>
    <w:rsid w:val="197131A1"/>
    <w:rsid w:val="19E576EB"/>
    <w:rsid w:val="19EF40C6"/>
    <w:rsid w:val="19F83716"/>
    <w:rsid w:val="1A197394"/>
    <w:rsid w:val="1A473F02"/>
    <w:rsid w:val="1A4F5002"/>
    <w:rsid w:val="1A734275"/>
    <w:rsid w:val="1A974E89"/>
    <w:rsid w:val="1AC8792A"/>
    <w:rsid w:val="1B1D4C62"/>
    <w:rsid w:val="1B215A8A"/>
    <w:rsid w:val="1B6862D7"/>
    <w:rsid w:val="1B7F33D1"/>
    <w:rsid w:val="1B806455"/>
    <w:rsid w:val="1BA17641"/>
    <w:rsid w:val="1BB40EED"/>
    <w:rsid w:val="1BB46365"/>
    <w:rsid w:val="1BB479A2"/>
    <w:rsid w:val="1BD143CB"/>
    <w:rsid w:val="1BE0016A"/>
    <w:rsid w:val="1C085913"/>
    <w:rsid w:val="1C0F6CA1"/>
    <w:rsid w:val="1C313849"/>
    <w:rsid w:val="1C576A9C"/>
    <w:rsid w:val="1C6A7562"/>
    <w:rsid w:val="1C6D08DF"/>
    <w:rsid w:val="1C6D515A"/>
    <w:rsid w:val="1C760ACE"/>
    <w:rsid w:val="1C9E1AEA"/>
    <w:rsid w:val="1D043207"/>
    <w:rsid w:val="1D0936F0"/>
    <w:rsid w:val="1D352737"/>
    <w:rsid w:val="1D8B2357"/>
    <w:rsid w:val="1D992CC6"/>
    <w:rsid w:val="1DB16E21"/>
    <w:rsid w:val="1DB23D88"/>
    <w:rsid w:val="1DE55F0B"/>
    <w:rsid w:val="1DE71C83"/>
    <w:rsid w:val="1DF9228A"/>
    <w:rsid w:val="1E0A7720"/>
    <w:rsid w:val="1E116D00"/>
    <w:rsid w:val="1E3B38FB"/>
    <w:rsid w:val="1E401394"/>
    <w:rsid w:val="1E592A71"/>
    <w:rsid w:val="1E7948A6"/>
    <w:rsid w:val="1EC27FFB"/>
    <w:rsid w:val="1EC66531"/>
    <w:rsid w:val="1ED04016"/>
    <w:rsid w:val="1F525822"/>
    <w:rsid w:val="1FD955FC"/>
    <w:rsid w:val="1FE230BF"/>
    <w:rsid w:val="1FFC6A34"/>
    <w:rsid w:val="200F54C2"/>
    <w:rsid w:val="201725C8"/>
    <w:rsid w:val="20605D1D"/>
    <w:rsid w:val="206C7B49"/>
    <w:rsid w:val="207120C3"/>
    <w:rsid w:val="20971013"/>
    <w:rsid w:val="209E7C51"/>
    <w:rsid w:val="20B8066B"/>
    <w:rsid w:val="20C4005A"/>
    <w:rsid w:val="20F67487"/>
    <w:rsid w:val="21115269"/>
    <w:rsid w:val="21225204"/>
    <w:rsid w:val="21294361"/>
    <w:rsid w:val="216B2BCB"/>
    <w:rsid w:val="21820E9B"/>
    <w:rsid w:val="2184503B"/>
    <w:rsid w:val="21B17C21"/>
    <w:rsid w:val="22200FE5"/>
    <w:rsid w:val="22242A4E"/>
    <w:rsid w:val="222D1ACA"/>
    <w:rsid w:val="228527E6"/>
    <w:rsid w:val="228C4BA7"/>
    <w:rsid w:val="229B20FD"/>
    <w:rsid w:val="22B8599C"/>
    <w:rsid w:val="22D45DCA"/>
    <w:rsid w:val="2308282C"/>
    <w:rsid w:val="23364142"/>
    <w:rsid w:val="233F7E6C"/>
    <w:rsid w:val="23863CED"/>
    <w:rsid w:val="23B5012E"/>
    <w:rsid w:val="23BD07B1"/>
    <w:rsid w:val="23C62FBD"/>
    <w:rsid w:val="24A7216D"/>
    <w:rsid w:val="24BF3430"/>
    <w:rsid w:val="24D34D10"/>
    <w:rsid w:val="24EC5DD1"/>
    <w:rsid w:val="25227A45"/>
    <w:rsid w:val="25257535"/>
    <w:rsid w:val="25330E57"/>
    <w:rsid w:val="254C0C39"/>
    <w:rsid w:val="2551032A"/>
    <w:rsid w:val="257150D5"/>
    <w:rsid w:val="25867FD4"/>
    <w:rsid w:val="25BE6335"/>
    <w:rsid w:val="25C805EC"/>
    <w:rsid w:val="25DD571A"/>
    <w:rsid w:val="25E371D4"/>
    <w:rsid w:val="26103D41"/>
    <w:rsid w:val="2612465B"/>
    <w:rsid w:val="261455E0"/>
    <w:rsid w:val="26C32B62"/>
    <w:rsid w:val="27421CD9"/>
    <w:rsid w:val="27D56FF1"/>
    <w:rsid w:val="280653FC"/>
    <w:rsid w:val="285D507A"/>
    <w:rsid w:val="28D56F0D"/>
    <w:rsid w:val="28F65471"/>
    <w:rsid w:val="290F5367"/>
    <w:rsid w:val="29134EDD"/>
    <w:rsid w:val="29A749BD"/>
    <w:rsid w:val="29B13146"/>
    <w:rsid w:val="29BF1D06"/>
    <w:rsid w:val="2A335CCA"/>
    <w:rsid w:val="2A3377AC"/>
    <w:rsid w:val="2A557F75"/>
    <w:rsid w:val="2A5C7555"/>
    <w:rsid w:val="2A9E0161"/>
    <w:rsid w:val="2AFD06C9"/>
    <w:rsid w:val="2B285689"/>
    <w:rsid w:val="2B381D70"/>
    <w:rsid w:val="2B41609E"/>
    <w:rsid w:val="2B45623B"/>
    <w:rsid w:val="2B4B2AFB"/>
    <w:rsid w:val="2B764647"/>
    <w:rsid w:val="2B88437A"/>
    <w:rsid w:val="2B9D7E25"/>
    <w:rsid w:val="2BB40E5B"/>
    <w:rsid w:val="2BBF78D5"/>
    <w:rsid w:val="2C4E7372"/>
    <w:rsid w:val="2CC16079"/>
    <w:rsid w:val="2CDC497D"/>
    <w:rsid w:val="2CF0667B"/>
    <w:rsid w:val="2CF41CC7"/>
    <w:rsid w:val="2D0B1F79"/>
    <w:rsid w:val="2D77745E"/>
    <w:rsid w:val="2D7E3C87"/>
    <w:rsid w:val="2D864EB0"/>
    <w:rsid w:val="2E4647A4"/>
    <w:rsid w:val="2E567191"/>
    <w:rsid w:val="2E6B37BB"/>
    <w:rsid w:val="2E82663A"/>
    <w:rsid w:val="2E905A1F"/>
    <w:rsid w:val="2E9D1104"/>
    <w:rsid w:val="2EB15996"/>
    <w:rsid w:val="2EBC6814"/>
    <w:rsid w:val="2EC3451F"/>
    <w:rsid w:val="2EF20488"/>
    <w:rsid w:val="2EF53AD4"/>
    <w:rsid w:val="2EFA558F"/>
    <w:rsid w:val="2F1B7324"/>
    <w:rsid w:val="2F527179"/>
    <w:rsid w:val="2F7215C9"/>
    <w:rsid w:val="2F7C41F6"/>
    <w:rsid w:val="2F8B61E7"/>
    <w:rsid w:val="2FA5288E"/>
    <w:rsid w:val="2FE83639"/>
    <w:rsid w:val="300541EB"/>
    <w:rsid w:val="302B4F16"/>
    <w:rsid w:val="303403FA"/>
    <w:rsid w:val="303B19BB"/>
    <w:rsid w:val="303F598D"/>
    <w:rsid w:val="3058256D"/>
    <w:rsid w:val="306233EC"/>
    <w:rsid w:val="30782C0F"/>
    <w:rsid w:val="307920D8"/>
    <w:rsid w:val="308405B2"/>
    <w:rsid w:val="309003C3"/>
    <w:rsid w:val="30917605"/>
    <w:rsid w:val="30A532D8"/>
    <w:rsid w:val="30DB6CFA"/>
    <w:rsid w:val="30E90E7B"/>
    <w:rsid w:val="3126266B"/>
    <w:rsid w:val="31440D43"/>
    <w:rsid w:val="31480833"/>
    <w:rsid w:val="319C46DB"/>
    <w:rsid w:val="31A27F7B"/>
    <w:rsid w:val="31B201DD"/>
    <w:rsid w:val="31B22151"/>
    <w:rsid w:val="31BD1DC4"/>
    <w:rsid w:val="31CD2AE7"/>
    <w:rsid w:val="32052280"/>
    <w:rsid w:val="329D11F7"/>
    <w:rsid w:val="32A25D21"/>
    <w:rsid w:val="32A27F10"/>
    <w:rsid w:val="32BE21C5"/>
    <w:rsid w:val="32D83E39"/>
    <w:rsid w:val="33152997"/>
    <w:rsid w:val="331621F9"/>
    <w:rsid w:val="331812CD"/>
    <w:rsid w:val="33291F9F"/>
    <w:rsid w:val="332E6808"/>
    <w:rsid w:val="33487C23"/>
    <w:rsid w:val="33574D5E"/>
    <w:rsid w:val="33A01007"/>
    <w:rsid w:val="33BE4DDD"/>
    <w:rsid w:val="33D43DBD"/>
    <w:rsid w:val="33DC5263"/>
    <w:rsid w:val="340F388A"/>
    <w:rsid w:val="341E3ACD"/>
    <w:rsid w:val="343F4A14"/>
    <w:rsid w:val="349A75F8"/>
    <w:rsid w:val="34BD5094"/>
    <w:rsid w:val="34D50630"/>
    <w:rsid w:val="34EC4711"/>
    <w:rsid w:val="35011425"/>
    <w:rsid w:val="35170C48"/>
    <w:rsid w:val="351F3913"/>
    <w:rsid w:val="35337151"/>
    <w:rsid w:val="355A6D87"/>
    <w:rsid w:val="35642E36"/>
    <w:rsid w:val="35A87E15"/>
    <w:rsid w:val="35AB37D1"/>
    <w:rsid w:val="35CB558F"/>
    <w:rsid w:val="35ED19A9"/>
    <w:rsid w:val="360B5277"/>
    <w:rsid w:val="361909F0"/>
    <w:rsid w:val="361E6007"/>
    <w:rsid w:val="36251143"/>
    <w:rsid w:val="36297C02"/>
    <w:rsid w:val="36511F38"/>
    <w:rsid w:val="36633A19"/>
    <w:rsid w:val="36877708"/>
    <w:rsid w:val="36904F4B"/>
    <w:rsid w:val="36941E25"/>
    <w:rsid w:val="369F3CD4"/>
    <w:rsid w:val="36B349A1"/>
    <w:rsid w:val="36C721FA"/>
    <w:rsid w:val="36E20737"/>
    <w:rsid w:val="36F01751"/>
    <w:rsid w:val="375872F6"/>
    <w:rsid w:val="3784633D"/>
    <w:rsid w:val="379B74CF"/>
    <w:rsid w:val="37FB5F35"/>
    <w:rsid w:val="38030A86"/>
    <w:rsid w:val="382D3998"/>
    <w:rsid w:val="38877E93"/>
    <w:rsid w:val="38972E1C"/>
    <w:rsid w:val="38CF1470"/>
    <w:rsid w:val="38E70932"/>
    <w:rsid w:val="38F17F19"/>
    <w:rsid w:val="3914549F"/>
    <w:rsid w:val="39287C1C"/>
    <w:rsid w:val="39763A64"/>
    <w:rsid w:val="39777F08"/>
    <w:rsid w:val="397D3044"/>
    <w:rsid w:val="39C3314D"/>
    <w:rsid w:val="39FE23D7"/>
    <w:rsid w:val="3A16319D"/>
    <w:rsid w:val="3A810912"/>
    <w:rsid w:val="3A914FF9"/>
    <w:rsid w:val="3AC80920"/>
    <w:rsid w:val="3AC90C3C"/>
    <w:rsid w:val="3AF45588"/>
    <w:rsid w:val="3B0319E9"/>
    <w:rsid w:val="3B0372DD"/>
    <w:rsid w:val="3B385475"/>
    <w:rsid w:val="3B4E3612"/>
    <w:rsid w:val="3B590718"/>
    <w:rsid w:val="3B824942"/>
    <w:rsid w:val="3B8443B3"/>
    <w:rsid w:val="3BC74A4B"/>
    <w:rsid w:val="3BF07FA7"/>
    <w:rsid w:val="3BFC2946"/>
    <w:rsid w:val="3C0C3CEF"/>
    <w:rsid w:val="3C320282"/>
    <w:rsid w:val="3C6F1EA0"/>
    <w:rsid w:val="3CEC49C0"/>
    <w:rsid w:val="3D3E4FFD"/>
    <w:rsid w:val="3D437B38"/>
    <w:rsid w:val="3D566086"/>
    <w:rsid w:val="3DAE7C70"/>
    <w:rsid w:val="3DC70D32"/>
    <w:rsid w:val="3E2B7513"/>
    <w:rsid w:val="3E605959"/>
    <w:rsid w:val="3E7762B4"/>
    <w:rsid w:val="3E8F782E"/>
    <w:rsid w:val="3EA177D5"/>
    <w:rsid w:val="3EF51CD1"/>
    <w:rsid w:val="3F0365C7"/>
    <w:rsid w:val="3F0D6C18"/>
    <w:rsid w:val="3F76656C"/>
    <w:rsid w:val="3F937B68"/>
    <w:rsid w:val="3FDA11F0"/>
    <w:rsid w:val="3FE15A9A"/>
    <w:rsid w:val="400C0C7E"/>
    <w:rsid w:val="40381A73"/>
    <w:rsid w:val="404E1296"/>
    <w:rsid w:val="405A7C3B"/>
    <w:rsid w:val="40AD2461"/>
    <w:rsid w:val="40E439A9"/>
    <w:rsid w:val="4104183B"/>
    <w:rsid w:val="410D12F8"/>
    <w:rsid w:val="415029D9"/>
    <w:rsid w:val="41670862"/>
    <w:rsid w:val="41F93484"/>
    <w:rsid w:val="420F2CA7"/>
    <w:rsid w:val="4214206C"/>
    <w:rsid w:val="42722B78"/>
    <w:rsid w:val="431762B8"/>
    <w:rsid w:val="434D1CD9"/>
    <w:rsid w:val="43575F8F"/>
    <w:rsid w:val="43737CDA"/>
    <w:rsid w:val="43827BB1"/>
    <w:rsid w:val="43BB08DC"/>
    <w:rsid w:val="43C27FD1"/>
    <w:rsid w:val="43E02B4D"/>
    <w:rsid w:val="44182A93"/>
    <w:rsid w:val="442A13D9"/>
    <w:rsid w:val="444162D1"/>
    <w:rsid w:val="44AD6ED3"/>
    <w:rsid w:val="44B21CE6"/>
    <w:rsid w:val="44C25F0B"/>
    <w:rsid w:val="452D3B70"/>
    <w:rsid w:val="453365B0"/>
    <w:rsid w:val="45605CF4"/>
    <w:rsid w:val="45F34DBA"/>
    <w:rsid w:val="460365FF"/>
    <w:rsid w:val="460C5E7C"/>
    <w:rsid w:val="463D7DBF"/>
    <w:rsid w:val="46530312"/>
    <w:rsid w:val="46537607"/>
    <w:rsid w:val="46713811"/>
    <w:rsid w:val="468E4AE3"/>
    <w:rsid w:val="469814BD"/>
    <w:rsid w:val="469E45C2"/>
    <w:rsid w:val="475A49C5"/>
    <w:rsid w:val="475C698F"/>
    <w:rsid w:val="47727F60"/>
    <w:rsid w:val="477618A3"/>
    <w:rsid w:val="479510FE"/>
    <w:rsid w:val="47D62F59"/>
    <w:rsid w:val="481F0EAE"/>
    <w:rsid w:val="483A26D1"/>
    <w:rsid w:val="488429C0"/>
    <w:rsid w:val="48CE11C6"/>
    <w:rsid w:val="48E42798"/>
    <w:rsid w:val="48FC1291"/>
    <w:rsid w:val="49D56585"/>
    <w:rsid w:val="49D9587C"/>
    <w:rsid w:val="49E334F6"/>
    <w:rsid w:val="49EE6266"/>
    <w:rsid w:val="4A3239D7"/>
    <w:rsid w:val="4A5E042C"/>
    <w:rsid w:val="4A743FEF"/>
    <w:rsid w:val="4AA5064D"/>
    <w:rsid w:val="4ABD7744"/>
    <w:rsid w:val="4AD36F68"/>
    <w:rsid w:val="4B427C4A"/>
    <w:rsid w:val="4B6D116B"/>
    <w:rsid w:val="4B773D97"/>
    <w:rsid w:val="4BF65E1D"/>
    <w:rsid w:val="4C09265D"/>
    <w:rsid w:val="4C1356A2"/>
    <w:rsid w:val="4C8A2BA4"/>
    <w:rsid w:val="4CAB577D"/>
    <w:rsid w:val="4D0478AD"/>
    <w:rsid w:val="4D097DFF"/>
    <w:rsid w:val="4D3637DE"/>
    <w:rsid w:val="4D4001B9"/>
    <w:rsid w:val="4D4128AF"/>
    <w:rsid w:val="4D492AC2"/>
    <w:rsid w:val="4DBD7A5B"/>
    <w:rsid w:val="4DC66A12"/>
    <w:rsid w:val="4DDE00FE"/>
    <w:rsid w:val="4DF711BF"/>
    <w:rsid w:val="4E04104E"/>
    <w:rsid w:val="4E165AE9"/>
    <w:rsid w:val="4E2A3343"/>
    <w:rsid w:val="4E406DDB"/>
    <w:rsid w:val="4E6B025A"/>
    <w:rsid w:val="4E8A5B90"/>
    <w:rsid w:val="4E923725"/>
    <w:rsid w:val="4E952950"/>
    <w:rsid w:val="4EA2112B"/>
    <w:rsid w:val="4EC15F85"/>
    <w:rsid w:val="4EC527A3"/>
    <w:rsid w:val="4EDB63EB"/>
    <w:rsid w:val="4F005E52"/>
    <w:rsid w:val="4F05790C"/>
    <w:rsid w:val="4F0911AA"/>
    <w:rsid w:val="50231584"/>
    <w:rsid w:val="50552B58"/>
    <w:rsid w:val="50724B2D"/>
    <w:rsid w:val="50AA42C7"/>
    <w:rsid w:val="50DE6667"/>
    <w:rsid w:val="510F0E13"/>
    <w:rsid w:val="514B4F78"/>
    <w:rsid w:val="51E23F34"/>
    <w:rsid w:val="51ED7522"/>
    <w:rsid w:val="51FF7420"/>
    <w:rsid w:val="5245699D"/>
    <w:rsid w:val="525C3CE7"/>
    <w:rsid w:val="52755359"/>
    <w:rsid w:val="52923265"/>
    <w:rsid w:val="52990A97"/>
    <w:rsid w:val="52B72CCB"/>
    <w:rsid w:val="52C11D9C"/>
    <w:rsid w:val="53475896"/>
    <w:rsid w:val="53582700"/>
    <w:rsid w:val="537329AF"/>
    <w:rsid w:val="53755060"/>
    <w:rsid w:val="539232B3"/>
    <w:rsid w:val="53B042EA"/>
    <w:rsid w:val="53D0673A"/>
    <w:rsid w:val="541624AE"/>
    <w:rsid w:val="54330CD9"/>
    <w:rsid w:val="544A6CFB"/>
    <w:rsid w:val="545207D2"/>
    <w:rsid w:val="545C3B2A"/>
    <w:rsid w:val="54684676"/>
    <w:rsid w:val="54717BEB"/>
    <w:rsid w:val="5475755D"/>
    <w:rsid w:val="55254864"/>
    <w:rsid w:val="554967A4"/>
    <w:rsid w:val="554C1DF1"/>
    <w:rsid w:val="55667523"/>
    <w:rsid w:val="556E7FB9"/>
    <w:rsid w:val="55823A64"/>
    <w:rsid w:val="55982572"/>
    <w:rsid w:val="55AC7BBD"/>
    <w:rsid w:val="55F61D5C"/>
    <w:rsid w:val="561D378D"/>
    <w:rsid w:val="56225547"/>
    <w:rsid w:val="5625513D"/>
    <w:rsid w:val="563034C0"/>
    <w:rsid w:val="56504000"/>
    <w:rsid w:val="56B063AF"/>
    <w:rsid w:val="56BD287A"/>
    <w:rsid w:val="56EB388B"/>
    <w:rsid w:val="56F03D6C"/>
    <w:rsid w:val="57252A57"/>
    <w:rsid w:val="57340D8E"/>
    <w:rsid w:val="57571CBA"/>
    <w:rsid w:val="577B69BD"/>
    <w:rsid w:val="579E7882"/>
    <w:rsid w:val="57AA72A2"/>
    <w:rsid w:val="57EA4A45"/>
    <w:rsid w:val="57F1536A"/>
    <w:rsid w:val="58064C3C"/>
    <w:rsid w:val="580E5A83"/>
    <w:rsid w:val="58331046"/>
    <w:rsid w:val="58647451"/>
    <w:rsid w:val="586B3150"/>
    <w:rsid w:val="589C097F"/>
    <w:rsid w:val="59044790"/>
    <w:rsid w:val="59111F0A"/>
    <w:rsid w:val="592554A0"/>
    <w:rsid w:val="594554D5"/>
    <w:rsid w:val="59547B0C"/>
    <w:rsid w:val="59A06702"/>
    <w:rsid w:val="59A246D5"/>
    <w:rsid w:val="59D423B5"/>
    <w:rsid w:val="59FB3DE5"/>
    <w:rsid w:val="5A2055FA"/>
    <w:rsid w:val="5A2A6479"/>
    <w:rsid w:val="5A67147B"/>
    <w:rsid w:val="5A855CC9"/>
    <w:rsid w:val="5AB511FC"/>
    <w:rsid w:val="5AC23CD1"/>
    <w:rsid w:val="5B286E5C"/>
    <w:rsid w:val="5B5548D8"/>
    <w:rsid w:val="5B8322E4"/>
    <w:rsid w:val="5B94629C"/>
    <w:rsid w:val="5BE56AFB"/>
    <w:rsid w:val="5C2313D1"/>
    <w:rsid w:val="5C394FAE"/>
    <w:rsid w:val="5C677510"/>
    <w:rsid w:val="5C693288"/>
    <w:rsid w:val="5C795370"/>
    <w:rsid w:val="5C7B5ADE"/>
    <w:rsid w:val="5C7D31D8"/>
    <w:rsid w:val="5C982577"/>
    <w:rsid w:val="5CCB7A9F"/>
    <w:rsid w:val="5CD3198F"/>
    <w:rsid w:val="5CDB3A5A"/>
    <w:rsid w:val="5D1256CE"/>
    <w:rsid w:val="5D184CAE"/>
    <w:rsid w:val="5D320C20"/>
    <w:rsid w:val="5D46706C"/>
    <w:rsid w:val="5D605245"/>
    <w:rsid w:val="5D8D2FA6"/>
    <w:rsid w:val="5DA42323"/>
    <w:rsid w:val="5DBC7D30"/>
    <w:rsid w:val="5DED1ED3"/>
    <w:rsid w:val="5E176D14"/>
    <w:rsid w:val="5E3C677A"/>
    <w:rsid w:val="5E714676"/>
    <w:rsid w:val="5E7F3237"/>
    <w:rsid w:val="5E9F11E3"/>
    <w:rsid w:val="5EDA221B"/>
    <w:rsid w:val="5EE440EC"/>
    <w:rsid w:val="5F5D4BFA"/>
    <w:rsid w:val="5F797C86"/>
    <w:rsid w:val="5F9920D6"/>
    <w:rsid w:val="5FB409B1"/>
    <w:rsid w:val="5FC15189"/>
    <w:rsid w:val="600C4F8E"/>
    <w:rsid w:val="60270C25"/>
    <w:rsid w:val="60425A2F"/>
    <w:rsid w:val="6062696C"/>
    <w:rsid w:val="60AC5E39"/>
    <w:rsid w:val="60C70EC5"/>
    <w:rsid w:val="60D55390"/>
    <w:rsid w:val="625C563D"/>
    <w:rsid w:val="627B506E"/>
    <w:rsid w:val="628C5F22"/>
    <w:rsid w:val="62B15989"/>
    <w:rsid w:val="630730C7"/>
    <w:rsid w:val="635C2B47"/>
    <w:rsid w:val="639C3F43"/>
    <w:rsid w:val="63A762A6"/>
    <w:rsid w:val="63BB78A1"/>
    <w:rsid w:val="63BE035D"/>
    <w:rsid w:val="63E13A0B"/>
    <w:rsid w:val="63EE0517"/>
    <w:rsid w:val="63F54E11"/>
    <w:rsid w:val="6401024A"/>
    <w:rsid w:val="640A70BB"/>
    <w:rsid w:val="64177A6E"/>
    <w:rsid w:val="64210769"/>
    <w:rsid w:val="6428408D"/>
    <w:rsid w:val="64550596"/>
    <w:rsid w:val="648C220A"/>
    <w:rsid w:val="649E30EE"/>
    <w:rsid w:val="64D55573"/>
    <w:rsid w:val="64F953C5"/>
    <w:rsid w:val="64FB5E91"/>
    <w:rsid w:val="653855DE"/>
    <w:rsid w:val="65430077"/>
    <w:rsid w:val="656E5DB3"/>
    <w:rsid w:val="65D715A9"/>
    <w:rsid w:val="661D72B3"/>
    <w:rsid w:val="662927B2"/>
    <w:rsid w:val="662C2F95"/>
    <w:rsid w:val="666F48B2"/>
    <w:rsid w:val="66812FCE"/>
    <w:rsid w:val="66845C6B"/>
    <w:rsid w:val="66897B56"/>
    <w:rsid w:val="669E446B"/>
    <w:rsid w:val="66B3027F"/>
    <w:rsid w:val="66CC2D91"/>
    <w:rsid w:val="676C6322"/>
    <w:rsid w:val="677A5055"/>
    <w:rsid w:val="67E91721"/>
    <w:rsid w:val="68461675"/>
    <w:rsid w:val="684828EC"/>
    <w:rsid w:val="689E0B09"/>
    <w:rsid w:val="68AF64C7"/>
    <w:rsid w:val="68BA2E4A"/>
    <w:rsid w:val="68BF2482"/>
    <w:rsid w:val="68D57089"/>
    <w:rsid w:val="68D75A1D"/>
    <w:rsid w:val="69731BEA"/>
    <w:rsid w:val="69765236"/>
    <w:rsid w:val="697D4817"/>
    <w:rsid w:val="69AA326E"/>
    <w:rsid w:val="69D02B99"/>
    <w:rsid w:val="69F83E9D"/>
    <w:rsid w:val="6A042842"/>
    <w:rsid w:val="6A374E4B"/>
    <w:rsid w:val="6A5837C7"/>
    <w:rsid w:val="6A7E0847"/>
    <w:rsid w:val="6B00125C"/>
    <w:rsid w:val="6B1B2A5E"/>
    <w:rsid w:val="6B8E2D0B"/>
    <w:rsid w:val="6BBC10B2"/>
    <w:rsid w:val="6BC35730"/>
    <w:rsid w:val="6BCF0C2E"/>
    <w:rsid w:val="6BF012D0"/>
    <w:rsid w:val="6C541216"/>
    <w:rsid w:val="6C5C53CF"/>
    <w:rsid w:val="6C686766"/>
    <w:rsid w:val="6C9F6CBF"/>
    <w:rsid w:val="6CBB3CB3"/>
    <w:rsid w:val="6CDE381E"/>
    <w:rsid w:val="6CE414DC"/>
    <w:rsid w:val="6D817112"/>
    <w:rsid w:val="6D8A47CA"/>
    <w:rsid w:val="6D9B526C"/>
    <w:rsid w:val="6E573888"/>
    <w:rsid w:val="6E6F421F"/>
    <w:rsid w:val="6E92623A"/>
    <w:rsid w:val="6EBA381B"/>
    <w:rsid w:val="6F0D2199"/>
    <w:rsid w:val="6F2968A7"/>
    <w:rsid w:val="6F2F65B3"/>
    <w:rsid w:val="6F457B85"/>
    <w:rsid w:val="6F4638FD"/>
    <w:rsid w:val="6FB940CF"/>
    <w:rsid w:val="6FBD5FE1"/>
    <w:rsid w:val="6FCE7B7A"/>
    <w:rsid w:val="6FE70C3C"/>
    <w:rsid w:val="6FEF189F"/>
    <w:rsid w:val="6FF31971"/>
    <w:rsid w:val="70141305"/>
    <w:rsid w:val="70207CAA"/>
    <w:rsid w:val="70221C74"/>
    <w:rsid w:val="705B5186"/>
    <w:rsid w:val="70785D38"/>
    <w:rsid w:val="70826FF6"/>
    <w:rsid w:val="70D7072F"/>
    <w:rsid w:val="712351CC"/>
    <w:rsid w:val="71665B90"/>
    <w:rsid w:val="716A38D3"/>
    <w:rsid w:val="71704C61"/>
    <w:rsid w:val="71830048"/>
    <w:rsid w:val="71A779AA"/>
    <w:rsid w:val="71BE3C1E"/>
    <w:rsid w:val="71E17B50"/>
    <w:rsid w:val="72612407"/>
    <w:rsid w:val="72D37256"/>
    <w:rsid w:val="72E15E16"/>
    <w:rsid w:val="72EE0533"/>
    <w:rsid w:val="73540F98"/>
    <w:rsid w:val="736507F6"/>
    <w:rsid w:val="73953386"/>
    <w:rsid w:val="73AC0640"/>
    <w:rsid w:val="73B2330F"/>
    <w:rsid w:val="73EF6311"/>
    <w:rsid w:val="73FE0302"/>
    <w:rsid w:val="740D4E17"/>
    <w:rsid w:val="74220495"/>
    <w:rsid w:val="74A569D0"/>
    <w:rsid w:val="74BC09A1"/>
    <w:rsid w:val="7501454E"/>
    <w:rsid w:val="75093403"/>
    <w:rsid w:val="7521074C"/>
    <w:rsid w:val="75385A96"/>
    <w:rsid w:val="757840E4"/>
    <w:rsid w:val="75860393"/>
    <w:rsid w:val="758B206A"/>
    <w:rsid w:val="758F0E96"/>
    <w:rsid w:val="759929D8"/>
    <w:rsid w:val="75B415C0"/>
    <w:rsid w:val="75F573FC"/>
    <w:rsid w:val="760D2A7F"/>
    <w:rsid w:val="7620086F"/>
    <w:rsid w:val="762B1157"/>
    <w:rsid w:val="76BF6607"/>
    <w:rsid w:val="76F0487A"/>
    <w:rsid w:val="77000835"/>
    <w:rsid w:val="772D6E8E"/>
    <w:rsid w:val="77577C6A"/>
    <w:rsid w:val="776112D4"/>
    <w:rsid w:val="776B3F01"/>
    <w:rsid w:val="778B619F"/>
    <w:rsid w:val="77DB72D8"/>
    <w:rsid w:val="77DC741B"/>
    <w:rsid w:val="77F932A5"/>
    <w:rsid w:val="78200134"/>
    <w:rsid w:val="78760DAF"/>
    <w:rsid w:val="787B63C5"/>
    <w:rsid w:val="789B25C4"/>
    <w:rsid w:val="78E81581"/>
    <w:rsid w:val="793D1193"/>
    <w:rsid w:val="794B223C"/>
    <w:rsid w:val="7956473D"/>
    <w:rsid w:val="795F7D0D"/>
    <w:rsid w:val="79971568"/>
    <w:rsid w:val="79A66FD3"/>
    <w:rsid w:val="79A74F98"/>
    <w:rsid w:val="79D0629D"/>
    <w:rsid w:val="79EE0E19"/>
    <w:rsid w:val="7A4B626B"/>
    <w:rsid w:val="7A660A22"/>
    <w:rsid w:val="7A8F2E13"/>
    <w:rsid w:val="7AEA338E"/>
    <w:rsid w:val="7B011C90"/>
    <w:rsid w:val="7B1D781F"/>
    <w:rsid w:val="7B3D021F"/>
    <w:rsid w:val="7C3074C7"/>
    <w:rsid w:val="7C833A9B"/>
    <w:rsid w:val="7CF44998"/>
    <w:rsid w:val="7D557E11"/>
    <w:rsid w:val="7D5D6F6D"/>
    <w:rsid w:val="7D6B6113"/>
    <w:rsid w:val="7D785D38"/>
    <w:rsid w:val="7D913A27"/>
    <w:rsid w:val="7DA26EDC"/>
    <w:rsid w:val="7DAC5273"/>
    <w:rsid w:val="7E066731"/>
    <w:rsid w:val="7E3F39F1"/>
    <w:rsid w:val="7E5E6CCB"/>
    <w:rsid w:val="7E680EAA"/>
    <w:rsid w:val="7E832AC7"/>
    <w:rsid w:val="7E9B156F"/>
    <w:rsid w:val="7E9F071A"/>
    <w:rsid w:val="7EA96162"/>
    <w:rsid w:val="7EA97B73"/>
    <w:rsid w:val="7EB20667"/>
    <w:rsid w:val="7ECB20F8"/>
    <w:rsid w:val="7F034416"/>
    <w:rsid w:val="7F3900A1"/>
    <w:rsid w:val="7F3C6183"/>
    <w:rsid w:val="7F500288"/>
    <w:rsid w:val="7F5B391B"/>
    <w:rsid w:val="7F686F78"/>
    <w:rsid w:val="7F6A7194"/>
    <w:rsid w:val="7F89586C"/>
    <w:rsid w:val="7F9F1785"/>
    <w:rsid w:val="7FF35BB4"/>
    <w:rsid w:val="BFC57707"/>
    <w:rsid w:val="DFF5B08B"/>
    <w:rsid w:val="EEB93A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customStyle="1" w:styleId="4">
    <w:name w:val="正文首行缩进2个字 Char"/>
    <w:basedOn w:val="1"/>
    <w:qFormat/>
    <w:uiPriority w:val="0"/>
    <w:pPr>
      <w:ind w:firstLine="480" w:firstLineChars="200"/>
    </w:pPr>
    <w:rPr>
      <w:rFonts w:eastAsia="楷体"/>
      <w:sz w:val="24"/>
      <w:szCs w:val="24"/>
    </w:rPr>
  </w:style>
  <w:style w:type="paragraph" w:styleId="5">
    <w:name w:val="annotation text"/>
    <w:basedOn w:val="1"/>
    <w:link w:val="25"/>
    <w:qFormat/>
    <w:uiPriority w:val="0"/>
    <w:pPr>
      <w:jc w:val="left"/>
    </w:pPr>
  </w:style>
  <w:style w:type="paragraph" w:styleId="6">
    <w:name w:val="Body Text"/>
    <w:basedOn w:val="1"/>
    <w:next w:val="1"/>
    <w:unhideWhenUsed/>
    <w:qFormat/>
    <w:uiPriority w:val="99"/>
    <w:pPr>
      <w:ind w:left="118"/>
    </w:pPr>
    <w:rPr>
      <w:rFonts w:ascii="宋体" w:hAnsi="宋体" w:eastAsia="宋体"/>
    </w:rPr>
  </w:style>
  <w:style w:type="paragraph" w:styleId="7">
    <w:name w:val="Body Text Indent"/>
    <w:basedOn w:val="1"/>
    <w:next w:val="8"/>
    <w:qFormat/>
    <w:uiPriority w:val="0"/>
    <w:pPr>
      <w:ind w:firstLine="480" w:firstLineChars="200"/>
    </w:pPr>
    <w:rPr>
      <w:rFonts w:ascii="宋体"/>
      <w:color w:val="000000"/>
      <w:sz w:val="24"/>
    </w:rPr>
  </w:style>
  <w:style w:type="paragraph" w:styleId="8">
    <w:name w:val="toc 9"/>
    <w:basedOn w:val="1"/>
    <w:next w:val="1"/>
    <w:qFormat/>
    <w:uiPriority w:val="0"/>
    <w:pPr>
      <w:widowControl/>
      <w:wordWrap w:val="0"/>
      <w:autoSpaceDE/>
      <w:autoSpaceDN/>
      <w:spacing w:before="0" w:after="0" w:line="240" w:lineRule="auto"/>
      <w:ind w:left="2975" w:firstLine="0"/>
      <w:jc w:val="both"/>
    </w:pPr>
    <w:rPr>
      <w:sz w:val="21"/>
      <w:szCs w:val="22"/>
    </w:rPr>
  </w:style>
  <w:style w:type="paragraph" w:styleId="9">
    <w:name w:val="Plain Text"/>
    <w:basedOn w:val="1"/>
    <w:qFormat/>
    <w:uiPriority w:val="0"/>
    <w:rPr>
      <w:rFonts w:ascii="宋体" w:hAnsi="Courier New" w:eastAsia="宋体" w:cs="Times New Roman"/>
      <w:szCs w:val="24"/>
    </w:rPr>
  </w:style>
  <w:style w:type="paragraph" w:styleId="10">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1">
    <w:name w:val="Body Text First Indent"/>
    <w:basedOn w:val="6"/>
    <w:next w:val="1"/>
    <w:qFormat/>
    <w:uiPriority w:val="0"/>
    <w:pPr>
      <w:ind w:firstLine="420" w:firstLineChars="100"/>
    </w:pPr>
  </w:style>
  <w:style w:type="paragraph" w:styleId="12">
    <w:name w:val="Body Text First Indent 2"/>
    <w:basedOn w:val="7"/>
    <w:next w:val="1"/>
    <w:qFormat/>
    <w:uiPriority w:val="0"/>
    <w:pPr>
      <w:ind w:firstLine="420" w:firstLineChars="200"/>
    </w:pPr>
    <w:rPr>
      <w:snapToGrid w:val="0"/>
      <w:kern w:val="0"/>
      <w:sz w:val="24"/>
      <w:szCs w:val="24"/>
    </w:rPr>
  </w:style>
  <w:style w:type="table" w:styleId="14">
    <w:name w:val="Table Grid"/>
    <w:basedOn w:val="1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6">
    <w:name w:val="Strong"/>
    <w:basedOn w:val="15"/>
    <w:qFormat/>
    <w:uiPriority w:val="0"/>
    <w:rPr>
      <w:b/>
    </w:rPr>
  </w:style>
  <w:style w:type="character" w:styleId="17">
    <w:name w:val="Emphasis"/>
    <w:basedOn w:val="15"/>
    <w:qFormat/>
    <w:uiPriority w:val="0"/>
    <w:rPr>
      <w:i/>
    </w:rPr>
  </w:style>
  <w:style w:type="paragraph" w:customStyle="1" w:styleId="18">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19">
    <w:name w:val="Default"/>
    <w:basedOn w:val="20"/>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20">
    <w:name w:val="纯文本1"/>
    <w:qFormat/>
    <w:uiPriority w:val="0"/>
    <w:pPr>
      <w:adjustRightInd w:val="0"/>
      <w:jc w:val="center"/>
      <w:textAlignment w:val="baseline"/>
    </w:pPr>
    <w:rPr>
      <w:rFonts w:ascii="宋体" w:hAnsi="Courier New" w:eastAsia="宋体" w:cs="Times New Roman"/>
      <w:sz w:val="24"/>
      <w:lang w:val="en-US" w:eastAsia="zh-CN" w:bidi="ar-SA"/>
    </w:rPr>
  </w:style>
  <w:style w:type="paragraph" w:customStyle="1" w:styleId="21">
    <w:name w:val="标题2"/>
    <w:basedOn w:val="2"/>
    <w:qFormat/>
    <w:uiPriority w:val="0"/>
    <w:pPr>
      <w:numPr>
        <w:ilvl w:val="1"/>
        <w:numId w:val="1"/>
      </w:numPr>
      <w:spacing w:before="0" w:after="0" w:line="440" w:lineRule="exact"/>
    </w:pPr>
    <w:rPr>
      <w:kern w:val="0"/>
      <w:sz w:val="28"/>
    </w:rPr>
  </w:style>
  <w:style w:type="paragraph" w:customStyle="1" w:styleId="22">
    <w:name w:val="1正文段落"/>
    <w:basedOn w:val="1"/>
    <w:qFormat/>
    <w:uiPriority w:val="0"/>
    <w:pPr>
      <w:widowControl/>
      <w:spacing w:line="360" w:lineRule="auto"/>
      <w:ind w:firstLine="480" w:firstLineChars="200"/>
      <w:jc w:val="left"/>
    </w:pPr>
    <w:rPr>
      <w:rFonts w:ascii="宋体" w:hAnsi="宋体" w:cs="宋体"/>
      <w:snapToGrid w:val="0"/>
      <w:kern w:val="0"/>
      <w:sz w:val="24"/>
      <w:szCs w:val="24"/>
    </w:rPr>
  </w:style>
  <w:style w:type="paragraph" w:customStyle="1" w:styleId="23">
    <w:name w:val=" Char Char Char1 Char Char Char Char Char Char Char Char Char Char Char Char Char"/>
    <w:basedOn w:val="1"/>
    <w:qFormat/>
    <w:uiPriority w:val="0"/>
    <w:rPr>
      <w:rFonts w:ascii="Times New Roman" w:hAnsi="Times New Roman" w:eastAsia="宋体" w:cs="Times New Roman"/>
      <w:sz w:val="24"/>
    </w:rPr>
  </w:style>
  <w:style w:type="paragraph" w:customStyle="1" w:styleId="24">
    <w:name w:val="报告正文"/>
    <w:basedOn w:val="1"/>
    <w:semiHidden/>
    <w:qFormat/>
    <w:uiPriority w:val="0"/>
    <w:pPr>
      <w:spacing w:line="440" w:lineRule="exact"/>
      <w:ind w:firstLine="200" w:firstLineChars="200"/>
      <w:jc w:val="left"/>
    </w:pPr>
    <w:rPr>
      <w:rFonts w:eastAsia="仿宋_GB2312"/>
      <w:sz w:val="24"/>
    </w:rPr>
  </w:style>
  <w:style w:type="character" w:customStyle="1" w:styleId="25">
    <w:name w:val="批注文字 Char"/>
    <w:link w:val="5"/>
    <w:qFormat/>
    <w:uiPriority w:val="0"/>
  </w:style>
  <w:style w:type="character" w:customStyle="1" w:styleId="26">
    <w:name w:val="15"/>
    <w:basedOn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6833</Words>
  <Characters>7679</Characters>
  <Lines>1</Lines>
  <Paragraphs>1</Paragraphs>
  <TotalTime>1</TotalTime>
  <ScaleCrop>false</ScaleCrop>
  <LinksUpToDate>false</LinksUpToDate>
  <CharactersWithSpaces>7684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小刘小刘</cp:lastModifiedBy>
  <cp:lastPrinted>2025-05-18T05:56:00Z</cp:lastPrinted>
  <dcterms:modified xsi:type="dcterms:W3CDTF">2025-08-26T08:43:42Z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2FCE1DD7A9354BDAA5FD4EA9DA6E3565_13</vt:lpwstr>
  </property>
  <property fmtid="{D5CDD505-2E9C-101B-9397-08002B2CF9AE}" pid="4" name="KSOTemplateDocerSaveRecord">
    <vt:lpwstr>eyJoZGlkIjoiZmRmMjBjMGMwNDc5Y2Y5NDNjZGUyZmE4MTcxYzUzNGUiLCJ1c2VySWQiOiIxOTk4ODQ4NTIifQ==</vt:lpwstr>
  </property>
</Properties>
</file>