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0A2D9">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浙江奥臣智能科技有限公司</w:t>
      </w:r>
    </w:p>
    <w:p w14:paraId="6A6BA133">
      <w:pPr>
        <w:spacing w:line="360" w:lineRule="auto"/>
        <w:jc w:val="center"/>
        <w:rPr>
          <w:rFonts w:hint="default" w:ascii="Times New Roman" w:hAnsi="Times New Roman" w:eastAsia="宋体" w:cs="Times New Roman"/>
          <w:b/>
          <w:color w:val="auto"/>
          <w:sz w:val="32"/>
          <w:szCs w:val="32"/>
          <w:highlight w:val="none"/>
          <w:lang w:eastAsia="zh-CN"/>
        </w:rPr>
      </w:pPr>
      <w:r>
        <w:rPr>
          <w:rFonts w:hint="eastAsia" w:ascii="Times New Roman" w:hAnsi="Times New Roman" w:cs="Times New Roman"/>
          <w:b/>
          <w:color w:val="auto"/>
          <w:sz w:val="32"/>
          <w:szCs w:val="32"/>
          <w:highlight w:val="none"/>
          <w:lang w:val="en-US" w:eastAsia="zh-CN"/>
        </w:rPr>
        <w:t>年产60万米电缆桥架项目</w:t>
      </w:r>
    </w:p>
    <w:p w14:paraId="3985411A">
      <w:pPr>
        <w:spacing w:line="360" w:lineRule="auto"/>
        <w:jc w:val="center"/>
        <w:rPr>
          <w:rFonts w:hint="default" w:ascii="Times New Roman" w:hAnsi="Times New Roman" w:eastAsia="宋体" w:cs="Times New Roman"/>
          <w:b/>
          <w:bCs/>
          <w:color w:val="auto"/>
          <w:sz w:val="30"/>
          <w:szCs w:val="30"/>
          <w:highlight w:val="none"/>
          <w:lang w:val="en-US" w:eastAsia="zh-CN"/>
        </w:rPr>
      </w:pPr>
      <w:r>
        <w:rPr>
          <w:rFonts w:hint="default" w:ascii="Times New Roman" w:hAnsi="Times New Roman" w:eastAsia="宋体" w:cs="Times New Roman"/>
          <w:b/>
          <w:color w:val="auto"/>
          <w:sz w:val="32"/>
          <w:szCs w:val="32"/>
          <w:highlight w:val="none"/>
          <w:lang w:eastAsia="zh-CN"/>
        </w:rPr>
        <w:t>竣工环境保护验收</w:t>
      </w:r>
      <w:r>
        <w:rPr>
          <w:rFonts w:hint="default" w:ascii="Times New Roman" w:hAnsi="Times New Roman" w:eastAsia="宋体" w:cs="Times New Roman"/>
          <w:b/>
          <w:color w:val="auto"/>
          <w:sz w:val="32"/>
          <w:szCs w:val="32"/>
          <w:highlight w:val="none"/>
        </w:rPr>
        <w:t>意见</w:t>
      </w:r>
    </w:p>
    <w:p w14:paraId="6F72DE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0000FF"/>
          <w:kern w:val="0"/>
          <w:sz w:val="24"/>
          <w:highlight w:val="none"/>
          <w:lang w:val="en-US" w:eastAsia="zh-CN"/>
        </w:rPr>
        <w:t>10</w:t>
      </w:r>
      <w:r>
        <w:rPr>
          <w:rFonts w:hint="default" w:ascii="Times New Roman" w:hAnsi="Times New Roman" w:eastAsia="宋体" w:cs="Times New Roman"/>
          <w:color w:val="0000FF"/>
          <w:kern w:val="0"/>
          <w:sz w:val="24"/>
          <w:highlight w:val="none"/>
        </w:rPr>
        <w:t>月</w:t>
      </w:r>
      <w:r>
        <w:rPr>
          <w:rFonts w:hint="eastAsia" w:ascii="Times New Roman" w:hAnsi="Times New Roman" w:cs="Times New Roman"/>
          <w:color w:val="0000FF"/>
          <w:kern w:val="0"/>
          <w:sz w:val="24"/>
          <w:highlight w:val="none"/>
          <w:lang w:val="en-US" w:eastAsia="zh-CN"/>
        </w:rPr>
        <w:t>14</w:t>
      </w:r>
      <w:r>
        <w:rPr>
          <w:rFonts w:hint="default" w:ascii="Times New Roman" w:hAnsi="Times New Roman" w:eastAsia="宋体" w:cs="Times New Roman"/>
          <w:color w:val="0000FF"/>
          <w:kern w:val="0"/>
          <w:sz w:val="24"/>
          <w:highlight w:val="none"/>
        </w:rPr>
        <w:t>日</w:t>
      </w:r>
      <w:r>
        <w:rPr>
          <w:rFonts w:hint="default" w:ascii="Times New Roman" w:hAnsi="Times New Roman" w:eastAsia="宋体" w:cs="Times New Roman"/>
          <w:color w:val="auto"/>
          <w:kern w:val="0"/>
          <w:sz w:val="24"/>
          <w:highlight w:val="none"/>
        </w:rPr>
        <w:t>，建设单位</w:t>
      </w:r>
      <w:r>
        <w:rPr>
          <w:rFonts w:hint="eastAsia" w:ascii="Times New Roman" w:hAnsi="Times New Roman" w:cs="Times New Roman"/>
          <w:color w:val="auto"/>
          <w:sz w:val="24"/>
          <w:szCs w:val="24"/>
          <w:highlight w:val="none"/>
          <w:lang w:val="en-US" w:eastAsia="zh-CN"/>
        </w:rPr>
        <w:t>浙江奥臣智能科技有限公司（原浙江浩翔节能科技有限公司）</w:t>
      </w:r>
      <w:r>
        <w:rPr>
          <w:rFonts w:hint="default" w:ascii="Times New Roman" w:hAnsi="Times New Roman" w:eastAsia="宋体" w:cs="Times New Roman"/>
          <w:color w:val="auto"/>
          <w:kern w:val="0"/>
          <w:sz w:val="24"/>
          <w:highlight w:val="none"/>
        </w:rPr>
        <w:t>，根据《</w:t>
      </w:r>
      <w:r>
        <w:rPr>
          <w:rFonts w:hint="eastAsia" w:ascii="Times New Roman" w:hAnsi="Times New Roman" w:cs="Times New Roman"/>
          <w:color w:val="auto"/>
          <w:kern w:val="0"/>
          <w:sz w:val="24"/>
          <w:highlight w:val="none"/>
          <w:lang w:val="en-US" w:eastAsia="zh-CN"/>
        </w:rPr>
        <w:t>浙江浩翔节能科技有限公司年产60万米电缆桥架项目</w:t>
      </w:r>
      <w:r>
        <w:rPr>
          <w:rFonts w:hint="default" w:ascii="Times New Roman" w:hAnsi="Times New Roman" w:eastAsia="宋体" w:cs="Times New Roman"/>
          <w:color w:val="auto"/>
          <w:kern w:val="0"/>
          <w:sz w:val="24"/>
          <w:highlight w:val="none"/>
        </w:rPr>
        <w:t>竣工环境保护验收监测报告</w:t>
      </w:r>
      <w:r>
        <w:rPr>
          <w:rFonts w:hint="eastAsia" w:ascii="Times New Roman" w:hAnsi="Times New Roman" w:cs="Times New Roman"/>
          <w:color w:val="auto"/>
          <w:kern w:val="0"/>
          <w:sz w:val="24"/>
          <w:highlight w:val="none"/>
          <w:lang w:val="en-US" w:eastAsia="zh-CN"/>
        </w:rPr>
        <w:t>表</w:t>
      </w:r>
      <w:r>
        <w:rPr>
          <w:rFonts w:hint="default" w:ascii="Times New Roman" w:hAnsi="Times New Roman" w:eastAsia="宋体" w:cs="Times New Roman"/>
          <w:color w:val="auto"/>
          <w:kern w:val="0"/>
          <w:sz w:val="24"/>
          <w:highlight w:val="none"/>
        </w:rPr>
        <w:t>》，并对照《建设项目竣工环境保护验收暂行办法》，严格依照国家有关法律法规、建设项目竣工环境保护验收技术规范、项目环境影响</w:t>
      </w:r>
      <w:r>
        <w:rPr>
          <w:rFonts w:hint="default" w:ascii="Times New Roman" w:hAnsi="Times New Roman" w:eastAsia="宋体" w:cs="Times New Roman"/>
          <w:color w:val="auto"/>
          <w:kern w:val="0"/>
          <w:sz w:val="24"/>
          <w:highlight w:val="none"/>
          <w:lang w:val="en-US" w:eastAsia="zh-CN"/>
        </w:rPr>
        <w:t>报告</w:t>
      </w:r>
      <w:r>
        <w:rPr>
          <w:rFonts w:hint="default" w:ascii="Times New Roman" w:hAnsi="Times New Roman" w:eastAsia="宋体" w:cs="Times New Roman"/>
          <w:color w:val="auto"/>
          <w:kern w:val="0"/>
          <w:sz w:val="24"/>
          <w:highlight w:val="none"/>
        </w:rPr>
        <w:t>表和</w:t>
      </w:r>
      <w:r>
        <w:rPr>
          <w:rFonts w:hint="eastAsia" w:ascii="Times New Roman" w:hAnsi="Times New Roman" w:cs="Times New Roman"/>
          <w:color w:val="auto"/>
          <w:kern w:val="0"/>
          <w:sz w:val="24"/>
          <w:highlight w:val="none"/>
          <w:lang w:val="en-US" w:eastAsia="zh-CN"/>
        </w:rPr>
        <w:t>批复</w:t>
      </w:r>
      <w:r>
        <w:rPr>
          <w:rFonts w:hint="default" w:ascii="Times New Roman" w:hAnsi="Times New Roman" w:eastAsia="宋体" w:cs="Times New Roman"/>
          <w:color w:val="auto"/>
          <w:sz w:val="24"/>
          <w:highlight w:val="none"/>
          <w:lang w:val="en-US" w:eastAsia="zh-CN"/>
        </w:rPr>
        <w:t>意见</w:t>
      </w:r>
      <w:r>
        <w:rPr>
          <w:rFonts w:hint="default" w:ascii="Times New Roman" w:hAnsi="Times New Roman" w:eastAsia="宋体" w:cs="Times New Roman"/>
          <w:color w:val="auto"/>
          <w:kern w:val="0"/>
          <w:sz w:val="24"/>
          <w:highlight w:val="none"/>
        </w:rPr>
        <w:t>等要求对</w:t>
      </w:r>
      <w:r>
        <w:rPr>
          <w:rFonts w:hint="eastAsia" w:ascii="Times New Roman" w:hAnsi="Times New Roman" w:cs="Times New Roman"/>
          <w:color w:val="auto"/>
          <w:kern w:val="0"/>
          <w:sz w:val="24"/>
          <w:highlight w:val="none"/>
          <w:lang w:val="en-US" w:eastAsia="zh-CN"/>
        </w:rPr>
        <w:t>浙江奥臣智能科技有限公司（原浙江浩翔节能科技有限公司）年产60万米电缆桥架项目（以下简称本项目）</w:t>
      </w:r>
      <w:r>
        <w:rPr>
          <w:rFonts w:hint="default" w:ascii="Times New Roman" w:hAnsi="Times New Roman" w:eastAsia="宋体" w:cs="Times New Roman"/>
          <w:color w:val="auto"/>
          <w:kern w:val="0"/>
          <w:sz w:val="24"/>
          <w:highlight w:val="none"/>
        </w:rPr>
        <w:t>进行验收，提出意见如下：</w:t>
      </w:r>
    </w:p>
    <w:p w14:paraId="52985AA2">
      <w:pPr>
        <w:numPr>
          <w:ilvl w:val="0"/>
          <w:numId w:val="1"/>
        </w:numPr>
        <w:spacing w:line="360" w:lineRule="auto"/>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建设项目基本情况：</w:t>
      </w:r>
    </w:p>
    <w:p w14:paraId="3B7E23A7">
      <w:pPr>
        <w:spacing w:line="360" w:lineRule="auto"/>
        <w:ind w:firstLine="480" w:firstLineChars="200"/>
        <w:rPr>
          <w:rFonts w:hint="eastAsia" w:ascii="Times New Roman" w:hAnsi="Times New Roman" w:cs="Times New Roman"/>
          <w:b w:val="0"/>
          <w:bCs w:val="0"/>
          <w:color w:val="auto"/>
          <w:kern w:val="0"/>
          <w:sz w:val="24"/>
          <w:highlight w:val="none"/>
          <w:lang w:val="en-US" w:eastAsia="zh-CN"/>
        </w:rPr>
      </w:pPr>
      <w:r>
        <w:rPr>
          <w:rFonts w:hint="eastAsia" w:ascii="Times New Roman" w:hAnsi="Times New Roman" w:cs="Times New Roman"/>
          <w:b w:val="0"/>
          <w:bCs w:val="0"/>
          <w:color w:val="auto"/>
          <w:kern w:val="0"/>
          <w:sz w:val="24"/>
          <w:highlight w:val="none"/>
          <w:lang w:val="en-US" w:eastAsia="zh-CN"/>
        </w:rPr>
        <w:t>浙江奥臣智能科技有限公司原名浙江浩翔节能科技有限公司，成立于2024年06月05日，注册地位于浙江省湖州市德清县钟管镇龙山路138号四号厂房1楼，是一家以从事金属结构制造为主的企业。企业于2025年7月完成工商名称变更，变更为浙江奥臣智能科技有限公司。</w:t>
      </w:r>
    </w:p>
    <w:p w14:paraId="56E61B25">
      <w:pPr>
        <w:spacing w:line="360" w:lineRule="auto"/>
        <w:ind w:firstLine="482" w:firstLineChars="200"/>
        <w:rPr>
          <w:rFonts w:hint="eastAsia" w:ascii="Times New Roman" w:hAnsi="Times New Roman" w:cs="Times New Roman"/>
          <w:b/>
          <w:bCs/>
          <w:color w:val="auto"/>
          <w:kern w:val="0"/>
          <w:sz w:val="24"/>
          <w:highlight w:val="none"/>
          <w:lang w:val="en-US" w:eastAsia="zh-CN"/>
        </w:rPr>
      </w:pPr>
      <w:r>
        <w:rPr>
          <w:rFonts w:hint="eastAsia" w:ascii="Times New Roman" w:hAnsi="Times New Roman" w:cs="Times New Roman"/>
          <w:b/>
          <w:bCs/>
          <w:color w:val="auto"/>
          <w:kern w:val="0"/>
          <w:sz w:val="24"/>
          <w:highlight w:val="none"/>
          <w:lang w:val="en-US" w:eastAsia="zh-CN"/>
        </w:rPr>
        <w:t>环评审批情况：</w:t>
      </w:r>
    </w:p>
    <w:p w14:paraId="0AC78254">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企业租赁浙江泰邦软管有限公司1000平方米闲置厂房进行生产，拟投资1000万元，购置数控液压板料折弯机、焊接机、静电喷塑流水线等设备，计划形成年产60万米电缆桥架的生产能力。</w:t>
      </w:r>
    </w:p>
    <w:p w14:paraId="6F24507C">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为严格履行环境影响评价制度，企业于2024年9月，委托浙江仕远环境科技有限公司编制完成了《浙江浩翔节能科技有限公司年产60万米电缆桥架项目环境影响报告表》，并于2024年9月24日通过了湖州市生态环境局德清分局的审查，审查文号为：湖德环建[2024]148号。企业已完成固定污染源排污登记，登记编号为：91330521MADMFA5011001W。</w:t>
      </w:r>
    </w:p>
    <w:p w14:paraId="79DA4AC4">
      <w:pPr>
        <w:spacing w:line="360" w:lineRule="auto"/>
        <w:ind w:firstLine="482" w:firstLineChars="200"/>
        <w:rPr>
          <w:rFonts w:hint="eastAsia" w:ascii="Times New Roman" w:hAnsi="Times New Roman" w:cs="Times New Roman"/>
          <w:b/>
          <w:bCs/>
          <w:color w:val="auto"/>
          <w:kern w:val="0"/>
          <w:sz w:val="24"/>
          <w:highlight w:val="none"/>
          <w:lang w:val="en-US" w:eastAsia="zh-CN"/>
        </w:rPr>
      </w:pPr>
      <w:r>
        <w:rPr>
          <w:rFonts w:hint="eastAsia" w:ascii="Times New Roman" w:hAnsi="Times New Roman" w:cs="Times New Roman"/>
          <w:b/>
          <w:bCs/>
          <w:color w:val="auto"/>
          <w:kern w:val="0"/>
          <w:sz w:val="24"/>
          <w:highlight w:val="none"/>
          <w:lang w:val="en-US" w:eastAsia="zh-CN"/>
        </w:rPr>
        <w:t>验收情况：</w:t>
      </w:r>
    </w:p>
    <w:p w14:paraId="6453CA14">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本项目于2024年10月4日开工建设进行设备安装，于2024年</w:t>
      </w:r>
      <w:r>
        <w:rPr>
          <w:rFonts w:hint="eastAsia" w:ascii="Times New Roman" w:hAnsi="Times New Roman" w:cs="Times New Roman"/>
          <w:color w:val="0000FF"/>
          <w:kern w:val="0"/>
          <w:sz w:val="24"/>
          <w:highlight w:val="none"/>
          <w:lang w:val="en-US" w:eastAsia="zh-CN"/>
        </w:rPr>
        <w:t>10月28日</w:t>
      </w:r>
      <w:r>
        <w:rPr>
          <w:rFonts w:hint="eastAsia" w:ascii="Times New Roman" w:hAnsi="Times New Roman" w:cs="Times New Roman"/>
          <w:color w:val="auto"/>
          <w:kern w:val="0"/>
          <w:sz w:val="24"/>
          <w:highlight w:val="none"/>
          <w:lang w:val="en-US" w:eastAsia="zh-CN"/>
        </w:rPr>
        <w:t>竣工，于2024年</w:t>
      </w:r>
      <w:r>
        <w:rPr>
          <w:rFonts w:hint="eastAsia" w:ascii="Times New Roman" w:hAnsi="Times New Roman" w:cs="Times New Roman"/>
          <w:color w:val="0000FF"/>
          <w:kern w:val="0"/>
          <w:sz w:val="24"/>
          <w:highlight w:val="none"/>
          <w:lang w:val="en-US" w:eastAsia="zh-CN"/>
        </w:rPr>
        <w:t>10月29日</w:t>
      </w:r>
      <w:r>
        <w:rPr>
          <w:rFonts w:hint="eastAsia" w:ascii="Times New Roman" w:hAnsi="Times New Roman" w:cs="Times New Roman"/>
          <w:color w:val="auto"/>
          <w:kern w:val="0"/>
          <w:sz w:val="24"/>
          <w:highlight w:val="none"/>
          <w:lang w:val="en-US" w:eastAsia="zh-CN"/>
        </w:rPr>
        <w:t>-10月31日进行设备调试，调试后进入试生产阶段。本项目实际总投资1000万元，其中环保投资47万元，约占项目总投资的4.7%。企业于2024年12月着手开展本项目的自主竣工环境保护验收工作，对照项目环境影响报告表文本和批复意见，对项目和环境保护设施建设情况进行了验收自查，然后根据自查结果于2024年12月编制完成验收监测方案，并委托湖州天亿环境检测有限公司于2024年12月16日-2024年12月17日进行了现场验收监测，通过对该工程“三同时”执行情况和效果的检查并依据监测结果及相应的国家有关环境标准，编制了</w:t>
      </w:r>
      <w:bookmarkStart w:id="4" w:name="_GoBack"/>
      <w:bookmarkEnd w:id="4"/>
      <w:r>
        <w:rPr>
          <w:rFonts w:hint="eastAsia" w:ascii="Times New Roman" w:hAnsi="Times New Roman" w:cs="Times New Roman"/>
          <w:color w:val="auto"/>
          <w:kern w:val="0"/>
          <w:sz w:val="24"/>
          <w:highlight w:val="none"/>
          <w:lang w:val="en-US" w:eastAsia="zh-CN"/>
        </w:rPr>
        <w:t>本项目竣工环境保护验收监测报告表。</w:t>
      </w:r>
    </w:p>
    <w:p w14:paraId="35E8F188">
      <w:pPr>
        <w:spacing w:line="360" w:lineRule="auto"/>
        <w:ind w:firstLine="480" w:firstLineChars="200"/>
        <w:rPr>
          <w:rFonts w:hint="default"/>
          <w:color w:val="auto"/>
          <w:highlight w:val="none"/>
        </w:rPr>
      </w:pPr>
      <w:r>
        <w:rPr>
          <w:rFonts w:hint="eastAsia" w:ascii="Times New Roman" w:hAnsi="Times New Roman" w:cs="Times New Roman"/>
          <w:color w:val="auto"/>
          <w:kern w:val="0"/>
          <w:sz w:val="24"/>
          <w:highlight w:val="none"/>
          <w:lang w:val="en-US" w:eastAsia="zh-CN"/>
        </w:rPr>
        <w:t>本次针对企业在产的年产60万米电缆桥架项目及其配套工程、环保工程进行竣工环境保护“三同时”验收</w:t>
      </w:r>
      <w:r>
        <w:rPr>
          <w:rFonts w:hint="eastAsia" w:ascii="Times New Roman" w:hAnsi="Times New Roman"/>
          <w:color w:val="auto"/>
          <w:sz w:val="24"/>
          <w:highlight w:val="none"/>
          <w:lang w:val="en-US" w:eastAsia="zh-CN"/>
        </w:rPr>
        <w:t>。</w:t>
      </w:r>
    </w:p>
    <w:p w14:paraId="4937DBC8">
      <w:pPr>
        <w:spacing w:line="360" w:lineRule="auto"/>
        <w:ind w:firstLine="482" w:firstLineChars="200"/>
        <w:outlineLvl w:val="0"/>
        <w:rPr>
          <w:rFonts w:hint="default" w:ascii="Times New Roman" w:hAnsi="Times New Roman" w:eastAsia="宋体" w:cs="Times New Roman"/>
          <w:b w:val="0"/>
          <w:bCs/>
          <w:color w:val="auto"/>
          <w:kern w:val="0"/>
          <w:sz w:val="24"/>
          <w:highlight w:val="none"/>
        </w:rPr>
      </w:pPr>
      <w:r>
        <w:rPr>
          <w:rFonts w:hint="default" w:ascii="Times New Roman" w:hAnsi="Times New Roman" w:eastAsia="宋体" w:cs="Times New Roman"/>
          <w:b/>
          <w:color w:val="auto"/>
          <w:kern w:val="0"/>
          <w:sz w:val="24"/>
          <w:highlight w:val="none"/>
        </w:rPr>
        <w:t>二、工程变动情况</w:t>
      </w:r>
    </w:p>
    <w:p w14:paraId="0BAA4B37">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eastAsia="zh-CN"/>
        </w:rPr>
      </w:pPr>
      <w:bookmarkStart w:id="0" w:name="_Toc498700049"/>
      <w:bookmarkStart w:id="1" w:name="_Toc498351802"/>
      <w:bookmarkStart w:id="2" w:name="_Toc498412723"/>
      <w:r>
        <w:rPr>
          <w:rFonts w:ascii="Times New Roman" w:hAnsi="Times New Roman" w:eastAsia="宋体" w:cs="Times New Roman"/>
          <w:b w:val="0"/>
          <w:bCs/>
          <w:color w:val="auto"/>
          <w:kern w:val="0"/>
          <w:sz w:val="24"/>
          <w:szCs w:val="24"/>
          <w:highlight w:val="none"/>
        </w:rPr>
        <w:t>经现场踏勘并对照环评文件</w:t>
      </w:r>
      <w:r>
        <w:rPr>
          <w:rFonts w:hint="eastAsia" w:ascii="Times New Roman" w:hAnsi="Times New Roman" w:eastAsia="宋体" w:cs="Times New Roman"/>
          <w:b w:val="0"/>
          <w:bCs/>
          <w:color w:val="auto"/>
          <w:kern w:val="0"/>
          <w:sz w:val="24"/>
          <w:szCs w:val="24"/>
          <w:highlight w:val="none"/>
          <w:lang w:eastAsia="zh-CN"/>
        </w:rPr>
        <w:t>：</w:t>
      </w:r>
    </w:p>
    <w:p w14:paraId="592BF57C">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①建设地点与环评审批一致；总平面布置与环评审批部分不一致，变化如下：</w:t>
      </w:r>
    </w:p>
    <w:p w14:paraId="0C851C0D">
      <w:pPr>
        <w:spacing w:line="360" w:lineRule="auto"/>
        <w:ind w:firstLine="482"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环评审批</w:t>
      </w:r>
      <w:r>
        <w:rPr>
          <w:rFonts w:hint="eastAsia" w:ascii="Times New Roman" w:hAnsi="Times New Roman" w:cs="Times New Roman"/>
          <w:b w:val="0"/>
          <w:bCs/>
          <w:color w:val="auto"/>
          <w:kern w:val="0"/>
          <w:sz w:val="24"/>
          <w:szCs w:val="24"/>
          <w:highlight w:val="none"/>
          <w:lang w:val="en-US" w:eastAsia="zh-CN"/>
        </w:rPr>
        <w:t>生产车间东北侧设置有焊机区，东南侧设置有机加工区，西侧设置有静电喷塑流水线，北侧设置有镀锌板原料堆放区，西南侧设置有成品堆放区、液化石油气瓶组站、化学品原料仓库、一般固废暂存场所和危废仓库；办公区设置于生产车间外，出租方6号楼3楼。</w:t>
      </w:r>
    </w:p>
    <w:p w14:paraId="7972061E">
      <w:pPr>
        <w:spacing w:line="360" w:lineRule="auto"/>
        <w:ind w:firstLine="482"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实际</w:t>
      </w:r>
      <w:r>
        <w:rPr>
          <w:rFonts w:hint="eastAsia" w:ascii="Times New Roman" w:hAnsi="Times New Roman" w:cs="Times New Roman"/>
          <w:b w:val="0"/>
          <w:bCs/>
          <w:color w:val="auto"/>
          <w:kern w:val="0"/>
          <w:sz w:val="24"/>
          <w:szCs w:val="24"/>
          <w:highlight w:val="none"/>
          <w:lang w:val="en-US" w:eastAsia="zh-CN"/>
        </w:rPr>
        <w:t>1生产车间东北侧设置有焊机区，东南侧设置有机加工区，西侧设置有静电喷塑流水线，北侧设置有镀锌板原料堆放区，西北侧设置有液化石油气瓶组站，西南侧设置有成品堆放区、化学品原料堆放区等。一般固废暂存场所设置于生产车间外西南侧单独的划分区域内；危废仓库设置于生产车间外北侧单独房间内；办公区设置于生产车间外，出租方6号楼1楼。总建筑面积与环评审批一致。上述变化未导致环境防护距离范围变化且新增敏感点的情况。</w:t>
      </w:r>
    </w:p>
    <w:p w14:paraId="74ABB069">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②产品品种、生产工艺与环评审批一致；本项目实际喷塑粉尘通过负压收集后，通过一套旋风回收+布袋除尘装置（TA001）处理，其余设备情况与环评审批一致；本项目实际原辅材料与环评对照，主要原辅材料的消耗在环评审批范围内。以上并未导致第6条中所列情形。</w:t>
      </w:r>
    </w:p>
    <w:p w14:paraId="242FD565">
      <w:pPr>
        <w:spacing w:line="360" w:lineRule="auto"/>
        <w:ind w:firstLine="480" w:firstLineChars="200"/>
        <w:jc w:val="both"/>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③</w:t>
      </w:r>
      <w:r>
        <w:rPr>
          <w:rFonts w:hint="eastAsia" w:ascii="Times New Roman" w:hAnsi="Times New Roman" w:cs="Times New Roman"/>
          <w:b/>
          <w:bCs w:val="0"/>
          <w:color w:val="auto"/>
          <w:kern w:val="0"/>
          <w:sz w:val="24"/>
          <w:szCs w:val="24"/>
          <w:highlight w:val="none"/>
          <w:lang w:val="en-US" w:eastAsia="zh-CN"/>
        </w:rPr>
        <w:t>废气：</w:t>
      </w:r>
    </w:p>
    <w:p w14:paraId="14C3E45F">
      <w:pPr>
        <w:spacing w:line="360" w:lineRule="auto"/>
        <w:ind w:firstLine="482"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环评审批</w:t>
      </w:r>
      <w:r>
        <w:rPr>
          <w:rFonts w:hint="eastAsia" w:ascii="Times New Roman" w:hAnsi="Times New Roman" w:cs="Times New Roman"/>
          <w:b w:val="0"/>
          <w:bCs/>
          <w:color w:val="auto"/>
          <w:kern w:val="0"/>
          <w:sz w:val="24"/>
          <w:szCs w:val="24"/>
          <w:highlight w:val="none"/>
          <w:lang w:val="en-US" w:eastAsia="zh-CN"/>
        </w:rPr>
        <w:t>（1）喷塑粉尘：通过负压收集后，通过一套旋风回收+滤芯除尘装置（TA001）处理后，尾气通过1根15m高的排气筒（DA001）排放；（2）固化、液化石油气燃烧废气：拟在烘道进出口上方设置吸风集气罩，废气收集后通过一套水喷淋+干式过滤+二级活性炭吸附装置（TA002）处理，尾气通过一根15m高的排气筒（DA002）排放；</w:t>
      </w:r>
    </w:p>
    <w:p w14:paraId="28CFA0E6">
      <w:pPr>
        <w:spacing w:line="360" w:lineRule="auto"/>
        <w:ind w:firstLine="482"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实际</w:t>
      </w:r>
      <w:r>
        <w:rPr>
          <w:rFonts w:hint="eastAsia" w:ascii="Times New Roman" w:hAnsi="Times New Roman" w:cs="Times New Roman"/>
          <w:b w:val="0"/>
          <w:bCs/>
          <w:color w:val="auto"/>
          <w:kern w:val="0"/>
          <w:sz w:val="24"/>
          <w:szCs w:val="24"/>
          <w:highlight w:val="none"/>
          <w:lang w:val="en-US" w:eastAsia="zh-CN"/>
        </w:rPr>
        <w:t>（1）喷塑粉尘、固化、液化石油气燃烧废气：喷塑粉尘通过负压收集后，通过一套旋风回收+布袋除尘装置（TA001）处理；（2）固化、液化石油气燃烧废气拟在烘道进出口上方设置吸风集气罩，废气收集后通过一套水喷淋+干式过滤+二级活性炭吸附装置（TA002）处理，以上废气经处理后通过一根15m高的排气筒（DA001）排放。</w:t>
      </w:r>
    </w:p>
    <w:p w14:paraId="2AAE2706">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废水污染防治变化未发生变化。</w:t>
      </w:r>
    </w:p>
    <w:p w14:paraId="0FEE9123">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以上变化并未导致第6条中所列情形。</w:t>
      </w:r>
    </w:p>
    <w:p w14:paraId="158C787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0"/>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b w:val="0"/>
          <w:bCs/>
          <w:color w:val="auto"/>
          <w:kern w:val="0"/>
          <w:sz w:val="21"/>
          <w:szCs w:val="21"/>
          <w:highlight w:val="none"/>
          <w:lang w:val="en-US" w:eastAsia="zh-CN"/>
        </w:rPr>
        <w:t>注：喷塑粉尘和固化、液化石油气燃烧废气分别由两根排气筒收集后合并排放。</w:t>
      </w:r>
    </w:p>
    <w:p w14:paraId="5095B84A">
      <w:pPr>
        <w:spacing w:line="360" w:lineRule="auto"/>
        <w:ind w:firstLine="480" w:firstLineChars="200"/>
        <w:outlineLvl w:val="0"/>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项目性质、规模与环境影响报告表及批复文件保持一致，基本无变动。</w:t>
      </w:r>
    </w:p>
    <w:p w14:paraId="1EE8BE6C">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ascii="Times New Roman" w:hAnsi="Times New Roman" w:eastAsia="宋体"/>
          <w:color w:val="auto"/>
          <w:kern w:val="0"/>
          <w:sz w:val="24"/>
          <w:szCs w:val="24"/>
          <w:highlight w:val="none"/>
        </w:rPr>
        <w:t>对照生态环境部 环办环评函〔2020〕688号关于印发《污染影响类建设项目重大变动清单</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试行</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》的通知相关内容，</w:t>
      </w:r>
      <w:r>
        <w:rPr>
          <w:rFonts w:hint="eastAsia" w:ascii="Times New Roman" w:hAnsi="Times New Roman" w:eastAsia="宋体"/>
          <w:color w:val="auto"/>
          <w:kern w:val="0"/>
          <w:sz w:val="24"/>
          <w:szCs w:val="24"/>
          <w:highlight w:val="none"/>
          <w:lang w:val="en-US" w:eastAsia="zh-CN"/>
        </w:rPr>
        <w:t>企业</w:t>
      </w:r>
      <w:r>
        <w:rPr>
          <w:rFonts w:ascii="Times New Roman" w:hAnsi="Times New Roman" w:eastAsia="宋体"/>
          <w:color w:val="auto"/>
          <w:kern w:val="0"/>
          <w:sz w:val="24"/>
          <w:szCs w:val="24"/>
          <w:highlight w:val="none"/>
        </w:rPr>
        <w:t>不属于重大变动。</w:t>
      </w:r>
      <w:bookmarkEnd w:id="0"/>
      <w:bookmarkEnd w:id="1"/>
      <w:bookmarkEnd w:id="2"/>
    </w:p>
    <w:p w14:paraId="0EEAAB12">
      <w:pPr>
        <w:spacing w:line="360" w:lineRule="auto"/>
        <w:ind w:firstLine="602" w:firstLineChars="25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三、环境保护设施建设情况</w:t>
      </w:r>
    </w:p>
    <w:p w14:paraId="59E05236">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highlight w:val="none"/>
        </w:rPr>
        <w:t>（一）</w:t>
      </w:r>
      <w:r>
        <w:rPr>
          <w:rStyle w:val="15"/>
          <w:rFonts w:hint="default" w:ascii="Times New Roman" w:hAnsi="Times New Roman" w:eastAsia="宋体" w:cs="Times New Roman"/>
          <w:b w:val="0"/>
          <w:color w:val="auto"/>
          <w:sz w:val="24"/>
          <w:szCs w:val="24"/>
          <w:highlight w:val="none"/>
          <w:vertAlign w:val="baseline"/>
          <w:lang w:val="en-US" w:eastAsia="zh-CN"/>
        </w:rPr>
        <w:t>废水：</w:t>
      </w:r>
      <w:r>
        <w:rPr>
          <w:rFonts w:hint="default" w:ascii="Times New Roman" w:hAnsi="Times New Roman" w:eastAsia="宋体" w:cs="Times New Roman"/>
          <w:color w:val="auto"/>
          <w:sz w:val="24"/>
          <w:szCs w:val="24"/>
          <w:lang w:val="en-US" w:eastAsia="zh-CN"/>
        </w:rPr>
        <w:t>本项目营运过程产生的废水主要是生活污水和喷淋废水。</w:t>
      </w:r>
    </w:p>
    <w:p w14:paraId="14649C96">
      <w:pPr>
        <w:spacing w:line="360" w:lineRule="auto"/>
        <w:ind w:firstLine="480" w:firstLineChars="200"/>
        <w:outlineLvl w:val="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（1）生活污水：经化粪池预处理后纳管至浙江德清泓晟水务科技有限公司集中处理，达标排放。</w:t>
      </w:r>
    </w:p>
    <w:p w14:paraId="671AE90A">
      <w:pPr>
        <w:spacing w:line="360" w:lineRule="auto"/>
        <w:ind w:firstLine="480" w:firstLineChars="200"/>
        <w:outlineLvl w:val="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（2）喷淋废水：喷淋水循环使用，定期补充水量，当循环到一定程度后，水中的含盐量升高，需定期更换，更换后的喷淋废水作为危废处置。</w:t>
      </w:r>
    </w:p>
    <w:p w14:paraId="4E1C609F">
      <w:pPr>
        <w:spacing w:line="360" w:lineRule="auto"/>
        <w:ind w:firstLine="480" w:firstLineChars="200"/>
        <w:outlineLvl w:val="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（二）本项目营运过程产生的废气主要是焊接烟尘、金属粉尘、喷塑粉尘和固化、液化石油气燃烧废气。</w:t>
      </w:r>
    </w:p>
    <w:p w14:paraId="6FB147C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（1）焊接烟尘：产生量较小，以无组织形式排放。</w:t>
      </w:r>
    </w:p>
    <w:p w14:paraId="5CDE534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（2）金属粉尘：基本在设备附近自然沉降，加强车间封闭，以无组织形式排放。</w:t>
      </w:r>
    </w:p>
    <w:p w14:paraId="2F10C6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3）喷塑粉尘、固化、液化石油气燃烧废气：喷塑粉尘通过负压收集后，通过一套旋风回收+布袋除尘装置（TA001）处理；固化、液化石油气燃烧废气拟在烘道进出口上方设置吸风集气罩，废气收集后通过一套水喷淋+干式过滤+二级活性炭吸附装置（TA002）处理，以上废气经处理后通过一根15m高的排气筒（DA001）排放。</w:t>
      </w:r>
    </w:p>
    <w:p w14:paraId="3B2ED96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15"/>
          <w:rFonts w:hint="default" w:ascii="Times New Roman" w:hAnsi="Times New Roman" w:eastAsia="宋体" w:cs="Times New Roman"/>
          <w:b w:val="0"/>
          <w:color w:val="auto"/>
          <w:sz w:val="24"/>
          <w:szCs w:val="24"/>
          <w:highlight w:val="none"/>
          <w:vertAlign w:val="baseline"/>
          <w:lang w:val="en-US" w:eastAsia="zh-CN"/>
        </w:rPr>
      </w:pPr>
      <w:r>
        <w:rPr>
          <w:rFonts w:hint="eastAsia" w:ascii="Times New Roman" w:hAnsi="Times New Roman" w:eastAsia="宋体" w:cs="Times New Roman"/>
          <w:b w:val="0"/>
          <w:color w:val="auto"/>
          <w:kern w:val="2"/>
          <w:sz w:val="24"/>
          <w:szCs w:val="24"/>
          <w:vertAlign w:val="baseline"/>
          <w:lang w:val="en-US" w:eastAsia="zh-CN" w:bidi="ar-SA"/>
        </w:rPr>
        <w:t>（</w:t>
      </w:r>
      <w:r>
        <w:rPr>
          <w:rFonts w:hint="eastAsia" w:ascii="Times New Roman" w:hAnsi="Times New Roman" w:cs="Times New Roman"/>
          <w:b w:val="0"/>
          <w:color w:val="auto"/>
          <w:kern w:val="2"/>
          <w:sz w:val="24"/>
          <w:szCs w:val="24"/>
          <w:vertAlign w:val="baseline"/>
          <w:lang w:val="en-US" w:eastAsia="zh-CN" w:bidi="ar-SA"/>
        </w:rPr>
        <w:t>三</w:t>
      </w:r>
      <w:r>
        <w:rPr>
          <w:rFonts w:hint="eastAsia" w:ascii="Times New Roman" w:hAnsi="Times New Roman" w:eastAsia="宋体" w:cs="Times New Roman"/>
          <w:b w:val="0"/>
          <w:color w:val="auto"/>
          <w:kern w:val="2"/>
          <w:sz w:val="24"/>
          <w:szCs w:val="24"/>
          <w:vertAlign w:val="baseline"/>
          <w:lang w:val="en-US" w:eastAsia="zh-CN" w:bidi="ar-SA"/>
        </w:rPr>
        <w:t>）</w:t>
      </w:r>
      <w:r>
        <w:rPr>
          <w:rFonts w:hint="default" w:ascii="Times New Roman" w:hAnsi="Times New Roman" w:eastAsia="宋体" w:cs="Times New Roman"/>
          <w:color w:val="auto"/>
          <w:kern w:val="0"/>
          <w:sz w:val="24"/>
          <w:highlight w:val="none"/>
        </w:rPr>
        <w:t>噪声：</w:t>
      </w:r>
      <w:r>
        <w:rPr>
          <w:rFonts w:hint="eastAsia" w:ascii="Times New Roman" w:hAnsi="Times New Roman" w:cs="Times New Roman"/>
          <w:color w:val="auto"/>
          <w:kern w:val="0"/>
          <w:sz w:val="24"/>
          <w:highlight w:val="none"/>
          <w:lang w:val="en-US" w:eastAsia="zh-CN"/>
        </w:rPr>
        <w:t>本</w:t>
      </w:r>
      <w:r>
        <w:rPr>
          <w:rFonts w:hint="eastAsia"/>
          <w:color w:val="auto"/>
          <w:sz w:val="24"/>
          <w:highlight w:val="none"/>
        </w:rPr>
        <w:t>项目主要噪声为各种生产设备运行产生的噪声</w:t>
      </w:r>
      <w:r>
        <w:rPr>
          <w:rFonts w:hint="eastAsia"/>
          <w:color w:val="auto"/>
          <w:sz w:val="24"/>
          <w:highlight w:val="none"/>
          <w:lang w:eastAsia="zh-CN"/>
        </w:rPr>
        <w:t>。</w:t>
      </w:r>
    </w:p>
    <w:p w14:paraId="0AFD95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olor w:val="auto"/>
          <w:sz w:val="24"/>
          <w:szCs w:val="32"/>
          <w:highlight w:val="none"/>
          <w:lang w:val="en-US" w:eastAsia="zh-CN"/>
        </w:rPr>
        <w:t>本项目实行一班制，厂区噪声源主要为生产设备、及辅助设施运行噪声，噪声强度75-85dB（A），通过选用噪声低、振动小的设备；对风机等高噪声设备加设减振垫；合理布置设备位置；车间安装隔声门窗，生产时关闭门窗；加强生产现场管理和设备养护，减少或降低人为噪声。</w:t>
      </w:r>
    </w:p>
    <w:p w14:paraId="5DFE81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s="Times New Roman"/>
          <w:color w:val="auto"/>
          <w:kern w:val="0"/>
          <w:sz w:val="24"/>
          <w:szCs w:val="24"/>
          <w:lang w:val="en-US" w:eastAsia="zh-CN" w:bidi="ar-SA"/>
        </w:rPr>
        <w:t>四</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highlight w:val="none"/>
          <w:lang w:val="en-US" w:eastAsia="zh-CN"/>
        </w:rPr>
        <w:t>固废：本项目营运过程产生的固体废物包括生活垃圾、一般固废和危险废物。</w:t>
      </w:r>
    </w:p>
    <w:p w14:paraId="5E15166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本项目一般固废暂存场所设置于生产车间外西南侧单独的划分区域内，</w:t>
      </w:r>
      <w:r>
        <w:rPr>
          <w:rFonts w:hint="eastAsia" w:ascii="Times New Roman" w:hAnsi="Times New Roman" w:cs="Times New Roman"/>
          <w:color w:val="auto"/>
          <w:kern w:val="0"/>
          <w:sz w:val="24"/>
          <w:highlight w:val="none"/>
          <w:lang w:val="en-US" w:eastAsia="zh-CN"/>
        </w:rPr>
        <w:t>存放废边角料、废焊丝、焊渣、收集的金属粉尘和废包装材料，</w:t>
      </w:r>
      <w:r>
        <w:rPr>
          <w:rFonts w:hint="default" w:ascii="Times New Roman" w:hAnsi="Times New Roman" w:eastAsia="宋体" w:cs="Times New Roman"/>
          <w:color w:val="auto"/>
          <w:kern w:val="0"/>
          <w:sz w:val="24"/>
          <w:highlight w:val="none"/>
          <w:lang w:val="en-US" w:eastAsia="zh-CN"/>
        </w:rPr>
        <w:t>面积约为</w:t>
      </w:r>
      <w:r>
        <w:rPr>
          <w:rFonts w:hint="eastAsia" w:ascii="Times New Roman" w:hAnsi="Times New Roman" w:cs="Times New Roman"/>
          <w:color w:val="auto"/>
          <w:kern w:val="0"/>
          <w:sz w:val="24"/>
          <w:highlight w:val="none"/>
          <w:lang w:val="en-US" w:eastAsia="zh-CN"/>
        </w:rPr>
        <w:t>10</w:t>
      </w:r>
      <w:r>
        <w:rPr>
          <w:rFonts w:hint="default" w:ascii="Times New Roman" w:hAnsi="Times New Roman" w:eastAsia="宋体" w:cs="Times New Roman"/>
          <w:color w:val="auto"/>
          <w:kern w:val="0"/>
          <w:sz w:val="24"/>
          <w:highlight w:val="none"/>
          <w:lang w:val="en-US" w:eastAsia="zh-CN"/>
        </w:rPr>
        <w:t>m</w:t>
      </w:r>
      <w:r>
        <w:rPr>
          <w:rFonts w:hint="default" w:ascii="Times New Roman" w:hAnsi="Times New Roman" w:eastAsia="宋体" w:cs="Times New Roman"/>
          <w:color w:val="auto"/>
          <w:kern w:val="0"/>
          <w:sz w:val="24"/>
          <w:highlight w:val="none"/>
          <w:vertAlign w:val="superscript"/>
          <w:lang w:val="en-US" w:eastAsia="zh-CN"/>
        </w:rPr>
        <w:t>2</w:t>
      </w:r>
      <w:r>
        <w:rPr>
          <w:rFonts w:hint="default" w:ascii="Times New Roman" w:hAnsi="Times New Roman" w:eastAsia="宋体" w:cs="Times New Roman"/>
          <w:color w:val="auto"/>
          <w:kern w:val="0"/>
          <w:sz w:val="24"/>
          <w:highlight w:val="none"/>
          <w:lang w:val="en-US" w:eastAsia="zh-CN"/>
        </w:rPr>
        <w:t>，暂存点为水泥地面，能做到防扬散、防流失、防止雨水的冲刷及防渗漏等相关要求，各类一般废物定置分类存放；危废仓库设置于生产车间外北侧单独房间内，存放废润滑油、废液压油、废润滑油桶、废液压油桶、喷淋废水、废过滤棉、废活性炭，面积约为</w:t>
      </w:r>
      <w:r>
        <w:rPr>
          <w:rFonts w:hint="eastAsia" w:ascii="Times New Roman" w:hAnsi="Times New Roman" w:cs="Times New Roman"/>
          <w:color w:val="auto"/>
          <w:kern w:val="0"/>
          <w:sz w:val="24"/>
          <w:highlight w:val="none"/>
          <w:lang w:val="en-US" w:eastAsia="zh-CN"/>
        </w:rPr>
        <w:t>10</w:t>
      </w:r>
      <w:r>
        <w:rPr>
          <w:rFonts w:hint="default" w:ascii="Times New Roman" w:hAnsi="Times New Roman" w:eastAsia="宋体" w:cs="Times New Roman"/>
          <w:color w:val="auto"/>
          <w:kern w:val="0"/>
          <w:sz w:val="24"/>
          <w:highlight w:val="none"/>
          <w:lang w:val="en-US" w:eastAsia="zh-CN"/>
        </w:rPr>
        <w:t>m</w:t>
      </w:r>
      <w:r>
        <w:rPr>
          <w:rFonts w:hint="default" w:ascii="Times New Roman" w:hAnsi="Times New Roman" w:eastAsia="宋体" w:cs="Times New Roman"/>
          <w:color w:val="auto"/>
          <w:kern w:val="0"/>
          <w:sz w:val="24"/>
          <w:highlight w:val="none"/>
          <w:vertAlign w:val="superscript"/>
          <w:lang w:val="en-US" w:eastAsia="zh-CN"/>
        </w:rPr>
        <w:t>2</w:t>
      </w:r>
      <w:r>
        <w:rPr>
          <w:rFonts w:hint="default" w:ascii="Times New Roman" w:hAnsi="Times New Roman" w:eastAsia="宋体" w:cs="Times New Roman"/>
          <w:color w:val="auto"/>
          <w:kern w:val="0"/>
          <w:sz w:val="24"/>
          <w:highlight w:val="none"/>
          <w:lang w:val="en-US" w:eastAsia="zh-CN"/>
        </w:rPr>
        <w:t>，定期交由资质单位安全处置。危废库具备防腐防渗、防雨淋等措施，可以有效防止二次污染，规范建立了危废台账。</w:t>
      </w:r>
    </w:p>
    <w:p w14:paraId="1CEBDE0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生活垃圾集中收集后由当地环卫部门清运；废边角料</w:t>
      </w:r>
      <w:r>
        <w:rPr>
          <w:rFonts w:hint="eastAsia" w:ascii="Times New Roman" w:hAnsi="Times New Roman" w:cs="Times New Roman"/>
          <w:color w:val="auto"/>
          <w:kern w:val="0"/>
          <w:sz w:val="24"/>
          <w:highlight w:val="none"/>
          <w:lang w:val="en-US" w:eastAsia="zh-CN"/>
        </w:rPr>
        <w:t>、废焊丝、焊渣、收集的金属粉尘和废包装材料集中收集后暂存于一般固废暂存场所，由物资回收公司回收利用</w:t>
      </w:r>
      <w:r>
        <w:rPr>
          <w:rFonts w:hint="eastAsia" w:ascii="Times New Roman" w:hAnsi="Times New Roman" w:eastAsia="宋体" w:cs="Times New Roman"/>
          <w:color w:val="auto"/>
          <w:kern w:val="0"/>
          <w:sz w:val="24"/>
          <w:highlight w:val="none"/>
          <w:lang w:val="en-US" w:eastAsia="zh-CN"/>
        </w:rPr>
        <w:t>；废润滑油、废液压油、废润滑油桶、废液压油桶、喷淋废水、废过滤棉、废活性炭集中收集后</w:t>
      </w:r>
      <w:bookmarkStart w:id="3" w:name="OLE_LINK2"/>
      <w:r>
        <w:rPr>
          <w:rFonts w:hint="eastAsia" w:ascii="Times New Roman" w:hAnsi="Times New Roman" w:eastAsia="宋体" w:cs="Times New Roman"/>
          <w:color w:val="auto"/>
          <w:kern w:val="0"/>
          <w:sz w:val="24"/>
          <w:highlight w:val="none"/>
          <w:lang w:val="en-US" w:eastAsia="zh-CN"/>
        </w:rPr>
        <w:t>暂存于</w:t>
      </w:r>
      <w:bookmarkEnd w:id="3"/>
      <w:r>
        <w:rPr>
          <w:rFonts w:hint="eastAsia" w:ascii="Times New Roman" w:hAnsi="Times New Roman" w:eastAsia="宋体" w:cs="Times New Roman"/>
          <w:color w:val="auto"/>
          <w:kern w:val="0"/>
          <w:sz w:val="24"/>
          <w:highlight w:val="none"/>
          <w:lang w:val="en-US" w:eastAsia="zh-CN"/>
        </w:rPr>
        <w:t>危废仓库内，委托安吉纳海环境有限公司处理。</w:t>
      </w:r>
    </w:p>
    <w:p w14:paraId="76A0A01C">
      <w:pPr>
        <w:widowControl/>
        <w:numPr>
          <w:ilvl w:val="0"/>
          <w:numId w:val="2"/>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土壤及地下水污染防治措施</w:t>
      </w:r>
    </w:p>
    <w:p w14:paraId="6919F8EF">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本项目地下水和土壤污染防治措施已按照“源头控制、分区防护、污染监控、应急响应”相结合的原则，全方位进行控制。厂区内采取分区防渗措施，项目重点污染防治区主要为生产车间、危废仓库等</w:t>
      </w:r>
      <w:r>
        <w:rPr>
          <w:rFonts w:hint="eastAsia" w:ascii="Times New Roman" w:hAnsi="Times New Roman" w:cs="Times New Roman"/>
          <w:color w:val="auto"/>
          <w:kern w:val="0"/>
          <w:sz w:val="24"/>
          <w:highlight w:val="none"/>
          <w:lang w:val="en-US" w:eastAsia="zh-CN"/>
        </w:rPr>
        <w:t>。</w:t>
      </w:r>
    </w:p>
    <w:p w14:paraId="0948B5AB">
      <w:pPr>
        <w:widowControl/>
        <w:numPr>
          <w:ilvl w:val="0"/>
          <w:numId w:val="2"/>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环境风险防范措施：</w:t>
      </w:r>
    </w:p>
    <w:p w14:paraId="53208B98">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A、泄漏事故风险防范措施</w:t>
      </w:r>
    </w:p>
    <w:p w14:paraId="5519E9CE">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1）为了保证各物料仓储和使用安全，本项目各物料的存储条件和设施必须严格按照有关文件中的要求执行，并有严格的管理。</w:t>
      </w:r>
    </w:p>
    <w:p w14:paraId="0931BFBC">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2）总平面布置严格遵守国家颁布的有关防火和安全等方面规范和规定，在危险源布置方面，充分考虑厂内职工和厂外敏感目标的安全，一旦出现突发性事件时，对人员造成的伤害最小。</w:t>
      </w:r>
    </w:p>
    <w:p w14:paraId="57F1F538">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3）在生产装置、仓储区等附近场所以及需要提醒人员注意的地点均应按标准设置各种安全标志，凡需要迅速发现并引起注意以防止发生事故的场所、部位，均按要求涂安全色。</w:t>
      </w:r>
    </w:p>
    <w:p w14:paraId="00876A5D">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4）车间、仓储区布置需通风良好，保证易燃易爆和有毒物质迅速稀释和扩散。</w:t>
      </w:r>
    </w:p>
    <w:p w14:paraId="0753541D">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B、液化石油气风险防范措施</w:t>
      </w:r>
    </w:p>
    <w:p w14:paraId="7B9C1F7C">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液化石油气是易燃易爆物品，使用不当，管理不善，都将给单位的生命财产造成极大危害，主要风险防范措施如下：</w:t>
      </w:r>
    </w:p>
    <w:p w14:paraId="0A40DA4B">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（一）安全管理及责任制</w:t>
      </w:r>
    </w:p>
    <w:p w14:paraId="340A91B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a.企业应配备液化石油气安全管理从业人员。企业负责人、从业人员要定期参加安全教育培训，掌握燃气的危害性及防爆措施。</w:t>
      </w:r>
    </w:p>
    <w:p w14:paraId="189C8B0A">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b.企业必须从取得燃气经营许可的合法企业购买液化石油气，与之签订安全供气协议并索要购气凭证，购气凭证应当准确记载钢瓶注册登记代码，明确双方职责。</w:t>
      </w:r>
    </w:p>
    <w:p w14:paraId="125EE4FD">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（二）钢瓶使用注意事项</w:t>
      </w:r>
    </w:p>
    <w:p w14:paraId="745DE2C7">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a.钢瓶使用环境最高温度不得超过45℃，不得用火烧烤、浇热水等办法加热钢瓶，也不能在阳光下曝晒钢瓶。</w:t>
      </w:r>
    </w:p>
    <w:p w14:paraId="56336C3C">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b.禁止在地下、半地下空间内使用液化石油气，禁止在二楼（含二楼）以上房屋使用50kg钢瓶的液化石油气。</w:t>
      </w:r>
    </w:p>
    <w:p w14:paraId="592FAA46">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c.液化石油气的瓶库内不得堆放易燃、易爆物品，严禁在同一房间内同时使用液化石油气和其他明火。</w:t>
      </w:r>
    </w:p>
    <w:p w14:paraId="16CC5ACD">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d.用气场所应当按照有关规定安装可燃气体浓度报警装置，配备干粉灭火器等消防器材。</w:t>
      </w:r>
    </w:p>
    <w:p w14:paraId="4276F592">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e.定期更换减压器、胶管、密封圈（必须是有资质厂家生产的产品）。</w:t>
      </w:r>
    </w:p>
    <w:p w14:paraId="19930FC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f.根据属地管理要求，未设置独立建筑用于贮存液化石油气钢瓶的企业，生产车间内液化石油气最大贮存量不得超过3瓶。</w:t>
      </w:r>
    </w:p>
    <w:p w14:paraId="1501604B">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（三）用气器具使用注意事项</w:t>
      </w:r>
    </w:p>
    <w:p w14:paraId="15A4FD38">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a.用气时，要有人看守，防止水质物溢出，浇灭火焰，造成液化石油气泄漏事故。</w:t>
      </w:r>
    </w:p>
    <w:p w14:paraId="39C6175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b.发现用气器具、钢瓶及连接部位出现液化石油气泄漏（有异味）时，要立即关闭钢瓶角阀、打开门窗通风散气；维持室内所有电气开关现状，此时不要开关灯、开关电器打电话，应到室外使用收集等通讯工具与外界联系、报警。</w:t>
      </w:r>
    </w:p>
    <w:p w14:paraId="6F998E1E">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c.不要私自修理用气器具，严禁私自放气，须立即与专业维修单位或销售网点专业人员联系处理。</w:t>
      </w:r>
    </w:p>
    <w:p w14:paraId="2C02586D">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d.发生火灾，应立即用浸湿的毛巾把钢瓶角阀关上，并将钢瓶转移至室外空旷处，拨打119报警。已购买保险的用户，须同时通知保险公司，并与销售网点联系。</w:t>
      </w:r>
    </w:p>
    <w:p w14:paraId="22A3730D">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C、火灾爆炸事故风险防范措施</w:t>
      </w:r>
    </w:p>
    <w:p w14:paraId="44FAD725">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1）控制与消除火源</w:t>
      </w:r>
    </w:p>
    <w:p w14:paraId="3D7E1A12">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工作时严禁吸烟、携带火种等进入易燃易爆区；使用防爆型电器；严禁钢制工具敲打、撞击、抛掷；安装避雷装置；转动设备部位要保持清洁，防止因摩擦引起杂物等燃烧；化学品物料运输要请专门的、有资质的运输单位，运用专用的设备进行运输。</w:t>
      </w:r>
    </w:p>
    <w:p w14:paraId="0DC17CFC">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2）加强管理、严格纪律，遵守各项规章制度和操作规程，严格执行岗位责任制；坚持巡回检查，发现问题及时处理；加强培训、教育和考核工作。</w:t>
      </w:r>
    </w:p>
    <w:p w14:paraId="5A6C58D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D、物料贮存风险防范措施</w:t>
      </w:r>
    </w:p>
    <w:p w14:paraId="70751EF3">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1）原料存放点阴凉通风，远离热源、火种，防止日光曝晒，严禁受热。库内照明应采用防爆照明灯，存放点周围不得堆放任何可燃材料。</w:t>
      </w:r>
    </w:p>
    <w:p w14:paraId="456F39DC">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2）原材料区有专人管理，要有消防器材，要有醒目的防火标志。在原材料区张贴防火标示，并配有进出台账管理。</w:t>
      </w:r>
    </w:p>
    <w:p w14:paraId="7AA6CCF8">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3）危废仓库从严建设，进一步根据《危险废物污染防治技术政策》和《危险废物贮存污染控制标准》进行完善。同时建立健全固体废弃物管理制度和管理程式，固体废弃物应按照性质分类收集并有专人管理，进行监督登记并设置相应的应急救援器材和物资、每年进行预案演练，完善风险防控系统。</w:t>
      </w:r>
    </w:p>
    <w:p w14:paraId="6D97EAA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4）对员工进行日常风险教育和培训，提高安全防范知识的宣传力度。企业定期对员工进行安全培训教育，从控制过程减少了风险事故的产生。</w:t>
      </w:r>
    </w:p>
    <w:p w14:paraId="30974CDD">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E、环保设施风险防范措施</w:t>
      </w:r>
    </w:p>
    <w:p w14:paraId="03D519F8">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 xml:space="preserve">根据《关于加强工业企业环保设施安全生产工作的指导意见》（浙应急基础[2022]143 号），新、改、扩建重点环保设施应纳入建设项目管理，充分考虑安全风险，确保风险可控后方可实施。本项目涉及的重点环保设施为二级活性炭吸附装置等。应按照以下相关规定落实安全生产工作： </w:t>
      </w:r>
    </w:p>
    <w:p w14:paraId="4C8F9772">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设计阶段。企业应当委托有相应资质（建设部门核发的综合、行业专项等设计资质）的设计单位对建设项目（含环保设施）进行设计，落实安全生产相关技术要求，自行开展或组织环保和安全生产有关专家参与设计审查，出具审查报告，并案审查意见进行修改完善。</w:t>
      </w:r>
    </w:p>
    <w:p w14:paraId="4009EB7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建设和验收阶段。建设单位应严格按照设计方案和相关施工技术标准、规范施工。建设项目竣工后，建设单位应当按照法律、法规规定的标准和程序，对环保设施进行验收，确保环保设施符合生态环境和安全生产要求，并形成书面报告。</w:t>
      </w:r>
    </w:p>
    <w:p w14:paraId="0C9E78AE">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3）严格落实企业主体责任。企业要把环保设施安全落实到生产经营工作全过程各方面，建立环保设施台账和维护管理制度，对环保设施操作、危险作业等相关岗位人员开展安全操作规程、风险管控、应急处置等专项安全培训教育。要依法依规开展环保设施安全风险辨识管控和隐患排查治理，定期进行安全可靠性鉴定，设置必要的安全监测监控系统和连锁保护，严格日常安全检查。要严格执行吊装、动火、登高、有限空间、检维修等危险作业审批制度，落实安全隔离措施，实施现场安全监护，配齐应急处置装备，确保环保设施安全、温度、有效运行。</w:t>
      </w:r>
    </w:p>
    <w:p w14:paraId="017180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四、环境保护设施调试监测结果</w:t>
      </w:r>
    </w:p>
    <w:p w14:paraId="198510B4">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kern w:val="0"/>
          <w:sz w:val="24"/>
          <w:highlight w:val="none"/>
          <w:lang w:val="en-US" w:eastAsia="zh-CN"/>
        </w:rPr>
        <w:t>湖州天亿环境检测有限公司</w:t>
      </w:r>
      <w:r>
        <w:rPr>
          <w:rFonts w:hint="default" w:ascii="Times New Roman" w:hAnsi="Times New Roman" w:eastAsia="宋体" w:cs="Times New Roman"/>
          <w:color w:val="auto"/>
          <w:kern w:val="0"/>
          <w:sz w:val="24"/>
          <w:highlight w:val="none"/>
        </w:rPr>
        <w:t>对</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项目进行了环境保护验收监测（报告编号：</w:t>
      </w:r>
      <w:r>
        <w:rPr>
          <w:rFonts w:hint="default" w:ascii="Times New Roman" w:hAnsi="Times New Roman" w:eastAsia="宋体" w:cs="Times New Roman"/>
          <w:snapToGrid/>
          <w:color w:val="auto"/>
          <w:spacing w:val="-3"/>
          <w:kern w:val="2"/>
          <w:sz w:val="24"/>
          <w:szCs w:val="24"/>
          <w:highlight w:val="none"/>
          <w:lang w:val="en-US" w:eastAsia="zh-CN" w:bidi="ar-SA"/>
        </w:rPr>
        <w:t>天亿检测（2025）检065号</w:t>
      </w:r>
      <w:r>
        <w:rPr>
          <w:rFonts w:hint="default" w:ascii="Times New Roman" w:hAnsi="Times New Roman" w:eastAsia="宋体" w:cs="Times New Roman"/>
          <w:color w:val="auto"/>
          <w:kern w:val="0"/>
          <w:sz w:val="24"/>
          <w:highlight w:val="none"/>
        </w:rPr>
        <w:t>。监测期间，验收</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w:t>
      </w:r>
      <w:r>
        <w:rPr>
          <w:rFonts w:hint="eastAsia" w:ascii="Times New Roman" w:hAnsi="Times New Roman" w:cs="Times New Roman"/>
          <w:color w:val="auto"/>
          <w:kern w:val="0"/>
          <w:sz w:val="24"/>
          <w:highlight w:val="none"/>
          <w:lang w:val="en-US" w:eastAsia="zh-CN"/>
        </w:rPr>
        <w:t>时</w:t>
      </w:r>
      <w:r>
        <w:rPr>
          <w:rFonts w:hint="default" w:ascii="Times New Roman" w:hAnsi="Times New Roman" w:eastAsia="宋体" w:cs="Times New Roman"/>
          <w:color w:val="auto"/>
          <w:kern w:val="0"/>
          <w:sz w:val="24"/>
          <w:highlight w:val="none"/>
        </w:rPr>
        <w:t>生产工况正常，符合竣工验收工况负荷要求。</w:t>
      </w:r>
    </w:p>
    <w:p w14:paraId="4FF7D121">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（一）环保设施处理效率</w:t>
      </w:r>
    </w:p>
    <w:p w14:paraId="17DDAB71">
      <w:pPr>
        <w:pStyle w:val="8"/>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（1）废水处理设施</w:t>
      </w:r>
    </w:p>
    <w:p w14:paraId="1FE2EA7A">
      <w:pPr>
        <w:pStyle w:val="8"/>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cs="Times New Roman"/>
          <w:color w:val="auto"/>
          <w:sz w:val="24"/>
          <w:highlight w:val="none"/>
          <w:lang w:val="en-US" w:eastAsia="zh-CN"/>
        </w:rPr>
        <w:t>本</w:t>
      </w:r>
      <w:r>
        <w:rPr>
          <w:rFonts w:ascii="Times New Roman" w:hAnsi="Times New Roman" w:eastAsia="宋体" w:cs="Times New Roman"/>
          <w:color w:val="auto"/>
          <w:sz w:val="24"/>
          <w:highlight w:val="none"/>
        </w:rPr>
        <w:t>项目</w:t>
      </w:r>
      <w:r>
        <w:rPr>
          <w:rFonts w:hint="eastAsia" w:ascii="Times New Roman" w:hAnsi="Times New Roman" w:cs="Times New Roman"/>
          <w:color w:val="auto"/>
          <w:sz w:val="24"/>
          <w:highlight w:val="none"/>
          <w:lang w:val="en-US" w:eastAsia="zh-CN"/>
        </w:rPr>
        <w:t>无</w:t>
      </w:r>
      <w:r>
        <w:rPr>
          <w:rFonts w:ascii="Times New Roman" w:hAnsi="Times New Roman" w:eastAsia="宋体" w:cs="Times New Roman"/>
          <w:color w:val="auto"/>
          <w:sz w:val="24"/>
          <w:highlight w:val="none"/>
        </w:rPr>
        <w:t>生产废水</w:t>
      </w:r>
      <w:r>
        <w:rPr>
          <w:rFonts w:hint="eastAsia" w:ascii="Times New Roman" w:hAnsi="Times New Roman" w:cs="Times New Roman"/>
          <w:color w:val="auto"/>
          <w:sz w:val="24"/>
          <w:highlight w:val="none"/>
          <w:lang w:val="en-US" w:eastAsia="zh-CN"/>
        </w:rPr>
        <w:t>产生，不涉及</w:t>
      </w:r>
      <w:r>
        <w:rPr>
          <w:rFonts w:ascii="Times New Roman" w:hAnsi="Times New Roman" w:eastAsia="宋体" w:cs="Times New Roman"/>
          <w:color w:val="auto"/>
          <w:sz w:val="24"/>
          <w:highlight w:val="none"/>
        </w:rPr>
        <w:t>废水处理设施处理效率问题。</w:t>
      </w:r>
    </w:p>
    <w:p w14:paraId="7BD53FA5">
      <w:pPr>
        <w:pStyle w:val="8"/>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（2）废气处理设施</w:t>
      </w:r>
    </w:p>
    <w:p w14:paraId="0F590878">
      <w:pPr>
        <w:pStyle w:val="8"/>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污染物去除效率根据废气处理设施进出口检测数据计算，得到项目配备废气处理设施对工业烟粉尘、挥发性有机</w:t>
      </w:r>
      <w:r>
        <w:rPr>
          <w:rFonts w:hint="default" w:ascii="Times New Roman" w:hAnsi="Times New Roman" w:eastAsia="宋体" w:cs="Times New Roman"/>
          <w:color w:val="auto"/>
          <w:sz w:val="24"/>
          <w:highlight w:val="none"/>
          <w:lang w:val="en-US" w:eastAsia="zh-CN"/>
        </w:rPr>
        <w:t>物（VOCs）</w:t>
      </w:r>
      <w:r>
        <w:rPr>
          <w:rFonts w:hint="eastAsia" w:ascii="Times New Roman" w:hAnsi="Times New Roman" w:eastAsia="宋体" w:cs="Times New Roman"/>
          <w:color w:val="auto"/>
          <w:sz w:val="24"/>
          <w:highlight w:val="none"/>
          <w:lang w:val="en-US" w:eastAsia="zh-CN"/>
        </w:rPr>
        <w:t>的去除效率，具体见下表</w:t>
      </w:r>
      <w:r>
        <w:rPr>
          <w:rFonts w:hint="eastAsia" w:ascii="Times New Roman" w:hAnsi="Times New Roman" w:cs="Times New Roman"/>
          <w:color w:val="auto"/>
          <w:sz w:val="24"/>
          <w:highlight w:val="none"/>
          <w:lang w:eastAsia="zh-CN"/>
        </w:rPr>
        <w:t>。</w:t>
      </w:r>
    </w:p>
    <w:p w14:paraId="5BCB999C">
      <w:pPr>
        <w:pStyle w:val="9"/>
        <w:keepNext w:val="0"/>
        <w:keepLines w:val="0"/>
        <w:widowControl w:val="0"/>
        <w:suppressLineNumbers w:val="0"/>
        <w:autoSpaceDE w:val="0"/>
        <w:autoSpaceDN/>
        <w:spacing w:before="0" w:beforeAutospacing="0" w:after="0" w:afterLines="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default" w:ascii="Times New Roman" w:hAnsi="Times New Roman" w:eastAsia="宋体" w:cs="Times New Roman"/>
          <w:b/>
          <w:bCs/>
          <w:color w:val="auto"/>
          <w:kern w:val="2"/>
          <w:sz w:val="21"/>
          <w:szCs w:val="21"/>
          <w:lang w:val="en-US" w:eastAsia="zh-CN" w:bidi="ar"/>
        </w:rPr>
        <w:t xml:space="preserve">1  </w:t>
      </w:r>
      <w:r>
        <w:rPr>
          <w:rFonts w:hint="eastAsia" w:ascii="宋体" w:hAnsi="宋体" w:eastAsia="宋体" w:cs="宋体"/>
          <w:b/>
          <w:bCs/>
          <w:color w:val="auto"/>
          <w:kern w:val="2"/>
          <w:sz w:val="21"/>
          <w:szCs w:val="21"/>
          <w:lang w:val="en-US" w:eastAsia="zh-CN" w:bidi="ar"/>
        </w:rPr>
        <w:t>废气处理效果一览表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85"/>
        <w:gridCol w:w="1961"/>
        <w:gridCol w:w="1921"/>
        <w:gridCol w:w="1922"/>
        <w:gridCol w:w="1759"/>
      </w:tblGrid>
      <w:tr w14:paraId="543D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BFC17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废气处理设施</w:t>
            </w:r>
          </w:p>
        </w:tc>
        <w:tc>
          <w:tcPr>
            <w:tcW w:w="1861" w:type="dxa"/>
            <w:vMerge w:val="restart"/>
            <w:tcBorders>
              <w:top w:val="single" w:color="auto" w:sz="4" w:space="0"/>
              <w:left w:val="nil"/>
              <w:bottom w:val="single" w:color="auto" w:sz="4" w:space="0"/>
              <w:right w:val="single" w:color="auto" w:sz="4" w:space="0"/>
            </w:tcBorders>
            <w:shd w:val="clear" w:color="auto" w:fill="auto"/>
            <w:vAlign w:val="center"/>
          </w:tcPr>
          <w:p w14:paraId="42F8CED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污染物</w:t>
            </w:r>
          </w:p>
        </w:tc>
        <w:tc>
          <w:tcPr>
            <w:tcW w:w="1823" w:type="dxa"/>
            <w:tcBorders>
              <w:top w:val="single" w:color="auto" w:sz="4" w:space="0"/>
              <w:left w:val="nil"/>
              <w:bottom w:val="single" w:color="auto" w:sz="4" w:space="0"/>
              <w:right w:val="single" w:color="auto" w:sz="4" w:space="0"/>
            </w:tcBorders>
            <w:shd w:val="clear" w:color="auto" w:fill="auto"/>
            <w:vAlign w:val="center"/>
          </w:tcPr>
          <w:p w14:paraId="6903FC1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进口</w:t>
            </w:r>
          </w:p>
        </w:tc>
        <w:tc>
          <w:tcPr>
            <w:tcW w:w="1824" w:type="dxa"/>
            <w:tcBorders>
              <w:top w:val="single" w:color="auto" w:sz="4" w:space="0"/>
              <w:left w:val="nil"/>
              <w:bottom w:val="single" w:color="auto" w:sz="4" w:space="0"/>
              <w:right w:val="single" w:color="auto" w:sz="4" w:space="0"/>
            </w:tcBorders>
            <w:shd w:val="clear" w:color="auto" w:fill="auto"/>
            <w:vAlign w:val="center"/>
          </w:tcPr>
          <w:p w14:paraId="1E24B9E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出口</w:t>
            </w:r>
          </w:p>
        </w:tc>
        <w:tc>
          <w:tcPr>
            <w:tcW w:w="1669" w:type="dxa"/>
            <w:vMerge w:val="restart"/>
            <w:tcBorders>
              <w:top w:val="single" w:color="auto" w:sz="4" w:space="0"/>
              <w:left w:val="nil"/>
              <w:bottom w:val="single" w:color="auto" w:sz="4" w:space="0"/>
              <w:right w:val="single" w:color="auto" w:sz="4" w:space="0"/>
            </w:tcBorders>
            <w:shd w:val="clear" w:color="auto" w:fill="auto"/>
            <w:vAlign w:val="center"/>
          </w:tcPr>
          <w:p w14:paraId="055C1F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去除效率（</w:t>
            </w:r>
            <w:r>
              <w:rPr>
                <w:rFonts w:hint="default" w:ascii="Times New Roman" w:hAnsi="Times New Roman" w:eastAsia="宋体" w:cs="Times New Roman"/>
                <w:b/>
                <w:bCs/>
                <w:color w:val="auto"/>
                <w:kern w:val="2"/>
                <w:sz w:val="21"/>
                <w:szCs w:val="21"/>
                <w:lang w:val="en-US" w:eastAsia="zh-CN" w:bidi="ar"/>
              </w:rPr>
              <w:t>%</w:t>
            </w:r>
            <w:r>
              <w:rPr>
                <w:rFonts w:hint="eastAsia" w:ascii="宋体" w:hAnsi="宋体" w:eastAsia="宋体" w:cs="宋体"/>
                <w:b/>
                <w:bCs/>
                <w:color w:val="auto"/>
                <w:kern w:val="2"/>
                <w:sz w:val="21"/>
                <w:szCs w:val="21"/>
                <w:lang w:val="en-US" w:eastAsia="zh-CN" w:bidi="ar"/>
              </w:rPr>
              <w:t>）</w:t>
            </w:r>
          </w:p>
        </w:tc>
      </w:tr>
      <w:tr w14:paraId="412F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C6B4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861" w:type="dxa"/>
            <w:vMerge w:val="continue"/>
            <w:tcBorders>
              <w:top w:val="single" w:color="auto" w:sz="4" w:space="0"/>
              <w:left w:val="nil"/>
              <w:bottom w:val="single" w:color="auto" w:sz="4" w:space="0"/>
              <w:right w:val="single" w:color="auto" w:sz="4" w:space="0"/>
            </w:tcBorders>
            <w:shd w:val="clear" w:color="auto" w:fill="auto"/>
            <w:vAlign w:val="center"/>
          </w:tcPr>
          <w:p w14:paraId="5A9318E1">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823" w:type="dxa"/>
            <w:tcBorders>
              <w:top w:val="single" w:color="auto" w:sz="4" w:space="0"/>
              <w:left w:val="nil"/>
              <w:bottom w:val="single" w:color="auto" w:sz="4" w:space="0"/>
              <w:right w:val="single" w:color="auto" w:sz="4" w:space="0"/>
            </w:tcBorders>
            <w:shd w:val="clear" w:color="auto" w:fill="auto"/>
            <w:vAlign w:val="center"/>
          </w:tcPr>
          <w:p w14:paraId="54D3862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平均速率（</w:t>
            </w:r>
            <w:r>
              <w:rPr>
                <w:rFonts w:hint="default" w:ascii="Times New Roman" w:hAnsi="Times New Roman" w:eastAsia="宋体" w:cs="Times New Roman"/>
                <w:b/>
                <w:bCs/>
                <w:color w:val="auto"/>
                <w:kern w:val="2"/>
                <w:sz w:val="21"/>
                <w:szCs w:val="21"/>
                <w:lang w:val="en-US" w:eastAsia="zh-CN" w:bidi="ar"/>
              </w:rPr>
              <w:t>kg/h</w:t>
            </w:r>
            <w:r>
              <w:rPr>
                <w:rFonts w:hint="eastAsia" w:ascii="宋体" w:hAnsi="宋体" w:eastAsia="宋体" w:cs="宋体"/>
                <w:b/>
                <w:bCs/>
                <w:color w:val="auto"/>
                <w:kern w:val="2"/>
                <w:sz w:val="21"/>
                <w:szCs w:val="21"/>
                <w:lang w:val="en-US" w:eastAsia="zh-CN" w:bidi="ar"/>
              </w:rPr>
              <w:t>）</w:t>
            </w:r>
          </w:p>
        </w:tc>
        <w:tc>
          <w:tcPr>
            <w:tcW w:w="1824" w:type="dxa"/>
            <w:tcBorders>
              <w:top w:val="single" w:color="auto" w:sz="4" w:space="0"/>
              <w:left w:val="nil"/>
              <w:bottom w:val="single" w:color="auto" w:sz="4" w:space="0"/>
              <w:right w:val="single" w:color="auto" w:sz="4" w:space="0"/>
            </w:tcBorders>
            <w:shd w:val="clear" w:color="auto" w:fill="auto"/>
            <w:vAlign w:val="center"/>
          </w:tcPr>
          <w:p w14:paraId="216A94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平均速率（</w:t>
            </w:r>
            <w:r>
              <w:rPr>
                <w:rFonts w:hint="default" w:ascii="Times New Roman" w:hAnsi="Times New Roman" w:eastAsia="宋体" w:cs="Times New Roman"/>
                <w:b/>
                <w:bCs/>
                <w:color w:val="auto"/>
                <w:kern w:val="2"/>
                <w:sz w:val="21"/>
                <w:szCs w:val="21"/>
                <w:lang w:val="en-US" w:eastAsia="zh-CN" w:bidi="ar"/>
              </w:rPr>
              <w:t>kg/h</w:t>
            </w:r>
            <w:r>
              <w:rPr>
                <w:rFonts w:hint="eastAsia" w:ascii="宋体" w:hAnsi="宋体" w:eastAsia="宋体" w:cs="宋体"/>
                <w:b/>
                <w:bCs/>
                <w:color w:val="auto"/>
                <w:kern w:val="2"/>
                <w:sz w:val="21"/>
                <w:szCs w:val="21"/>
                <w:lang w:val="en-US" w:eastAsia="zh-CN" w:bidi="ar"/>
              </w:rPr>
              <w:t>）</w:t>
            </w:r>
          </w:p>
        </w:tc>
        <w:tc>
          <w:tcPr>
            <w:tcW w:w="1669" w:type="dxa"/>
            <w:vMerge w:val="continue"/>
            <w:tcBorders>
              <w:top w:val="single" w:color="auto" w:sz="4" w:space="0"/>
              <w:left w:val="nil"/>
              <w:bottom w:val="single" w:color="auto" w:sz="4" w:space="0"/>
              <w:right w:val="single" w:color="auto" w:sz="4" w:space="0"/>
            </w:tcBorders>
            <w:shd w:val="clear" w:color="auto" w:fill="auto"/>
            <w:vAlign w:val="center"/>
          </w:tcPr>
          <w:p w14:paraId="7856B096">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r>
      <w:tr w14:paraId="12CD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5" w:type="dxa"/>
            <w:vMerge w:val="restart"/>
            <w:tcBorders>
              <w:top w:val="nil"/>
              <w:left w:val="single" w:color="auto" w:sz="4" w:space="0"/>
              <w:bottom w:val="single" w:color="auto" w:sz="4" w:space="0"/>
              <w:right w:val="single" w:color="auto" w:sz="4" w:space="0"/>
            </w:tcBorders>
            <w:shd w:val="clear" w:color="auto" w:fill="auto"/>
            <w:vAlign w:val="center"/>
          </w:tcPr>
          <w:p w14:paraId="6326C78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旋风回收</w:t>
            </w:r>
            <w:r>
              <w:rPr>
                <w:rFonts w:hint="default" w:ascii="Times New Roman" w:hAnsi="Times New Roman" w:eastAsia="宋体" w:cs="Times New Roman"/>
                <w:bCs/>
                <w:color w:val="auto"/>
                <w:kern w:val="2"/>
                <w:sz w:val="21"/>
                <w:szCs w:val="21"/>
                <w:lang w:val="en-US" w:eastAsia="zh-CN" w:bidi="ar"/>
              </w:rPr>
              <w:t>+</w:t>
            </w:r>
            <w:r>
              <w:rPr>
                <w:rFonts w:hint="eastAsia" w:ascii="宋体" w:hAnsi="宋体" w:eastAsia="宋体" w:cs="宋体"/>
                <w:bCs/>
                <w:color w:val="auto"/>
                <w:kern w:val="2"/>
                <w:sz w:val="21"/>
                <w:szCs w:val="21"/>
                <w:lang w:val="en-US" w:eastAsia="zh-CN" w:bidi="ar"/>
              </w:rPr>
              <w:t>布袋除尘装置（</w:t>
            </w:r>
            <w:r>
              <w:rPr>
                <w:rFonts w:hint="default" w:ascii="Times New Roman" w:hAnsi="Times New Roman" w:eastAsia="宋体" w:cs="Times New Roman"/>
                <w:bCs/>
                <w:color w:val="auto"/>
                <w:kern w:val="2"/>
                <w:sz w:val="21"/>
                <w:szCs w:val="21"/>
                <w:lang w:val="en-US" w:eastAsia="zh-CN" w:bidi="ar"/>
              </w:rPr>
              <w:t>TA001</w:t>
            </w:r>
            <w:r>
              <w:rPr>
                <w:rFonts w:hint="eastAsia" w:ascii="宋体" w:hAnsi="宋体" w:eastAsia="宋体" w:cs="宋体"/>
                <w:bCs/>
                <w:color w:val="auto"/>
                <w:kern w:val="2"/>
                <w:sz w:val="21"/>
                <w:szCs w:val="21"/>
                <w:lang w:val="en-US" w:eastAsia="zh-CN" w:bidi="ar"/>
              </w:rPr>
              <w:t>）</w:t>
            </w:r>
          </w:p>
        </w:tc>
        <w:tc>
          <w:tcPr>
            <w:tcW w:w="1861" w:type="dxa"/>
            <w:tcBorders>
              <w:top w:val="nil"/>
              <w:left w:val="nil"/>
              <w:bottom w:val="single" w:color="auto" w:sz="4" w:space="0"/>
              <w:right w:val="single" w:color="auto" w:sz="4" w:space="0"/>
            </w:tcBorders>
            <w:shd w:val="clear" w:color="auto" w:fill="auto"/>
            <w:vAlign w:val="center"/>
          </w:tcPr>
          <w:p w14:paraId="0AF9DF3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颗粒物（</w:t>
            </w:r>
            <w:r>
              <w:rPr>
                <w:rFonts w:hint="default" w:ascii="Times New Roman" w:hAnsi="Times New Roman" w:eastAsia="宋体" w:cs="Times New Roman"/>
                <w:color w:val="auto"/>
                <w:kern w:val="2"/>
                <w:sz w:val="21"/>
                <w:szCs w:val="21"/>
                <w:lang w:val="en-US" w:eastAsia="zh-CN" w:bidi="ar"/>
              </w:rPr>
              <w:t>2024.12.16</w:t>
            </w:r>
            <w:r>
              <w:rPr>
                <w:rFonts w:hint="eastAsia" w:ascii="宋体" w:hAnsi="宋体" w:eastAsia="宋体" w:cs="宋体"/>
                <w:color w:val="auto"/>
                <w:kern w:val="2"/>
                <w:sz w:val="21"/>
                <w:szCs w:val="21"/>
                <w:lang w:val="en-US" w:eastAsia="zh-CN" w:bidi="ar"/>
              </w:rPr>
              <w:t>）</w:t>
            </w:r>
          </w:p>
        </w:tc>
        <w:tc>
          <w:tcPr>
            <w:tcW w:w="1823" w:type="dxa"/>
            <w:tcBorders>
              <w:top w:val="single" w:color="auto" w:sz="4" w:space="0"/>
              <w:left w:val="nil"/>
              <w:bottom w:val="single" w:color="auto" w:sz="4" w:space="0"/>
              <w:right w:val="single" w:color="auto" w:sz="4" w:space="0"/>
            </w:tcBorders>
            <w:shd w:val="clear" w:color="auto" w:fill="auto"/>
            <w:vAlign w:val="center"/>
          </w:tcPr>
          <w:p w14:paraId="523DBD0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0.222</w:t>
            </w:r>
          </w:p>
        </w:tc>
        <w:tc>
          <w:tcPr>
            <w:tcW w:w="1824" w:type="dxa"/>
            <w:tcBorders>
              <w:top w:val="single" w:color="auto" w:sz="4" w:space="0"/>
              <w:left w:val="nil"/>
              <w:bottom w:val="single" w:color="auto" w:sz="4" w:space="0"/>
              <w:right w:val="single" w:color="auto" w:sz="4" w:space="0"/>
            </w:tcBorders>
            <w:shd w:val="clear" w:color="auto" w:fill="auto"/>
            <w:vAlign w:val="center"/>
          </w:tcPr>
          <w:p w14:paraId="070D9E10">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1.21</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669" w:type="dxa"/>
            <w:tcBorders>
              <w:top w:val="single" w:color="auto" w:sz="4" w:space="0"/>
              <w:left w:val="nil"/>
              <w:bottom w:val="single" w:color="auto" w:sz="4" w:space="0"/>
              <w:right w:val="single" w:color="auto" w:sz="4" w:space="0"/>
            </w:tcBorders>
            <w:shd w:val="clear" w:color="auto" w:fill="auto"/>
            <w:vAlign w:val="center"/>
          </w:tcPr>
          <w:p w14:paraId="55AAF871">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94.55%</w:t>
            </w:r>
          </w:p>
        </w:tc>
      </w:tr>
      <w:tr w14:paraId="5B38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5" w:type="dxa"/>
            <w:vMerge w:val="continue"/>
            <w:tcBorders>
              <w:top w:val="nil"/>
              <w:left w:val="single" w:color="auto" w:sz="4" w:space="0"/>
              <w:bottom w:val="single" w:color="auto" w:sz="4" w:space="0"/>
              <w:right w:val="single" w:color="auto" w:sz="4" w:space="0"/>
            </w:tcBorders>
            <w:shd w:val="clear" w:color="auto" w:fill="auto"/>
            <w:vAlign w:val="center"/>
          </w:tcPr>
          <w:p w14:paraId="27C99A3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861" w:type="dxa"/>
            <w:tcBorders>
              <w:top w:val="nil"/>
              <w:left w:val="nil"/>
              <w:bottom w:val="single" w:color="auto" w:sz="4" w:space="0"/>
              <w:right w:val="single" w:color="auto" w:sz="4" w:space="0"/>
            </w:tcBorders>
            <w:shd w:val="clear" w:color="auto" w:fill="auto"/>
            <w:vAlign w:val="center"/>
          </w:tcPr>
          <w:p w14:paraId="1B691C9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颗粒物（</w:t>
            </w:r>
            <w:r>
              <w:rPr>
                <w:rFonts w:hint="default" w:ascii="Times New Roman" w:hAnsi="Times New Roman" w:eastAsia="宋体" w:cs="Times New Roman"/>
                <w:color w:val="auto"/>
                <w:kern w:val="2"/>
                <w:sz w:val="21"/>
                <w:szCs w:val="21"/>
                <w:lang w:val="en-US" w:eastAsia="zh-CN" w:bidi="ar"/>
              </w:rPr>
              <w:t>2024.12.17</w:t>
            </w:r>
            <w:r>
              <w:rPr>
                <w:rFonts w:hint="eastAsia" w:ascii="宋体" w:hAnsi="宋体" w:eastAsia="宋体" w:cs="宋体"/>
                <w:color w:val="auto"/>
                <w:kern w:val="2"/>
                <w:sz w:val="21"/>
                <w:szCs w:val="21"/>
                <w:lang w:val="en-US" w:eastAsia="zh-CN" w:bidi="ar"/>
              </w:rPr>
              <w:t>）</w:t>
            </w:r>
          </w:p>
        </w:tc>
        <w:tc>
          <w:tcPr>
            <w:tcW w:w="1823" w:type="dxa"/>
            <w:tcBorders>
              <w:top w:val="single" w:color="auto" w:sz="4" w:space="0"/>
              <w:left w:val="nil"/>
              <w:bottom w:val="single" w:color="auto" w:sz="4" w:space="0"/>
              <w:right w:val="single" w:color="auto" w:sz="4" w:space="0"/>
            </w:tcBorders>
            <w:shd w:val="clear" w:color="auto" w:fill="auto"/>
            <w:vAlign w:val="center"/>
          </w:tcPr>
          <w:p w14:paraId="78AA5F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0.177</w:t>
            </w:r>
          </w:p>
        </w:tc>
        <w:tc>
          <w:tcPr>
            <w:tcW w:w="1824" w:type="dxa"/>
            <w:tcBorders>
              <w:top w:val="single" w:color="auto" w:sz="4" w:space="0"/>
              <w:left w:val="nil"/>
              <w:bottom w:val="single" w:color="auto" w:sz="4" w:space="0"/>
              <w:right w:val="single" w:color="auto" w:sz="4" w:space="0"/>
            </w:tcBorders>
            <w:shd w:val="clear" w:color="auto" w:fill="auto"/>
            <w:vAlign w:val="center"/>
          </w:tcPr>
          <w:p w14:paraId="4A807D14">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1.12</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669" w:type="dxa"/>
            <w:tcBorders>
              <w:top w:val="single" w:color="auto" w:sz="4" w:space="0"/>
              <w:left w:val="nil"/>
              <w:bottom w:val="single" w:color="auto" w:sz="4" w:space="0"/>
              <w:right w:val="single" w:color="auto" w:sz="4" w:space="0"/>
            </w:tcBorders>
            <w:shd w:val="clear" w:color="auto" w:fill="auto"/>
            <w:vAlign w:val="center"/>
          </w:tcPr>
          <w:p w14:paraId="647CD381">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93.67%</w:t>
            </w:r>
          </w:p>
        </w:tc>
      </w:tr>
      <w:tr w14:paraId="6C09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5" w:type="dxa"/>
            <w:vMerge w:val="restart"/>
            <w:tcBorders>
              <w:top w:val="nil"/>
              <w:left w:val="single" w:color="auto" w:sz="4" w:space="0"/>
              <w:bottom w:val="single" w:color="auto" w:sz="4" w:space="0"/>
              <w:right w:val="single" w:color="auto" w:sz="4" w:space="0"/>
            </w:tcBorders>
            <w:shd w:val="clear" w:color="auto" w:fill="auto"/>
            <w:vAlign w:val="center"/>
          </w:tcPr>
          <w:p w14:paraId="5958DD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水喷淋</w:t>
            </w:r>
            <w:r>
              <w:rPr>
                <w:rFonts w:hint="default" w:ascii="Times New Roman" w:hAnsi="Times New Roman" w:eastAsia="宋体" w:cs="Times New Roman"/>
                <w:bCs/>
                <w:color w:val="auto"/>
                <w:kern w:val="2"/>
                <w:sz w:val="21"/>
                <w:szCs w:val="21"/>
                <w:lang w:val="en-US" w:eastAsia="zh-CN" w:bidi="ar"/>
              </w:rPr>
              <w:t>+</w:t>
            </w:r>
            <w:r>
              <w:rPr>
                <w:rFonts w:hint="eastAsia" w:ascii="宋体" w:hAnsi="宋体" w:eastAsia="宋体" w:cs="宋体"/>
                <w:bCs/>
                <w:color w:val="auto"/>
                <w:kern w:val="2"/>
                <w:sz w:val="21"/>
                <w:szCs w:val="21"/>
                <w:lang w:val="en-US" w:eastAsia="zh-CN" w:bidi="ar"/>
              </w:rPr>
              <w:t>干式过滤</w:t>
            </w:r>
            <w:r>
              <w:rPr>
                <w:rFonts w:hint="default" w:ascii="Times New Roman" w:hAnsi="Times New Roman" w:eastAsia="宋体" w:cs="Times New Roman"/>
                <w:bCs/>
                <w:color w:val="auto"/>
                <w:kern w:val="2"/>
                <w:sz w:val="21"/>
                <w:szCs w:val="21"/>
                <w:lang w:val="en-US" w:eastAsia="zh-CN" w:bidi="ar"/>
              </w:rPr>
              <w:t>+</w:t>
            </w:r>
            <w:r>
              <w:rPr>
                <w:rFonts w:hint="eastAsia" w:ascii="宋体" w:hAnsi="宋体" w:eastAsia="宋体" w:cs="宋体"/>
                <w:bCs/>
                <w:color w:val="auto"/>
                <w:kern w:val="2"/>
                <w:sz w:val="21"/>
                <w:szCs w:val="21"/>
                <w:lang w:val="en-US" w:eastAsia="zh-CN" w:bidi="ar"/>
              </w:rPr>
              <w:t>二级活性炭吸附（</w:t>
            </w:r>
            <w:r>
              <w:rPr>
                <w:rFonts w:hint="default" w:ascii="Times New Roman" w:hAnsi="Times New Roman" w:eastAsia="宋体" w:cs="Times New Roman"/>
                <w:bCs/>
                <w:color w:val="auto"/>
                <w:kern w:val="2"/>
                <w:sz w:val="21"/>
                <w:szCs w:val="21"/>
                <w:lang w:val="en-US" w:eastAsia="zh-CN" w:bidi="ar"/>
              </w:rPr>
              <w:t>TA002</w:t>
            </w:r>
            <w:r>
              <w:rPr>
                <w:rFonts w:hint="eastAsia" w:ascii="宋体" w:hAnsi="宋体" w:eastAsia="宋体" w:cs="宋体"/>
                <w:bCs/>
                <w:color w:val="auto"/>
                <w:kern w:val="2"/>
                <w:sz w:val="21"/>
                <w:szCs w:val="21"/>
                <w:lang w:val="en-US" w:eastAsia="zh-CN" w:bidi="ar"/>
              </w:rPr>
              <w:t>）</w:t>
            </w:r>
          </w:p>
        </w:tc>
        <w:tc>
          <w:tcPr>
            <w:tcW w:w="1861" w:type="dxa"/>
            <w:tcBorders>
              <w:top w:val="nil"/>
              <w:left w:val="nil"/>
              <w:bottom w:val="single" w:color="auto" w:sz="4" w:space="0"/>
              <w:right w:val="single" w:color="auto" w:sz="4" w:space="0"/>
            </w:tcBorders>
            <w:shd w:val="clear" w:color="auto" w:fill="auto"/>
            <w:vAlign w:val="center"/>
          </w:tcPr>
          <w:p w14:paraId="135FC82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非甲烷总烃</w:t>
            </w:r>
          </w:p>
          <w:p w14:paraId="2059A22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2024.12.16</w:t>
            </w:r>
            <w:r>
              <w:rPr>
                <w:rFonts w:hint="eastAsia" w:ascii="宋体" w:hAnsi="宋体" w:eastAsia="宋体" w:cs="宋体"/>
                <w:color w:val="auto"/>
                <w:kern w:val="2"/>
                <w:sz w:val="21"/>
                <w:szCs w:val="21"/>
                <w:lang w:val="en-US" w:eastAsia="zh-CN" w:bidi="ar"/>
              </w:rPr>
              <w:t>）</w:t>
            </w:r>
          </w:p>
        </w:tc>
        <w:tc>
          <w:tcPr>
            <w:tcW w:w="1823" w:type="dxa"/>
            <w:tcBorders>
              <w:top w:val="single" w:color="auto" w:sz="4" w:space="0"/>
              <w:left w:val="nil"/>
              <w:bottom w:val="single" w:color="auto" w:sz="4" w:space="0"/>
              <w:right w:val="single" w:color="auto" w:sz="4" w:space="0"/>
            </w:tcBorders>
            <w:shd w:val="clear" w:color="auto" w:fill="auto"/>
            <w:vAlign w:val="center"/>
          </w:tcPr>
          <w:p w14:paraId="51DA77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1.42</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824" w:type="dxa"/>
            <w:tcBorders>
              <w:top w:val="single" w:color="auto" w:sz="4" w:space="0"/>
              <w:left w:val="nil"/>
              <w:bottom w:val="single" w:color="auto" w:sz="4" w:space="0"/>
              <w:right w:val="single" w:color="auto" w:sz="4" w:space="0"/>
            </w:tcBorders>
            <w:shd w:val="clear" w:color="auto" w:fill="auto"/>
            <w:vAlign w:val="center"/>
          </w:tcPr>
          <w:p w14:paraId="70549B3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6.34×10</w:t>
            </w:r>
            <w:r>
              <w:rPr>
                <w:rFonts w:hint="default" w:ascii="Times New Roman" w:hAnsi="Times New Roman" w:eastAsia="宋体" w:cs="Times New Roman"/>
                <w:color w:val="auto"/>
                <w:kern w:val="2"/>
                <w:sz w:val="21"/>
                <w:szCs w:val="21"/>
                <w:vertAlign w:val="superscript"/>
                <w:lang w:val="en-US" w:eastAsia="zh-CN" w:bidi="ar"/>
              </w:rPr>
              <w:t>-3</w:t>
            </w:r>
          </w:p>
        </w:tc>
        <w:tc>
          <w:tcPr>
            <w:tcW w:w="1669" w:type="dxa"/>
            <w:tcBorders>
              <w:top w:val="single" w:color="auto" w:sz="4" w:space="0"/>
              <w:left w:val="nil"/>
              <w:bottom w:val="single" w:color="auto" w:sz="4" w:space="0"/>
              <w:right w:val="single" w:color="auto" w:sz="4" w:space="0"/>
            </w:tcBorders>
            <w:shd w:val="clear" w:color="auto" w:fill="auto"/>
            <w:vAlign w:val="center"/>
          </w:tcPr>
          <w:p w14:paraId="2B98E97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55.35%</w:t>
            </w:r>
          </w:p>
        </w:tc>
      </w:tr>
      <w:tr w14:paraId="300A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Merge w:val="continue"/>
            <w:tcBorders>
              <w:top w:val="nil"/>
              <w:left w:val="single" w:color="auto" w:sz="4" w:space="0"/>
              <w:bottom w:val="single" w:color="auto" w:sz="4" w:space="0"/>
              <w:right w:val="single" w:color="auto" w:sz="4" w:space="0"/>
            </w:tcBorders>
            <w:shd w:val="clear" w:color="auto" w:fill="auto"/>
            <w:vAlign w:val="center"/>
          </w:tcPr>
          <w:p w14:paraId="64BC4C2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861" w:type="dxa"/>
            <w:tcBorders>
              <w:top w:val="single" w:color="auto" w:sz="4" w:space="0"/>
              <w:left w:val="nil"/>
              <w:bottom w:val="single" w:color="auto" w:sz="4" w:space="0"/>
              <w:right w:val="single" w:color="auto" w:sz="4" w:space="0"/>
            </w:tcBorders>
            <w:shd w:val="clear" w:color="auto" w:fill="auto"/>
            <w:vAlign w:val="center"/>
          </w:tcPr>
          <w:p w14:paraId="5F4BA2A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非甲烷总烃（</w:t>
            </w:r>
            <w:r>
              <w:rPr>
                <w:rFonts w:hint="default" w:ascii="Times New Roman" w:hAnsi="Times New Roman" w:eastAsia="宋体" w:cs="Times New Roman"/>
                <w:color w:val="auto"/>
                <w:kern w:val="2"/>
                <w:sz w:val="21"/>
                <w:szCs w:val="21"/>
                <w:lang w:val="en-US" w:eastAsia="zh-CN" w:bidi="ar"/>
              </w:rPr>
              <w:t>2024.12.17</w:t>
            </w:r>
            <w:r>
              <w:rPr>
                <w:rFonts w:hint="eastAsia" w:ascii="宋体" w:hAnsi="宋体" w:eastAsia="宋体" w:cs="宋体"/>
                <w:color w:val="auto"/>
                <w:kern w:val="2"/>
                <w:sz w:val="21"/>
                <w:szCs w:val="21"/>
                <w:lang w:val="en-US" w:eastAsia="zh-CN" w:bidi="ar"/>
              </w:rPr>
              <w:t>）</w:t>
            </w:r>
          </w:p>
        </w:tc>
        <w:tc>
          <w:tcPr>
            <w:tcW w:w="1823" w:type="dxa"/>
            <w:tcBorders>
              <w:top w:val="single" w:color="auto" w:sz="4" w:space="0"/>
              <w:left w:val="nil"/>
              <w:bottom w:val="single" w:color="auto" w:sz="4" w:space="0"/>
              <w:right w:val="single" w:color="auto" w:sz="4" w:space="0"/>
            </w:tcBorders>
            <w:shd w:val="clear" w:color="auto" w:fill="auto"/>
            <w:vAlign w:val="center"/>
          </w:tcPr>
          <w:p w14:paraId="12A1840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1.40</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824" w:type="dxa"/>
            <w:tcBorders>
              <w:top w:val="single" w:color="auto" w:sz="4" w:space="0"/>
              <w:left w:val="nil"/>
              <w:bottom w:val="single" w:color="auto" w:sz="4" w:space="0"/>
              <w:right w:val="single" w:color="auto" w:sz="4" w:space="0"/>
            </w:tcBorders>
            <w:shd w:val="clear" w:color="auto" w:fill="auto"/>
            <w:vAlign w:val="center"/>
          </w:tcPr>
          <w:p w14:paraId="1673CFB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6.29×10</w:t>
            </w:r>
            <w:r>
              <w:rPr>
                <w:rFonts w:hint="default" w:ascii="Times New Roman" w:hAnsi="Times New Roman" w:eastAsia="宋体" w:cs="Times New Roman"/>
                <w:color w:val="auto"/>
                <w:kern w:val="2"/>
                <w:sz w:val="21"/>
                <w:szCs w:val="21"/>
                <w:vertAlign w:val="superscript"/>
                <w:lang w:val="en-US" w:eastAsia="zh-CN" w:bidi="ar"/>
              </w:rPr>
              <w:t>-3</w:t>
            </w:r>
          </w:p>
        </w:tc>
        <w:tc>
          <w:tcPr>
            <w:tcW w:w="1669" w:type="dxa"/>
            <w:tcBorders>
              <w:top w:val="single" w:color="auto" w:sz="4" w:space="0"/>
              <w:left w:val="nil"/>
              <w:bottom w:val="single" w:color="auto" w:sz="4" w:space="0"/>
              <w:right w:val="single" w:color="auto" w:sz="4" w:space="0"/>
            </w:tcBorders>
            <w:shd w:val="clear" w:color="auto" w:fill="auto"/>
            <w:vAlign w:val="center"/>
          </w:tcPr>
          <w:p w14:paraId="1373CEC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55.07%</w:t>
            </w:r>
          </w:p>
        </w:tc>
      </w:tr>
    </w:tbl>
    <w:p w14:paraId="11A88594">
      <w:pPr>
        <w:pStyle w:val="8"/>
        <w:spacing w:line="360" w:lineRule="auto"/>
        <w:ind w:firstLine="480" w:firstLineChars="200"/>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eastAsia="zh-CN"/>
        </w:rPr>
        <w:t>监测结果显示：</w:t>
      </w:r>
      <w:r>
        <w:rPr>
          <w:rFonts w:hint="eastAsia" w:ascii="Times New Roman" w:hAnsi="Times New Roman" w:cs="Times New Roman"/>
          <w:color w:val="auto"/>
          <w:sz w:val="24"/>
          <w:highlight w:val="none"/>
          <w:lang w:val="en-US" w:eastAsia="zh-CN"/>
        </w:rPr>
        <w:t>本项目</w:t>
      </w:r>
      <w:r>
        <w:rPr>
          <w:rFonts w:hint="eastAsia" w:ascii="Times New Roman" w:hAnsi="Times New Roman" w:cs="Times New Roman"/>
          <w:b/>
          <w:bCs/>
          <w:color w:val="auto"/>
          <w:sz w:val="24"/>
          <w:highlight w:val="none"/>
          <w:lang w:val="en-US" w:eastAsia="zh-CN"/>
        </w:rPr>
        <w:t>喷塑粉尘</w:t>
      </w:r>
      <w:r>
        <w:rPr>
          <w:rFonts w:hint="eastAsia" w:ascii="Times New Roman" w:hAnsi="Times New Roman" w:cs="Times New Roman"/>
          <w:color w:val="auto"/>
          <w:sz w:val="24"/>
          <w:highlight w:val="none"/>
          <w:lang w:val="en-US" w:eastAsia="zh-CN"/>
        </w:rPr>
        <w:t>中颗粒物有组织排放浓度满足《工业涂装工序大气污染物排放标准》（DB33/2146-2018）中表1大气污染物排放限值；</w:t>
      </w:r>
      <w:r>
        <w:rPr>
          <w:rFonts w:hint="eastAsia" w:ascii="Times New Roman" w:hAnsi="Times New Roman" w:cs="Times New Roman"/>
          <w:b/>
          <w:bCs/>
          <w:color w:val="auto"/>
          <w:sz w:val="24"/>
          <w:highlight w:val="none"/>
          <w:lang w:val="en-US" w:eastAsia="zh-CN"/>
        </w:rPr>
        <w:t>固化、液化石油气燃烧废气</w:t>
      </w:r>
      <w:r>
        <w:rPr>
          <w:rFonts w:hint="eastAsia" w:ascii="Times New Roman" w:hAnsi="Times New Roman" w:cs="Times New Roman"/>
          <w:color w:val="auto"/>
          <w:sz w:val="24"/>
          <w:highlight w:val="none"/>
          <w:lang w:val="en-US" w:eastAsia="zh-CN"/>
        </w:rPr>
        <w:t>中颗粒物、二氧化硫、氮氧化物、烟气黑度有组织排放浓度满足《工业炉窑大气污染物排放标准》（GB9078-1996）表2中的加热炉二级标准排放限值、《湖州市工业炉窑大气污染深度治理实施方案》（湖治气办〔2021〕20号）中的“暂未制订行业排放标准的，原则上按照颗粒物、二氧化硫、氮氧化物排放限值分别不高于30、200、300毫克/立方米实施改造”中的较严格限值。非甲烷总烃、臭气浓度有组织排放浓度满足《工业涂装工序大气污染物排放标准》（DB33/2146-2018）中表1大气污染物排放限值。说明本项目采取的废气处理设施合理。</w:t>
      </w:r>
    </w:p>
    <w:p w14:paraId="46FF7F0E">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3</w:t>
      </w:r>
      <w:r>
        <w:rPr>
          <w:rFonts w:ascii="Times New Roman" w:hAnsi="Times New Roman" w:eastAsia="宋体" w:cs="Times New Roman"/>
          <w:color w:val="auto"/>
          <w:sz w:val="24"/>
          <w:szCs w:val="32"/>
          <w:highlight w:val="none"/>
        </w:rPr>
        <w:t>）厂界噪声治理设施</w:t>
      </w:r>
    </w:p>
    <w:p w14:paraId="01E842FC">
      <w:pPr>
        <w:pStyle w:val="8"/>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lang w:bidi="ar"/>
        </w:rPr>
        <w:t>监测结果显示：</w:t>
      </w:r>
      <w:r>
        <w:rPr>
          <w:rFonts w:hint="eastAsia" w:ascii="Times New Roman" w:hAnsi="Times New Roman" w:cs="Times New Roman"/>
          <w:color w:val="auto"/>
          <w:sz w:val="24"/>
          <w:highlight w:val="none"/>
          <w:lang w:val="en-US" w:eastAsia="zh-CN" w:bidi="ar"/>
        </w:rPr>
        <w:t>本项目厂界四周昼间噪声排放满足《工业企业厂界环境噪声排放标准》（GB12348-2008）中的3类标准</w:t>
      </w:r>
      <w:r>
        <w:rPr>
          <w:rFonts w:hint="eastAsia" w:ascii="Times New Roman" w:hAnsi="Times New Roman" w:cs="Times New Roman"/>
          <w:color w:val="auto"/>
          <w:sz w:val="24"/>
          <w:highlight w:val="none"/>
          <w:lang w:val="en-US" w:eastAsia="zh-CN"/>
        </w:rPr>
        <w:t>，说明本项目采取的噪声防治措施合理。</w:t>
      </w:r>
    </w:p>
    <w:p w14:paraId="7AE0DB24">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4</w:t>
      </w:r>
      <w:r>
        <w:rPr>
          <w:rFonts w:ascii="Times New Roman" w:hAnsi="Times New Roman" w:eastAsia="宋体" w:cs="Times New Roman"/>
          <w:color w:val="auto"/>
          <w:sz w:val="24"/>
          <w:szCs w:val="32"/>
          <w:highlight w:val="none"/>
        </w:rPr>
        <w:t>）固体废物治理设施</w:t>
      </w:r>
    </w:p>
    <w:p w14:paraId="31F10F09">
      <w:pPr>
        <w:pStyle w:val="8"/>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sz w:val="24"/>
          <w:szCs w:val="32"/>
          <w:highlight w:val="none"/>
          <w:lang w:val="en-US" w:eastAsia="zh-CN"/>
        </w:rPr>
        <w:t>本</w:t>
      </w:r>
      <w:r>
        <w:rPr>
          <w:rFonts w:ascii="Times New Roman" w:hAnsi="Times New Roman" w:eastAsia="宋体" w:cs="Times New Roman"/>
          <w:color w:val="auto"/>
          <w:sz w:val="24"/>
          <w:szCs w:val="32"/>
          <w:highlight w:val="none"/>
        </w:rPr>
        <w:t>项目固废均委托外单位进行处置，自身不配备</w:t>
      </w:r>
      <w:r>
        <w:rPr>
          <w:rFonts w:hint="eastAsia" w:ascii="Times New Roman" w:hAnsi="Times New Roman" w:cs="Times New Roman"/>
          <w:color w:val="auto"/>
          <w:sz w:val="24"/>
          <w:szCs w:val="32"/>
          <w:highlight w:val="none"/>
          <w:lang w:eastAsia="zh-CN"/>
        </w:rPr>
        <w:t>固体废物处理</w:t>
      </w:r>
      <w:r>
        <w:rPr>
          <w:rFonts w:ascii="Times New Roman" w:hAnsi="Times New Roman" w:eastAsia="宋体" w:cs="Times New Roman"/>
          <w:color w:val="auto"/>
          <w:sz w:val="24"/>
          <w:szCs w:val="32"/>
          <w:highlight w:val="none"/>
        </w:rPr>
        <w:t>设施。</w:t>
      </w:r>
      <w:r>
        <w:rPr>
          <w:rFonts w:hint="eastAsia" w:ascii="Times New Roman" w:hAnsi="Times New Roman" w:cs="Times New Roman"/>
          <w:color w:val="auto"/>
          <w:kern w:val="0"/>
          <w:sz w:val="24"/>
          <w:highlight w:val="none"/>
          <w:lang w:val="en-US" w:eastAsia="zh-CN"/>
        </w:rPr>
        <w:t>生活垃圾集中收集后由当地环卫部门清运；废边角料、废焊丝、焊渣、收集的金属粉尘和废包装材料集中收集后暂存于一般固废暂存场所，由物资回收公司回收利用；废润滑油、废液压油、废润滑油桶、废液压油桶、喷淋废水、废过滤棉、废活性炭集中收集后暂存于危废仓库内，委托</w:t>
      </w:r>
      <w:r>
        <w:rPr>
          <w:rFonts w:hint="eastAsia" w:ascii="Times New Roman" w:hAnsi="Times New Roman" w:eastAsia="宋体" w:cs="Times New Roman"/>
          <w:color w:val="auto"/>
          <w:kern w:val="0"/>
          <w:sz w:val="24"/>
          <w:szCs w:val="24"/>
          <w:highlight w:val="none"/>
          <w:lang w:val="en-US" w:eastAsia="zh-CN" w:bidi="ar-SA"/>
        </w:rPr>
        <w:t>安吉纳海环境有限公司</w:t>
      </w:r>
      <w:r>
        <w:rPr>
          <w:rFonts w:hint="eastAsia" w:ascii="Times New Roman" w:hAnsi="Times New Roman" w:cs="Times New Roman"/>
          <w:color w:val="auto"/>
          <w:kern w:val="0"/>
          <w:sz w:val="24"/>
          <w:highlight w:val="none"/>
          <w:lang w:val="en-US" w:eastAsia="zh-CN"/>
        </w:rPr>
        <w:t>处理。</w:t>
      </w:r>
    </w:p>
    <w:p w14:paraId="5D43091E">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（二）污染物排放情况</w:t>
      </w:r>
    </w:p>
    <w:p w14:paraId="41BDCA28">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lang w:val="en-US" w:eastAsia="zh-CN"/>
        </w:rPr>
        <w:t>1</w:t>
      </w:r>
      <w:r>
        <w:rPr>
          <w:rFonts w:hint="eastAsia" w:ascii="Times New Roman" w:hAnsi="Times New Roman" w:eastAsia="宋体"/>
          <w:color w:val="auto"/>
          <w:kern w:val="0"/>
          <w:sz w:val="24"/>
          <w:highlight w:val="none"/>
          <w:lang w:eastAsia="zh-CN"/>
        </w:rPr>
        <w:t>）</w:t>
      </w:r>
      <w:r>
        <w:rPr>
          <w:rFonts w:ascii="Times New Roman" w:hAnsi="Times New Roman" w:eastAsia="宋体"/>
          <w:color w:val="auto"/>
          <w:kern w:val="0"/>
          <w:sz w:val="24"/>
          <w:highlight w:val="none"/>
        </w:rPr>
        <w:t>废水污染物排放评价</w:t>
      </w:r>
    </w:p>
    <w:p w14:paraId="531397E8">
      <w:pPr>
        <w:pStyle w:val="8"/>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24"/>
          <w:highlight w:val="none"/>
          <w:lang w:val="en-US" w:eastAsia="zh-CN"/>
        </w:rPr>
        <w:t>项目验收监测期间，由检测结果可知，本项目生活污水排放口中pH值、化学需氧量排放浓度满足《污水综合排放标准》（GB8978-1996）中的三级标准；氨氮排放浓度满足《工业企业废水氮、磷污染物间接排放限值》（DB33/887-2013）中的标准要求，即pH限值为6-9，化学需氧量浓度限值≤500mg/L，氨氮浓度限值≤35mg/L。</w:t>
      </w:r>
    </w:p>
    <w:p w14:paraId="264715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cs="Times New Roman"/>
          <w:color w:val="auto"/>
          <w:sz w:val="24"/>
          <w:szCs w:val="32"/>
          <w:highlight w:val="none"/>
          <w:lang w:eastAsia="zh-CN"/>
        </w:rPr>
        <w:t>（</w:t>
      </w:r>
      <w:r>
        <w:rPr>
          <w:rFonts w:hint="eastAsia" w:ascii="Times New Roman" w:hAnsi="Times New Roman" w:cs="Times New Roman"/>
          <w:color w:val="auto"/>
          <w:sz w:val="24"/>
          <w:szCs w:val="32"/>
          <w:highlight w:val="none"/>
          <w:lang w:val="en-US" w:eastAsia="zh-CN"/>
        </w:rPr>
        <w:t>2</w:t>
      </w:r>
      <w:r>
        <w:rPr>
          <w:rFonts w:hint="eastAsia" w:ascii="Times New Roman" w:hAnsi="Times New Roman" w:cs="Times New Roman"/>
          <w:color w:val="auto"/>
          <w:sz w:val="24"/>
          <w:szCs w:val="32"/>
          <w:highlight w:val="none"/>
          <w:lang w:eastAsia="zh-CN"/>
        </w:rPr>
        <w:t>）</w:t>
      </w:r>
      <w:r>
        <w:rPr>
          <w:rFonts w:ascii="Times New Roman" w:hAnsi="Times New Roman" w:eastAsia="宋体"/>
          <w:color w:val="auto"/>
          <w:kern w:val="0"/>
          <w:sz w:val="24"/>
          <w:highlight w:val="none"/>
        </w:rPr>
        <w:t>废气污染物排放评价</w:t>
      </w:r>
    </w:p>
    <w:p w14:paraId="3EA86A37">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项目验收监测期间，由检测结果可知，本项目</w:t>
      </w:r>
      <w:r>
        <w:rPr>
          <w:rFonts w:hint="default" w:ascii="Times New Roman" w:hAnsi="Times New Roman" w:eastAsia="宋体" w:cs="Times New Roman"/>
          <w:b/>
          <w:bCs/>
          <w:color w:val="auto"/>
          <w:kern w:val="2"/>
          <w:sz w:val="24"/>
          <w:szCs w:val="24"/>
          <w:lang w:val="en-US" w:eastAsia="zh-CN" w:bidi="ar-SA"/>
        </w:rPr>
        <w:t>喷塑粉尘</w:t>
      </w:r>
      <w:r>
        <w:rPr>
          <w:rFonts w:hint="default" w:ascii="Times New Roman" w:hAnsi="Times New Roman" w:eastAsia="宋体" w:cs="Times New Roman"/>
          <w:color w:val="auto"/>
          <w:kern w:val="2"/>
          <w:sz w:val="24"/>
          <w:szCs w:val="24"/>
          <w:lang w:val="en-US" w:eastAsia="zh-CN" w:bidi="ar-SA"/>
        </w:rPr>
        <w:t>中颗粒物有组织排放浓度满足《工业涂装工序大气污染物排放标准》（DB33/2146-2018）中表1大气污染物排放限值；</w:t>
      </w:r>
      <w:r>
        <w:rPr>
          <w:rFonts w:hint="default" w:ascii="Times New Roman" w:hAnsi="Times New Roman" w:eastAsia="宋体" w:cs="Times New Roman"/>
          <w:b/>
          <w:bCs/>
          <w:color w:val="auto"/>
          <w:kern w:val="2"/>
          <w:sz w:val="24"/>
          <w:szCs w:val="24"/>
          <w:lang w:val="en-US" w:eastAsia="zh-CN" w:bidi="ar-SA"/>
        </w:rPr>
        <w:t>固化、液化石油气燃烧废气</w:t>
      </w:r>
      <w:r>
        <w:rPr>
          <w:rFonts w:hint="default" w:ascii="Times New Roman" w:hAnsi="Times New Roman" w:eastAsia="宋体" w:cs="Times New Roman"/>
          <w:color w:val="auto"/>
          <w:kern w:val="2"/>
          <w:sz w:val="24"/>
          <w:szCs w:val="24"/>
          <w:lang w:val="en-US" w:eastAsia="zh-CN" w:bidi="ar-SA"/>
        </w:rPr>
        <w:t>中颗粒物、二氧化硫、氮氧化物、烟气黑度有组织排放浓度满足《工业炉窑大气污染物排放标准》（GB9078-1996）表2中的加热炉二级标准排放限值、《湖州市工业炉窑大气污染深度治理实施方案》（湖治气办〔2021〕20号）中的“暂未制订行业排放标准的，原则上按照颗粒物、二氧化硫、氮氧化物排放限值分别不高于30、200、300毫克/立方米实施改造”中的较严格限值。非甲烷总烃、臭气浓度有组织排放浓度满足《工业涂装工序大气污染物排放标准》（DB33/2146-2018）中表1大气污染物排放限值。</w:t>
      </w:r>
    </w:p>
    <w:p w14:paraId="1F456FE1">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验收监测期间，由检测结果可知，本项目厂界颗粒物无组织排放浓度满足《大气污染物综合排放标准》（GB16297-1996）表2中的无组织排放监控浓度限值；非甲烷总烃、臭气浓度有组织和无组织排放浓度满足《工业涂装工序大气污染物排放标准》（DB33/2146-2018）中表6企业边界大气污染物浓度限值。</w:t>
      </w:r>
    </w:p>
    <w:p w14:paraId="50EF72A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32"/>
          <w:highlight w:val="none"/>
          <w:lang w:eastAsia="zh-CN"/>
        </w:rPr>
      </w:pPr>
      <w:r>
        <w:rPr>
          <w:rFonts w:hint="default" w:ascii="Times New Roman" w:hAnsi="Times New Roman" w:eastAsia="宋体" w:cs="Times New Roman"/>
          <w:color w:val="auto"/>
          <w:kern w:val="2"/>
          <w:sz w:val="24"/>
          <w:szCs w:val="24"/>
          <w:lang w:val="en-US" w:eastAsia="zh-CN" w:bidi="ar-SA"/>
        </w:rPr>
        <w:t>厂区内非甲烷总烃无组织排放浓度满足《挥发性有机物无组织排放控制标准》（GB37822-2019）表A.1中的特别排放限值。</w:t>
      </w:r>
    </w:p>
    <w:p w14:paraId="78F6278C">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ascii="Times New Roman" w:hAnsi="Times New Roman" w:eastAsia="宋体" w:cs="Times New Roman"/>
          <w:color w:val="auto"/>
          <w:sz w:val="24"/>
          <w:szCs w:val="32"/>
          <w:highlight w:val="none"/>
        </w:rPr>
      </w:pPr>
      <w:r>
        <w:rPr>
          <w:rFonts w:ascii="Times New Roman" w:hAnsi="Times New Roman" w:eastAsia="宋体"/>
          <w:color w:val="auto"/>
          <w:sz w:val="24"/>
          <w:szCs w:val="32"/>
          <w:highlight w:val="none"/>
        </w:rPr>
        <w:t>（</w:t>
      </w:r>
      <w:r>
        <w:rPr>
          <w:rFonts w:ascii="Times New Roman" w:hAnsi="Times New Roman" w:eastAsia="宋体"/>
          <w:color w:val="auto"/>
          <w:kern w:val="0"/>
          <w:sz w:val="24"/>
          <w:highlight w:val="none"/>
        </w:rPr>
        <w:t>3）</w:t>
      </w:r>
      <w:r>
        <w:rPr>
          <w:rFonts w:ascii="Times New Roman" w:hAnsi="Times New Roman" w:eastAsia="宋体" w:cs="Times New Roman"/>
          <w:color w:val="auto"/>
          <w:sz w:val="24"/>
          <w:szCs w:val="32"/>
          <w:highlight w:val="none"/>
        </w:rPr>
        <w:t>噪声污染物排放评价</w:t>
      </w:r>
    </w:p>
    <w:p w14:paraId="401A0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default" w:ascii="Times New Roman" w:hAnsi="Times New Roman" w:eastAsia="宋体"/>
          <w:color w:val="auto"/>
          <w:kern w:val="0"/>
          <w:sz w:val="24"/>
          <w:highlight w:val="none"/>
          <w:lang w:val="en-US" w:eastAsia="zh-CN"/>
        </w:rPr>
        <w:t>项目验收监测期间，由检测结果可知，本项目厂界四周昼间噪声排放满足《工业企业厂界环境噪声排放标准》（GB12348-2008）中的3类标准</w:t>
      </w:r>
      <w:r>
        <w:rPr>
          <w:rFonts w:hint="eastAsia" w:ascii="Times New Roman" w:hAnsi="Times New Roman" w:eastAsia="宋体"/>
          <w:color w:val="auto"/>
          <w:kern w:val="0"/>
          <w:sz w:val="24"/>
          <w:highlight w:val="none"/>
          <w:lang w:val="en-US" w:eastAsia="zh-CN"/>
        </w:rPr>
        <w:t>。</w:t>
      </w:r>
    </w:p>
    <w:p w14:paraId="572E5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（4）污染物排放总量</w:t>
      </w:r>
    </w:p>
    <w:p w14:paraId="6AEE5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fldChar w:fldCharType="begin"/>
      </w:r>
      <w:r>
        <w:rPr>
          <w:rFonts w:hint="eastAsia" w:ascii="Times New Roman" w:hAnsi="Times New Roman"/>
          <w:color w:val="auto"/>
          <w:sz w:val="24"/>
          <w:szCs w:val="24"/>
          <w:highlight w:val="none"/>
          <w:lang w:val="en-US" w:eastAsia="zh-CN"/>
        </w:rPr>
        <w:instrText xml:space="preserve"> = 1 \* GB3 \* MERGEFORMAT </w:instrText>
      </w:r>
      <w:r>
        <w:rPr>
          <w:rFonts w:hint="eastAsia" w:ascii="Times New Roman" w:hAnsi="Times New Roman"/>
          <w:color w:val="auto"/>
          <w:sz w:val="24"/>
          <w:szCs w:val="24"/>
          <w:highlight w:val="none"/>
          <w:lang w:val="en-US" w:eastAsia="zh-CN"/>
        </w:rPr>
        <w:fldChar w:fldCharType="separate"/>
      </w:r>
      <w:r>
        <w:rPr>
          <w:rFonts w:hint="eastAsia" w:ascii="Times New Roman" w:hAnsi="Times New Roman"/>
          <w:color w:val="auto"/>
          <w:sz w:val="24"/>
          <w:szCs w:val="24"/>
          <w:highlight w:val="none"/>
          <w:lang w:val="en-US" w:eastAsia="zh-CN"/>
        </w:rPr>
        <w:t>①</w:t>
      </w:r>
      <w:r>
        <w:rPr>
          <w:rFonts w:hint="eastAsia" w:ascii="Times New Roman" w:hAnsi="Times New Roman"/>
          <w:color w:val="auto"/>
          <w:sz w:val="24"/>
          <w:szCs w:val="24"/>
          <w:highlight w:val="none"/>
          <w:lang w:val="en-US" w:eastAsia="zh-CN"/>
        </w:rPr>
        <w:fldChar w:fldCharType="end"/>
      </w:r>
      <w:r>
        <w:rPr>
          <w:rFonts w:hint="eastAsia" w:ascii="Times New Roman" w:hAnsi="Times New Roman"/>
          <w:color w:val="auto"/>
          <w:sz w:val="24"/>
          <w:szCs w:val="24"/>
          <w:highlight w:val="none"/>
          <w:lang w:val="en-US" w:eastAsia="zh-CN"/>
        </w:rPr>
        <w:t>废水</w:t>
      </w:r>
    </w:p>
    <w:p w14:paraId="742A10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根据原环评文件，本项目废水中纳入总量控制的指标为COD</w:t>
      </w:r>
      <w:r>
        <w:rPr>
          <w:rFonts w:hint="eastAsia" w:ascii="Times New Roman" w:hAnsi="Times New Roman"/>
          <w:color w:val="auto"/>
          <w:sz w:val="24"/>
          <w:szCs w:val="24"/>
          <w:highlight w:val="none"/>
          <w:vertAlign w:val="subscript"/>
          <w:lang w:val="en-US" w:eastAsia="zh-CN"/>
        </w:rPr>
        <w:t>Cr</w:t>
      </w:r>
      <w:r>
        <w:rPr>
          <w:rFonts w:hint="eastAsia" w:ascii="Times New Roman" w:hAnsi="Times New Roman"/>
          <w:color w:val="auto"/>
          <w:sz w:val="24"/>
          <w:szCs w:val="24"/>
          <w:highlight w:val="none"/>
          <w:lang w:val="en-US" w:eastAsia="zh-CN"/>
        </w:rPr>
        <w:t>、NH</w:t>
      </w:r>
      <w:r>
        <w:rPr>
          <w:rFonts w:hint="eastAsia" w:ascii="Times New Roman" w:hAnsi="Times New Roman"/>
          <w:color w:val="auto"/>
          <w:sz w:val="24"/>
          <w:szCs w:val="24"/>
          <w:highlight w:val="none"/>
          <w:vertAlign w:val="subscript"/>
          <w:lang w:val="en-US" w:eastAsia="zh-CN"/>
        </w:rPr>
        <w:t>3</w:t>
      </w:r>
      <w:r>
        <w:rPr>
          <w:rFonts w:hint="eastAsia" w:ascii="Times New Roman" w:hAnsi="Times New Roman"/>
          <w:color w:val="auto"/>
          <w:sz w:val="24"/>
          <w:szCs w:val="24"/>
          <w:highlight w:val="none"/>
          <w:lang w:val="en-US" w:eastAsia="zh-CN"/>
        </w:rPr>
        <w:t>-N。本项目生活污水经化粪池预处理后纳管至浙江德清泓晟水务科技有限公司集中处理，其排放量为144t/a；固化工序产生的固化、液化石油气燃烧废气通过喷淋塔进行冷却，该过程会产生喷淋废水。喷淋水循环使用，当循环到一定程度后，水中的含盐量升高，需定期更换，根据企业提供，溶液每年更换6次，则产生量约1.2t/a。更换后的喷淋废水作为危废处置。浙江德清泓晟水务科技有限公司尾水排放执行《城镇污水处理厂污染物排放标准》（GB18918-2002）中的一级A标准，其中化学需氧量、氨氮、总氮和总磷执行《城镇污水处理厂主要水污染物排放标准》（DB33/2169-2018）中表1标准，则排入自然水体的主要污染物COD</w:t>
      </w:r>
      <w:r>
        <w:rPr>
          <w:rFonts w:hint="eastAsia" w:ascii="Times New Roman" w:hAnsi="Times New Roman"/>
          <w:color w:val="auto"/>
          <w:sz w:val="24"/>
          <w:szCs w:val="24"/>
          <w:highlight w:val="none"/>
          <w:vertAlign w:val="subscript"/>
          <w:lang w:val="en-US" w:eastAsia="zh-CN"/>
        </w:rPr>
        <w:t>Cr</w:t>
      </w:r>
      <w:r>
        <w:rPr>
          <w:rFonts w:hint="eastAsia" w:ascii="Times New Roman" w:hAnsi="Times New Roman"/>
          <w:color w:val="auto"/>
          <w:sz w:val="24"/>
          <w:szCs w:val="24"/>
          <w:highlight w:val="none"/>
          <w:lang w:val="en-US" w:eastAsia="zh-CN"/>
        </w:rPr>
        <w:t>为0.006t/a、NH</w:t>
      </w:r>
      <w:r>
        <w:rPr>
          <w:rFonts w:hint="eastAsia" w:ascii="Times New Roman" w:hAnsi="Times New Roman"/>
          <w:color w:val="auto"/>
          <w:sz w:val="24"/>
          <w:szCs w:val="24"/>
          <w:highlight w:val="none"/>
          <w:vertAlign w:val="subscript"/>
          <w:lang w:val="en-US" w:eastAsia="zh-CN"/>
        </w:rPr>
        <w:t>3</w:t>
      </w:r>
      <w:r>
        <w:rPr>
          <w:rFonts w:hint="eastAsia" w:ascii="Times New Roman" w:hAnsi="Times New Roman"/>
          <w:color w:val="auto"/>
          <w:sz w:val="24"/>
          <w:szCs w:val="24"/>
          <w:highlight w:val="none"/>
          <w:lang w:val="en-US" w:eastAsia="zh-CN"/>
        </w:rPr>
        <w:t>-N为0.0003t/a。</w:t>
      </w:r>
    </w:p>
    <w:p w14:paraId="3334B15E">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②废气</w:t>
      </w:r>
    </w:p>
    <w:p w14:paraId="33C3A727">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根据原环评文件，本项目废气中纳入总量控制的指标为工业烟粉尘、挥发性有机物（</w:t>
      </w:r>
      <w:r>
        <w:rPr>
          <w:rFonts w:hint="default" w:ascii="Times New Roman" w:hAnsi="Times New Roman" w:eastAsia="宋体" w:cs="Times New Roman"/>
          <w:color w:val="auto"/>
          <w:kern w:val="2"/>
          <w:sz w:val="24"/>
          <w:szCs w:val="24"/>
          <w:lang w:val="en-US" w:eastAsia="zh-CN" w:bidi="ar"/>
        </w:rPr>
        <w:t>VOCs</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SO</w:t>
      </w:r>
      <w:r>
        <w:rPr>
          <w:rFonts w:hint="default" w:ascii="Times New Roman" w:hAnsi="Times New Roman" w:eastAsia="宋体" w:cs="Times New Roman"/>
          <w:color w:val="auto"/>
          <w:kern w:val="2"/>
          <w:sz w:val="24"/>
          <w:szCs w:val="24"/>
          <w:vertAlign w:val="subscript"/>
          <w:lang w:val="en-US" w:eastAsia="zh-CN" w:bidi="ar"/>
        </w:rPr>
        <w:t>2</w:t>
      </w:r>
      <w:r>
        <w:rPr>
          <w:rFonts w:hint="eastAsia" w:ascii="宋体" w:hAnsi="宋体" w:eastAsia="宋体" w:cs="宋体"/>
          <w:color w:val="auto"/>
          <w:kern w:val="2"/>
          <w:sz w:val="24"/>
          <w:szCs w:val="24"/>
          <w:lang w:val="en-US" w:eastAsia="zh-CN" w:bidi="ar"/>
        </w:rPr>
        <w:t>和</w:t>
      </w:r>
      <w:r>
        <w:rPr>
          <w:rFonts w:hint="default" w:ascii="Times New Roman" w:hAnsi="Times New Roman" w:eastAsia="宋体" w:cs="Times New Roman"/>
          <w:color w:val="auto"/>
          <w:kern w:val="2"/>
          <w:sz w:val="24"/>
          <w:szCs w:val="24"/>
          <w:lang w:val="en-US" w:eastAsia="zh-CN" w:bidi="ar"/>
        </w:rPr>
        <w:t>NOx</w:t>
      </w:r>
      <w:r>
        <w:rPr>
          <w:rFonts w:hint="eastAsia" w:ascii="宋体" w:hAnsi="宋体" w:eastAsia="宋体" w:cs="宋体"/>
          <w:color w:val="auto"/>
          <w:kern w:val="2"/>
          <w:sz w:val="24"/>
          <w:szCs w:val="24"/>
          <w:lang w:val="en-US" w:eastAsia="zh-CN" w:bidi="ar"/>
        </w:rPr>
        <w:t>。</w:t>
      </w:r>
    </w:p>
    <w:p w14:paraId="60CD582A">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本项目喷塑工序满负荷年工作时间为</w:t>
      </w:r>
      <w:r>
        <w:rPr>
          <w:rFonts w:hint="default" w:ascii="Times New Roman" w:hAnsi="Times New Roman" w:eastAsia="宋体" w:cs="Times New Roman"/>
          <w:color w:val="auto"/>
          <w:kern w:val="2"/>
          <w:sz w:val="24"/>
          <w:szCs w:val="24"/>
          <w:lang w:val="en-US" w:eastAsia="zh-CN" w:bidi="ar"/>
        </w:rPr>
        <w:t>2400h</w:t>
      </w:r>
      <w:r>
        <w:rPr>
          <w:rFonts w:hint="eastAsia" w:ascii="宋体" w:hAnsi="宋体" w:eastAsia="宋体" w:cs="宋体"/>
          <w:color w:val="auto"/>
          <w:kern w:val="2"/>
          <w:sz w:val="24"/>
          <w:szCs w:val="24"/>
          <w:lang w:val="en-US" w:eastAsia="zh-CN" w:bidi="ar"/>
        </w:rPr>
        <w:t>。喷塑粉尘通过负压收集后，通过一套旋风回收</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布袋除尘装置（</w:t>
      </w:r>
      <w:r>
        <w:rPr>
          <w:rFonts w:hint="default" w:ascii="Times New Roman" w:hAnsi="Times New Roman" w:eastAsia="宋体" w:cs="Times New Roman"/>
          <w:color w:val="auto"/>
          <w:kern w:val="2"/>
          <w:sz w:val="24"/>
          <w:szCs w:val="24"/>
          <w:lang w:val="en-US" w:eastAsia="zh-CN" w:bidi="ar"/>
        </w:rPr>
        <w:t>TA001</w:t>
      </w:r>
      <w:r>
        <w:rPr>
          <w:rFonts w:hint="eastAsia" w:ascii="宋体" w:hAnsi="宋体" w:eastAsia="宋体" w:cs="宋体"/>
          <w:color w:val="auto"/>
          <w:kern w:val="2"/>
          <w:sz w:val="24"/>
          <w:szCs w:val="24"/>
          <w:lang w:val="en-US" w:eastAsia="zh-CN" w:bidi="ar"/>
        </w:rPr>
        <w:t>）处理，</w:t>
      </w:r>
      <w:r>
        <w:rPr>
          <w:rFonts w:hint="eastAsia" w:ascii="宋体" w:hAnsi="宋体" w:eastAsia="宋体" w:cs="宋体"/>
          <w:b/>
          <w:bCs/>
          <w:color w:val="auto"/>
          <w:kern w:val="2"/>
          <w:sz w:val="24"/>
          <w:szCs w:val="24"/>
          <w:lang w:val="en-US" w:eastAsia="zh-CN" w:bidi="ar"/>
        </w:rPr>
        <w:t>颗粒物排放量</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排放速率×年工作时间</w:t>
      </w:r>
      <w:r>
        <w:rPr>
          <w:rFonts w:hint="default" w:ascii="Times New Roman" w:hAnsi="Times New Roman" w:eastAsia="宋体" w:cs="Times New Roman"/>
          <w:color w:val="auto"/>
          <w:kern w:val="2"/>
          <w:sz w:val="24"/>
          <w:szCs w:val="24"/>
          <w:lang w:val="en-US" w:eastAsia="zh-CN" w:bidi="ar"/>
        </w:rPr>
        <w:t>=1/2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1.21</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-2</w:t>
      </w:r>
      <w:r>
        <w:rPr>
          <w:rFonts w:hint="default" w:ascii="Times New Roman" w:hAnsi="Times New Roman" w:eastAsia="宋体" w:cs="Times New Roman"/>
          <w:color w:val="auto"/>
          <w:kern w:val="2"/>
          <w:sz w:val="24"/>
          <w:szCs w:val="24"/>
          <w:lang w:val="en-US" w:eastAsia="zh-CN" w:bidi="ar"/>
        </w:rPr>
        <w:t>+1.12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2400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
          <w:bCs/>
          <w:color w:val="auto"/>
          <w:kern w:val="2"/>
          <w:sz w:val="24"/>
          <w:szCs w:val="24"/>
          <w:lang w:val="en-US" w:eastAsia="zh-CN" w:bidi="ar"/>
        </w:rPr>
        <w:t>0.028t/a</w:t>
      </w:r>
      <w:r>
        <w:rPr>
          <w:rFonts w:hint="eastAsia" w:ascii="宋体" w:hAnsi="宋体" w:eastAsia="宋体" w:cs="宋体"/>
          <w:color w:val="auto"/>
          <w:kern w:val="2"/>
          <w:sz w:val="24"/>
          <w:szCs w:val="24"/>
          <w:lang w:val="en-US" w:eastAsia="zh-CN" w:bidi="ar"/>
        </w:rPr>
        <w:t>。</w:t>
      </w:r>
    </w:p>
    <w:p w14:paraId="2BC28D6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eastAsia" w:ascii="宋体" w:hAnsi="宋体" w:eastAsia="宋体" w:cs="宋体"/>
          <w:color w:val="auto"/>
          <w:kern w:val="2"/>
          <w:sz w:val="24"/>
          <w:szCs w:val="24"/>
          <w:lang w:val="en-US" w:eastAsia="zh-CN" w:bidi="ar"/>
        </w:rPr>
        <w:t>本项目固化工序满负荷年工作时间为</w:t>
      </w:r>
      <w:r>
        <w:rPr>
          <w:rFonts w:hint="default" w:ascii="Times New Roman" w:hAnsi="Times New Roman" w:eastAsia="宋体" w:cs="Times New Roman"/>
          <w:color w:val="auto"/>
          <w:kern w:val="2"/>
          <w:sz w:val="24"/>
          <w:szCs w:val="24"/>
          <w:lang w:val="en-US" w:eastAsia="zh-CN" w:bidi="ar"/>
        </w:rPr>
        <w:t>2400h</w:t>
      </w:r>
      <w:r>
        <w:rPr>
          <w:rFonts w:hint="eastAsia" w:ascii="宋体" w:hAnsi="宋体" w:eastAsia="宋体" w:cs="宋体"/>
          <w:color w:val="auto"/>
          <w:kern w:val="2"/>
          <w:sz w:val="24"/>
          <w:szCs w:val="24"/>
          <w:lang w:val="en-US" w:eastAsia="zh-CN" w:bidi="ar"/>
        </w:rPr>
        <w:t>。固化、液化石油气燃烧废气拟在烘道进出口上方设置吸风集气罩，废气收集后通过一套水喷淋</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干式过滤</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二级活性炭吸附装置（</w:t>
      </w:r>
      <w:r>
        <w:rPr>
          <w:rFonts w:hint="default" w:ascii="Times New Roman" w:hAnsi="Times New Roman" w:eastAsia="宋体" w:cs="Times New Roman"/>
          <w:color w:val="auto"/>
          <w:kern w:val="2"/>
          <w:sz w:val="24"/>
          <w:szCs w:val="24"/>
          <w:lang w:val="en-US" w:eastAsia="zh-CN" w:bidi="ar"/>
        </w:rPr>
        <w:t>TA002</w:t>
      </w:r>
      <w:r>
        <w:rPr>
          <w:rFonts w:hint="eastAsia" w:ascii="宋体" w:hAnsi="宋体" w:eastAsia="宋体" w:cs="宋体"/>
          <w:color w:val="auto"/>
          <w:kern w:val="2"/>
          <w:sz w:val="24"/>
          <w:szCs w:val="24"/>
          <w:lang w:val="en-US" w:eastAsia="zh-CN" w:bidi="ar"/>
        </w:rPr>
        <w:t>）处理，</w:t>
      </w:r>
      <w:r>
        <w:rPr>
          <w:rFonts w:hint="eastAsia" w:ascii="宋体" w:hAnsi="宋体" w:eastAsia="宋体" w:cs="宋体"/>
          <w:b/>
          <w:bCs/>
          <w:color w:val="auto"/>
          <w:kern w:val="2"/>
          <w:sz w:val="24"/>
          <w:szCs w:val="24"/>
          <w:lang w:val="en-US" w:eastAsia="zh-CN" w:bidi="ar"/>
        </w:rPr>
        <w:t>颗粒物排放量</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排放速率×年工作时间</w:t>
      </w:r>
      <w:r>
        <w:rPr>
          <w:rFonts w:hint="default" w:ascii="Times New Roman" w:hAnsi="Times New Roman" w:eastAsia="宋体" w:cs="Times New Roman"/>
          <w:color w:val="auto"/>
          <w:kern w:val="2"/>
          <w:sz w:val="24"/>
          <w:szCs w:val="24"/>
          <w:lang w:val="en-US" w:eastAsia="zh-CN" w:bidi="ar"/>
        </w:rPr>
        <w:t>=1/2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8.40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+7.92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2400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
          <w:bCs/>
          <w:color w:val="auto"/>
          <w:kern w:val="2"/>
          <w:sz w:val="24"/>
          <w:szCs w:val="24"/>
          <w:lang w:val="en-US" w:eastAsia="zh-CN" w:bidi="ar"/>
        </w:rPr>
        <w:t>0.020t/a</w:t>
      </w:r>
      <w:r>
        <w:rPr>
          <w:rFonts w:hint="eastAsia" w:ascii="宋体" w:hAnsi="宋体" w:eastAsia="宋体" w:cs="宋体"/>
          <w:color w:val="auto"/>
          <w:kern w:val="2"/>
          <w:sz w:val="24"/>
          <w:szCs w:val="24"/>
          <w:lang w:val="en-US" w:eastAsia="zh-CN" w:bidi="ar"/>
        </w:rPr>
        <w:t>，</w:t>
      </w:r>
      <w:r>
        <w:rPr>
          <w:rFonts w:hint="eastAsia" w:ascii="宋体" w:hAnsi="宋体" w:eastAsia="宋体" w:cs="宋体"/>
          <w:b/>
          <w:bCs/>
          <w:color w:val="auto"/>
          <w:kern w:val="2"/>
          <w:sz w:val="24"/>
          <w:szCs w:val="24"/>
          <w:lang w:val="en-US" w:eastAsia="zh-CN" w:bidi="ar"/>
        </w:rPr>
        <w:t>非甲烷总烃排放量</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排放速率×年工作时间</w:t>
      </w:r>
      <w:r>
        <w:rPr>
          <w:rFonts w:hint="default" w:ascii="Times New Roman" w:hAnsi="Times New Roman" w:eastAsia="宋体" w:cs="Times New Roman"/>
          <w:color w:val="auto"/>
          <w:kern w:val="2"/>
          <w:sz w:val="24"/>
          <w:szCs w:val="24"/>
          <w:lang w:val="en-US" w:eastAsia="zh-CN" w:bidi="ar"/>
        </w:rPr>
        <w:t>=1/2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6.34</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+6.29</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2400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
          <w:bCs/>
          <w:color w:val="auto"/>
          <w:kern w:val="2"/>
          <w:sz w:val="24"/>
          <w:szCs w:val="24"/>
          <w:lang w:val="en-US" w:eastAsia="zh-CN" w:bidi="ar"/>
        </w:rPr>
        <w:t>0.015t/a</w:t>
      </w:r>
      <w:r>
        <w:rPr>
          <w:rFonts w:hint="default" w:ascii="Times New Roman" w:hAnsi="Times New Roman" w:cs="Times New Roman"/>
          <w:color w:val="auto"/>
          <w:sz w:val="24"/>
          <w:szCs w:val="24"/>
          <w:highlight w:val="none"/>
          <w:lang w:val="en-US" w:eastAsia="zh-CN"/>
        </w:rPr>
        <w:t>。</w:t>
      </w:r>
    </w:p>
    <w:p w14:paraId="740F0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注：氮氧化物、二氧化硫未检出，不参与总量统计。</w:t>
      </w:r>
    </w:p>
    <w:p w14:paraId="1C3DD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根据项目的生产情况和验收监测结果，核算实际主要污染物排放总量控制指标</w:t>
      </w:r>
      <w:r>
        <w:rPr>
          <w:rFonts w:hint="default" w:ascii="Times New Roman" w:hAnsi="Times New Roman" w:eastAsia="宋体" w:cs="Times New Roman"/>
          <w:color w:val="auto"/>
          <w:kern w:val="2"/>
          <w:sz w:val="24"/>
          <w:szCs w:val="24"/>
          <w:lang w:val="en-US" w:eastAsia="zh-CN" w:bidi="ar"/>
        </w:rPr>
        <w:t>COD</w:t>
      </w:r>
      <w:r>
        <w:rPr>
          <w:rFonts w:hint="default" w:ascii="Times New Roman" w:hAnsi="Times New Roman" w:eastAsia="宋体" w:cs="Times New Roman"/>
          <w:color w:val="auto"/>
          <w:kern w:val="2"/>
          <w:sz w:val="24"/>
          <w:szCs w:val="24"/>
          <w:vertAlign w:val="subscript"/>
          <w:lang w:val="en-US" w:eastAsia="zh-CN" w:bidi="ar"/>
        </w:rPr>
        <w:t>Cr</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NH</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lang w:val="en-US" w:eastAsia="zh-CN" w:bidi="ar"/>
        </w:rPr>
        <w:t>-N</w:t>
      </w:r>
      <w:r>
        <w:rPr>
          <w:rFonts w:hint="eastAsia" w:ascii="宋体" w:hAnsi="宋体" w:eastAsia="宋体" w:cs="宋体"/>
          <w:color w:val="auto"/>
          <w:kern w:val="2"/>
          <w:sz w:val="24"/>
          <w:szCs w:val="24"/>
          <w:lang w:val="en-US" w:eastAsia="zh-CN" w:bidi="ar"/>
        </w:rPr>
        <w:t>、工业烟粉尘、挥发性有机物（</w:t>
      </w:r>
      <w:r>
        <w:rPr>
          <w:rFonts w:hint="default" w:ascii="Times New Roman" w:hAnsi="Times New Roman" w:eastAsia="宋体" w:cs="Times New Roman"/>
          <w:color w:val="auto"/>
          <w:kern w:val="2"/>
          <w:sz w:val="24"/>
          <w:szCs w:val="24"/>
          <w:lang w:val="en-US" w:eastAsia="zh-CN" w:bidi="ar"/>
        </w:rPr>
        <w:t>VOCs</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SO</w:t>
      </w:r>
      <w:r>
        <w:rPr>
          <w:rFonts w:hint="default" w:ascii="Times New Roman" w:hAnsi="Times New Roman" w:eastAsia="宋体" w:cs="Times New Roman"/>
          <w:color w:val="auto"/>
          <w:kern w:val="2"/>
          <w:sz w:val="24"/>
          <w:szCs w:val="24"/>
          <w:vertAlign w:val="subscript"/>
          <w:lang w:val="en-US" w:eastAsia="zh-CN" w:bidi="ar"/>
        </w:rPr>
        <w:t>2</w:t>
      </w:r>
      <w:r>
        <w:rPr>
          <w:rFonts w:hint="eastAsia" w:ascii="宋体" w:hAnsi="宋体" w:eastAsia="宋体" w:cs="宋体"/>
          <w:color w:val="auto"/>
          <w:kern w:val="2"/>
          <w:sz w:val="24"/>
          <w:szCs w:val="24"/>
          <w:lang w:val="en-US" w:eastAsia="zh-CN" w:bidi="ar"/>
        </w:rPr>
        <w:t>和</w:t>
      </w:r>
      <w:r>
        <w:rPr>
          <w:rFonts w:hint="default" w:ascii="Times New Roman" w:hAnsi="Times New Roman" w:eastAsia="宋体" w:cs="Times New Roman"/>
          <w:color w:val="auto"/>
          <w:kern w:val="2"/>
          <w:sz w:val="24"/>
          <w:szCs w:val="24"/>
          <w:lang w:val="en-US" w:eastAsia="zh-CN" w:bidi="ar"/>
        </w:rPr>
        <w:t>NOx</w:t>
      </w:r>
      <w:r>
        <w:rPr>
          <w:rFonts w:hint="eastAsia" w:ascii="宋体" w:hAnsi="宋体" w:eastAsia="宋体" w:cs="宋体"/>
          <w:color w:val="auto"/>
          <w:kern w:val="2"/>
          <w:sz w:val="24"/>
          <w:szCs w:val="24"/>
          <w:lang w:val="en-US" w:eastAsia="zh-CN" w:bidi="ar"/>
        </w:rPr>
        <w:t>排放总量，具体见下表</w:t>
      </w:r>
      <w:r>
        <w:rPr>
          <w:rFonts w:hint="default" w:ascii="Times New Roman" w:hAnsi="Times New Roman" w:eastAsia="宋体" w:cs="Times New Roman"/>
          <w:color w:val="auto"/>
          <w:kern w:val="2"/>
          <w:sz w:val="24"/>
          <w:szCs w:val="24"/>
          <w:lang w:val="en-US" w:eastAsia="zh-CN" w:bidi="ar"/>
        </w:rPr>
        <w:t>。</w:t>
      </w:r>
    </w:p>
    <w:p w14:paraId="1ECA5374">
      <w:pPr>
        <w:pStyle w:val="9"/>
        <w:keepNext w:val="0"/>
        <w:keepLines w:val="0"/>
        <w:widowControl w:val="0"/>
        <w:suppressLineNumbers w:val="0"/>
        <w:autoSpaceDE w:val="0"/>
        <w:autoSpaceDN/>
        <w:spacing w:before="0" w:beforeAutospacing="0" w:after="0" w:afterLines="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表</w:t>
      </w:r>
      <w:r>
        <w:rPr>
          <w:rFonts w:hint="default" w:ascii="Times New Roman" w:hAnsi="Times New Roman" w:cs="Times New Roman"/>
          <w:b/>
          <w:bCs/>
          <w:color w:val="auto"/>
          <w:kern w:val="2"/>
          <w:sz w:val="21"/>
          <w:szCs w:val="21"/>
          <w:lang w:val="en-US" w:eastAsia="zh-CN" w:bidi="ar"/>
        </w:rPr>
        <w:t>2</w:t>
      </w:r>
      <w:r>
        <w:rPr>
          <w:rFonts w:hint="default" w:ascii="Times New Roman" w:hAnsi="Times New Roman" w:eastAsia="宋体" w:cs="Times New Roman"/>
          <w:b/>
          <w:bCs/>
          <w:color w:val="auto"/>
          <w:kern w:val="2"/>
          <w:sz w:val="21"/>
          <w:szCs w:val="21"/>
          <w:lang w:val="en-US" w:eastAsia="zh-CN" w:bidi="ar"/>
        </w:rPr>
        <w:t xml:space="preserve">  </w:t>
      </w:r>
      <w:r>
        <w:rPr>
          <w:rFonts w:hint="eastAsia" w:ascii="宋体" w:hAnsi="宋体" w:eastAsia="宋体" w:cs="宋体"/>
          <w:b/>
          <w:bCs/>
          <w:color w:val="auto"/>
          <w:kern w:val="2"/>
          <w:sz w:val="21"/>
          <w:szCs w:val="21"/>
          <w:lang w:val="en-US" w:eastAsia="zh-CN" w:bidi="ar"/>
        </w:rPr>
        <w:t>本项目实际污染物排放总量控制指标核算表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1"/>
        <w:gridCol w:w="3001"/>
        <w:gridCol w:w="2672"/>
        <w:gridCol w:w="2674"/>
      </w:tblGrid>
      <w:tr w14:paraId="7FCE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3FBA97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类别</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8730BF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总量控制指标名称</w:t>
            </w:r>
          </w:p>
        </w:tc>
        <w:tc>
          <w:tcPr>
            <w:tcW w:w="2536" w:type="dxa"/>
            <w:tcBorders>
              <w:top w:val="single" w:color="auto" w:sz="4" w:space="0"/>
              <w:left w:val="single" w:color="auto" w:sz="4" w:space="0"/>
              <w:bottom w:val="single" w:color="auto" w:sz="4" w:space="0"/>
              <w:right w:val="single" w:color="auto" w:sz="4" w:space="0"/>
            </w:tcBorders>
            <w:shd w:val="clear" w:color="auto" w:fill="auto"/>
            <w:vAlign w:val="center"/>
          </w:tcPr>
          <w:p w14:paraId="47350EC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审批排放量</w:t>
            </w:r>
          </w:p>
          <w:p w14:paraId="430C92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c>
          <w:tcPr>
            <w:tcW w:w="2538" w:type="dxa"/>
            <w:tcBorders>
              <w:top w:val="single" w:color="auto" w:sz="4" w:space="0"/>
              <w:left w:val="single" w:color="auto" w:sz="4" w:space="0"/>
              <w:bottom w:val="single" w:color="auto" w:sz="4" w:space="0"/>
              <w:right w:val="single" w:color="auto" w:sz="4" w:space="0"/>
            </w:tcBorders>
            <w:shd w:val="clear" w:color="auto" w:fill="auto"/>
            <w:vAlign w:val="center"/>
          </w:tcPr>
          <w:p w14:paraId="239062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实际排放量</w:t>
            </w:r>
          </w:p>
          <w:p w14:paraId="333D9F9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r>
      <w:tr w14:paraId="488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vMerge w:val="restart"/>
            <w:tcBorders>
              <w:top w:val="nil"/>
              <w:left w:val="single" w:color="auto" w:sz="4" w:space="0"/>
              <w:bottom w:val="single" w:color="auto" w:sz="4" w:space="0"/>
              <w:right w:val="single" w:color="auto" w:sz="4" w:space="0"/>
            </w:tcBorders>
            <w:shd w:val="clear" w:color="auto" w:fill="auto"/>
            <w:vAlign w:val="center"/>
          </w:tcPr>
          <w:p w14:paraId="2441EDC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b w:val="0"/>
                <w:bCs w:val="0"/>
                <w:color w:val="auto"/>
                <w:kern w:val="2"/>
                <w:sz w:val="21"/>
                <w:szCs w:val="21"/>
                <w:lang w:val="en-US" w:eastAsia="zh-CN" w:bidi="ar"/>
              </w:rPr>
              <w:t>废水</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728A7E5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水量</w:t>
            </w:r>
          </w:p>
        </w:tc>
        <w:tc>
          <w:tcPr>
            <w:tcW w:w="2536" w:type="dxa"/>
            <w:tcBorders>
              <w:top w:val="single" w:color="auto" w:sz="4" w:space="0"/>
              <w:left w:val="single" w:color="auto" w:sz="4" w:space="0"/>
              <w:bottom w:val="single" w:color="auto" w:sz="4" w:space="0"/>
              <w:right w:val="single" w:color="auto" w:sz="4" w:space="0"/>
            </w:tcBorders>
            <w:shd w:val="clear" w:color="auto" w:fill="auto"/>
            <w:vAlign w:val="center"/>
          </w:tcPr>
          <w:p w14:paraId="40948ED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kern w:val="2"/>
                <w:sz w:val="21"/>
                <w:szCs w:val="21"/>
                <w:lang w:val="en-US" w:eastAsia="zh-CN" w:bidi="ar"/>
              </w:rPr>
              <w:t>144</w:t>
            </w:r>
          </w:p>
        </w:tc>
        <w:tc>
          <w:tcPr>
            <w:tcW w:w="2538" w:type="dxa"/>
            <w:tcBorders>
              <w:top w:val="single" w:color="auto" w:sz="4" w:space="0"/>
              <w:left w:val="single" w:color="auto" w:sz="4" w:space="0"/>
              <w:bottom w:val="single" w:color="auto" w:sz="4" w:space="0"/>
              <w:right w:val="single" w:color="auto" w:sz="4" w:space="0"/>
            </w:tcBorders>
            <w:shd w:val="clear" w:color="auto" w:fill="auto"/>
            <w:vAlign w:val="center"/>
          </w:tcPr>
          <w:p w14:paraId="365C8D0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kern w:val="2"/>
                <w:sz w:val="21"/>
                <w:szCs w:val="21"/>
                <w:lang w:val="en-US" w:eastAsia="zh-CN" w:bidi="ar"/>
              </w:rPr>
              <w:t>144</w:t>
            </w:r>
          </w:p>
        </w:tc>
      </w:tr>
      <w:tr w14:paraId="6494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140" w:type="dxa"/>
            <w:vMerge w:val="continue"/>
            <w:tcBorders>
              <w:top w:val="nil"/>
              <w:left w:val="single" w:color="auto" w:sz="4" w:space="0"/>
              <w:bottom w:val="single" w:color="auto" w:sz="4" w:space="0"/>
              <w:right w:val="single" w:color="auto" w:sz="4" w:space="0"/>
            </w:tcBorders>
            <w:shd w:val="clear" w:color="auto" w:fill="auto"/>
            <w:vAlign w:val="center"/>
          </w:tcPr>
          <w:p w14:paraId="4AD39D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5905D1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COD</w:t>
            </w:r>
            <w:r>
              <w:rPr>
                <w:rFonts w:hint="default" w:ascii="Times New Roman" w:hAnsi="Times New Roman" w:eastAsia="宋体" w:cs="Times New Roman"/>
                <w:b w:val="0"/>
                <w:bCs w:val="0"/>
                <w:color w:val="auto"/>
                <w:kern w:val="2"/>
                <w:sz w:val="21"/>
                <w:szCs w:val="21"/>
                <w:vertAlign w:val="subscript"/>
                <w:lang w:val="en-US" w:eastAsia="zh-CN" w:bidi="ar"/>
              </w:rPr>
              <w:t>Cr</w:t>
            </w:r>
          </w:p>
        </w:tc>
        <w:tc>
          <w:tcPr>
            <w:tcW w:w="2536" w:type="dxa"/>
            <w:tcBorders>
              <w:top w:val="single" w:color="auto" w:sz="4" w:space="0"/>
              <w:left w:val="single" w:color="auto" w:sz="4" w:space="0"/>
              <w:bottom w:val="single" w:color="auto" w:sz="4" w:space="0"/>
              <w:right w:val="single" w:color="auto" w:sz="4" w:space="0"/>
            </w:tcBorders>
            <w:shd w:val="clear" w:color="auto" w:fill="auto"/>
            <w:vAlign w:val="center"/>
          </w:tcPr>
          <w:p w14:paraId="069D403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kern w:val="2"/>
                <w:sz w:val="21"/>
                <w:szCs w:val="21"/>
                <w:lang w:val="en-US" w:eastAsia="zh-CN" w:bidi="ar"/>
              </w:rPr>
              <w:t>0.006</w:t>
            </w:r>
          </w:p>
        </w:tc>
        <w:tc>
          <w:tcPr>
            <w:tcW w:w="2538" w:type="dxa"/>
            <w:tcBorders>
              <w:top w:val="single" w:color="auto" w:sz="4" w:space="0"/>
              <w:left w:val="single" w:color="auto" w:sz="4" w:space="0"/>
              <w:bottom w:val="single" w:color="auto" w:sz="4" w:space="0"/>
              <w:right w:val="single" w:color="auto" w:sz="4" w:space="0"/>
            </w:tcBorders>
            <w:shd w:val="clear" w:color="auto" w:fill="auto"/>
            <w:vAlign w:val="center"/>
          </w:tcPr>
          <w:p w14:paraId="707E861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kern w:val="2"/>
                <w:sz w:val="21"/>
                <w:szCs w:val="21"/>
                <w:lang w:val="en-US" w:eastAsia="zh-CN" w:bidi="ar"/>
              </w:rPr>
              <w:t>0.006</w:t>
            </w:r>
          </w:p>
        </w:tc>
      </w:tr>
      <w:tr w14:paraId="0686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vMerge w:val="continue"/>
            <w:tcBorders>
              <w:top w:val="nil"/>
              <w:left w:val="single" w:color="auto" w:sz="4" w:space="0"/>
              <w:bottom w:val="single" w:color="auto" w:sz="4" w:space="0"/>
              <w:right w:val="single" w:color="auto" w:sz="4" w:space="0"/>
            </w:tcBorders>
            <w:shd w:val="clear" w:color="auto" w:fill="auto"/>
            <w:vAlign w:val="center"/>
          </w:tcPr>
          <w:p w14:paraId="485F0B9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0460D04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NH</w:t>
            </w:r>
            <w:r>
              <w:rPr>
                <w:rFonts w:hint="default" w:ascii="Times New Roman" w:hAnsi="Times New Roman" w:eastAsia="宋体" w:cs="Times New Roman"/>
                <w:b w:val="0"/>
                <w:bCs w:val="0"/>
                <w:color w:val="auto"/>
                <w:kern w:val="2"/>
                <w:sz w:val="21"/>
                <w:szCs w:val="21"/>
                <w:vertAlign w:val="subscript"/>
                <w:lang w:val="en-US" w:eastAsia="zh-CN" w:bidi="ar"/>
              </w:rPr>
              <w:t>3</w:t>
            </w:r>
            <w:r>
              <w:rPr>
                <w:rFonts w:hint="default" w:ascii="Times New Roman" w:hAnsi="Times New Roman" w:eastAsia="宋体" w:cs="Times New Roman"/>
                <w:b w:val="0"/>
                <w:bCs w:val="0"/>
                <w:color w:val="auto"/>
                <w:kern w:val="2"/>
                <w:sz w:val="21"/>
                <w:szCs w:val="21"/>
                <w:lang w:val="en-US" w:eastAsia="zh-CN" w:bidi="ar"/>
              </w:rPr>
              <w:t>-N</w:t>
            </w:r>
          </w:p>
        </w:tc>
        <w:tc>
          <w:tcPr>
            <w:tcW w:w="2536" w:type="dxa"/>
            <w:tcBorders>
              <w:top w:val="single" w:color="auto" w:sz="4" w:space="0"/>
              <w:left w:val="single" w:color="auto" w:sz="4" w:space="0"/>
              <w:bottom w:val="single" w:color="auto" w:sz="4" w:space="0"/>
              <w:right w:val="single" w:color="auto" w:sz="4" w:space="0"/>
            </w:tcBorders>
            <w:shd w:val="clear" w:color="auto" w:fill="auto"/>
            <w:vAlign w:val="center"/>
          </w:tcPr>
          <w:p w14:paraId="1B0F5D3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kern w:val="2"/>
                <w:sz w:val="21"/>
                <w:szCs w:val="21"/>
                <w:lang w:val="en-US" w:eastAsia="zh-CN" w:bidi="ar"/>
              </w:rPr>
              <w:t>0.0003</w:t>
            </w:r>
          </w:p>
        </w:tc>
        <w:tc>
          <w:tcPr>
            <w:tcW w:w="2538" w:type="dxa"/>
            <w:tcBorders>
              <w:top w:val="single" w:color="auto" w:sz="4" w:space="0"/>
              <w:left w:val="single" w:color="auto" w:sz="4" w:space="0"/>
              <w:bottom w:val="single" w:color="auto" w:sz="4" w:space="0"/>
              <w:right w:val="single" w:color="auto" w:sz="4" w:space="0"/>
            </w:tcBorders>
            <w:shd w:val="clear" w:color="auto" w:fill="auto"/>
            <w:vAlign w:val="center"/>
          </w:tcPr>
          <w:p w14:paraId="6D0BB24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kern w:val="2"/>
                <w:sz w:val="21"/>
                <w:szCs w:val="21"/>
                <w:lang w:val="en-US" w:eastAsia="zh-CN" w:bidi="ar"/>
              </w:rPr>
              <w:t>0.0003</w:t>
            </w:r>
          </w:p>
        </w:tc>
      </w:tr>
      <w:tr w14:paraId="4CFC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vMerge w:val="restart"/>
            <w:tcBorders>
              <w:top w:val="nil"/>
              <w:left w:val="single" w:color="auto" w:sz="4" w:space="0"/>
              <w:bottom w:val="single" w:color="auto" w:sz="4" w:space="0"/>
              <w:right w:val="single" w:color="auto" w:sz="4" w:space="0"/>
            </w:tcBorders>
            <w:shd w:val="clear" w:color="auto" w:fill="auto"/>
            <w:vAlign w:val="center"/>
          </w:tcPr>
          <w:p w14:paraId="62D692E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b w:val="0"/>
                <w:bCs w:val="0"/>
                <w:color w:val="auto"/>
                <w:kern w:val="2"/>
                <w:sz w:val="21"/>
                <w:szCs w:val="21"/>
                <w:lang w:val="en-US" w:eastAsia="zh-CN" w:bidi="ar"/>
              </w:rPr>
              <w:t>废气</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0E18595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工业烟粉尘</w:t>
            </w:r>
          </w:p>
        </w:tc>
        <w:tc>
          <w:tcPr>
            <w:tcW w:w="2536" w:type="dxa"/>
            <w:tcBorders>
              <w:top w:val="single" w:color="auto" w:sz="4" w:space="0"/>
              <w:left w:val="single" w:color="auto" w:sz="4" w:space="0"/>
              <w:bottom w:val="single" w:color="auto" w:sz="4" w:space="0"/>
              <w:right w:val="single" w:color="auto" w:sz="4" w:space="0"/>
            </w:tcBorders>
            <w:shd w:val="clear" w:color="auto" w:fill="auto"/>
            <w:vAlign w:val="center"/>
          </w:tcPr>
          <w:p w14:paraId="3DA64D1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kern w:val="2"/>
                <w:sz w:val="21"/>
                <w:szCs w:val="21"/>
                <w:lang w:val="en-US" w:eastAsia="zh-CN" w:bidi="ar"/>
              </w:rPr>
              <w:t>0.749</w:t>
            </w:r>
          </w:p>
        </w:tc>
        <w:tc>
          <w:tcPr>
            <w:tcW w:w="2538" w:type="dxa"/>
            <w:tcBorders>
              <w:top w:val="single" w:color="auto" w:sz="4" w:space="0"/>
              <w:left w:val="single" w:color="auto" w:sz="4" w:space="0"/>
              <w:bottom w:val="single" w:color="auto" w:sz="4" w:space="0"/>
              <w:right w:val="single" w:color="auto" w:sz="4" w:space="0"/>
            </w:tcBorders>
            <w:shd w:val="clear" w:color="auto" w:fill="auto"/>
            <w:vAlign w:val="center"/>
          </w:tcPr>
          <w:p w14:paraId="20FA98B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0.311</w:t>
            </w:r>
            <w:r>
              <w:rPr>
                <w:rFonts w:hint="default" w:ascii="Times New Roman" w:hAnsi="Times New Roman" w:eastAsia="宋体" w:cs="Times New Roman"/>
                <w:b w:val="0"/>
                <w:bCs w:val="0"/>
                <w:color w:val="auto"/>
                <w:kern w:val="2"/>
                <w:sz w:val="21"/>
                <w:szCs w:val="21"/>
                <w:vertAlign w:val="superscript"/>
                <w:lang w:val="en-US" w:eastAsia="zh-CN" w:bidi="ar"/>
              </w:rPr>
              <w:t>1</w:t>
            </w:r>
          </w:p>
        </w:tc>
      </w:tr>
      <w:tr w14:paraId="6A51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vMerge w:val="continue"/>
            <w:tcBorders>
              <w:top w:val="nil"/>
              <w:left w:val="single" w:color="auto" w:sz="4" w:space="0"/>
              <w:bottom w:val="single" w:color="auto" w:sz="4" w:space="0"/>
              <w:right w:val="single" w:color="auto" w:sz="4" w:space="0"/>
            </w:tcBorders>
            <w:shd w:val="clear" w:color="auto" w:fill="auto"/>
            <w:vAlign w:val="center"/>
          </w:tcPr>
          <w:p w14:paraId="4F17A09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17CBD0D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挥发性有机物（</w:t>
            </w:r>
            <w:r>
              <w:rPr>
                <w:rFonts w:hint="default" w:ascii="Times New Roman" w:hAnsi="Times New Roman" w:eastAsia="宋体" w:cs="Times New Roman"/>
                <w:color w:val="auto"/>
                <w:kern w:val="2"/>
                <w:sz w:val="21"/>
                <w:szCs w:val="21"/>
                <w:lang w:val="en-US" w:eastAsia="zh-CN" w:bidi="ar"/>
              </w:rPr>
              <w:t>VOCs</w:t>
            </w:r>
            <w:r>
              <w:rPr>
                <w:rFonts w:hint="eastAsia" w:ascii="宋体" w:hAnsi="宋体" w:eastAsia="宋体" w:cs="宋体"/>
                <w:color w:val="auto"/>
                <w:kern w:val="2"/>
                <w:sz w:val="21"/>
                <w:szCs w:val="21"/>
                <w:lang w:val="en-US" w:eastAsia="zh-CN" w:bidi="ar"/>
              </w:rPr>
              <w:t>）</w:t>
            </w:r>
          </w:p>
        </w:tc>
        <w:tc>
          <w:tcPr>
            <w:tcW w:w="2536" w:type="dxa"/>
            <w:tcBorders>
              <w:top w:val="single" w:color="auto" w:sz="4" w:space="0"/>
              <w:left w:val="single" w:color="auto" w:sz="4" w:space="0"/>
              <w:bottom w:val="single" w:color="auto" w:sz="4" w:space="0"/>
              <w:right w:val="single" w:color="auto" w:sz="4" w:space="0"/>
            </w:tcBorders>
            <w:shd w:val="clear" w:color="auto" w:fill="auto"/>
            <w:vAlign w:val="center"/>
          </w:tcPr>
          <w:p w14:paraId="19D9932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0.034</w:t>
            </w:r>
          </w:p>
        </w:tc>
        <w:tc>
          <w:tcPr>
            <w:tcW w:w="2538" w:type="dxa"/>
            <w:tcBorders>
              <w:top w:val="single" w:color="auto" w:sz="4" w:space="0"/>
              <w:left w:val="single" w:color="auto" w:sz="4" w:space="0"/>
              <w:bottom w:val="single" w:color="auto" w:sz="4" w:space="0"/>
              <w:right w:val="single" w:color="auto" w:sz="4" w:space="0"/>
            </w:tcBorders>
            <w:shd w:val="clear" w:color="auto" w:fill="auto"/>
            <w:vAlign w:val="center"/>
          </w:tcPr>
          <w:p w14:paraId="1939C4E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0.029</w:t>
            </w:r>
            <w:r>
              <w:rPr>
                <w:rFonts w:hint="default" w:ascii="Times New Roman" w:hAnsi="Times New Roman" w:eastAsia="宋体" w:cs="Times New Roman"/>
                <w:b w:val="0"/>
                <w:bCs w:val="0"/>
                <w:color w:val="auto"/>
                <w:kern w:val="2"/>
                <w:sz w:val="21"/>
                <w:szCs w:val="21"/>
                <w:vertAlign w:val="superscript"/>
                <w:lang w:val="en-US" w:eastAsia="zh-CN" w:bidi="ar"/>
              </w:rPr>
              <w:t>2</w:t>
            </w:r>
          </w:p>
        </w:tc>
      </w:tr>
      <w:tr w14:paraId="2F30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vMerge w:val="continue"/>
            <w:tcBorders>
              <w:top w:val="nil"/>
              <w:left w:val="single" w:color="auto" w:sz="4" w:space="0"/>
              <w:bottom w:val="single" w:color="auto" w:sz="4" w:space="0"/>
              <w:right w:val="single" w:color="auto" w:sz="4" w:space="0"/>
            </w:tcBorders>
            <w:shd w:val="clear" w:color="auto" w:fill="auto"/>
            <w:vAlign w:val="center"/>
          </w:tcPr>
          <w:p w14:paraId="7EF704C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72B4E28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SO</w:t>
            </w:r>
            <w:r>
              <w:rPr>
                <w:rFonts w:hint="default" w:ascii="Times New Roman" w:hAnsi="Times New Roman" w:eastAsia="宋体" w:cs="Times New Roman"/>
                <w:color w:val="auto"/>
                <w:kern w:val="2"/>
                <w:sz w:val="21"/>
                <w:szCs w:val="21"/>
                <w:vertAlign w:val="subscript"/>
                <w:lang w:val="en-US" w:eastAsia="zh-CN" w:bidi="ar"/>
              </w:rPr>
              <w:t>2</w:t>
            </w:r>
          </w:p>
        </w:tc>
        <w:tc>
          <w:tcPr>
            <w:tcW w:w="2536" w:type="dxa"/>
            <w:tcBorders>
              <w:top w:val="single" w:color="auto" w:sz="4" w:space="0"/>
              <w:left w:val="single" w:color="auto" w:sz="4" w:space="0"/>
              <w:bottom w:val="single" w:color="auto" w:sz="4" w:space="0"/>
              <w:right w:val="single" w:color="auto" w:sz="4" w:space="0"/>
            </w:tcBorders>
            <w:shd w:val="clear" w:color="auto" w:fill="auto"/>
            <w:vAlign w:val="center"/>
          </w:tcPr>
          <w:p w14:paraId="7D16184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0.011</w:t>
            </w:r>
          </w:p>
        </w:tc>
        <w:tc>
          <w:tcPr>
            <w:tcW w:w="2538" w:type="dxa"/>
            <w:tcBorders>
              <w:top w:val="single" w:color="auto" w:sz="4" w:space="0"/>
              <w:left w:val="single" w:color="auto" w:sz="4" w:space="0"/>
              <w:bottom w:val="single" w:color="auto" w:sz="4" w:space="0"/>
              <w:right w:val="single" w:color="auto" w:sz="4" w:space="0"/>
            </w:tcBorders>
            <w:shd w:val="clear" w:color="auto" w:fill="auto"/>
            <w:vAlign w:val="center"/>
          </w:tcPr>
          <w:p w14:paraId="3CAF1A3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Times New Roman" w:hAnsi="Times New Roman" w:cs="Times New Roman"/>
                <w:b w:val="0"/>
                <w:bCs w:val="0"/>
                <w:color w:val="auto"/>
                <w:kern w:val="2"/>
                <w:sz w:val="21"/>
                <w:szCs w:val="21"/>
                <w:lang w:val="en-US" w:eastAsia="zh-CN" w:bidi="ar"/>
              </w:rPr>
              <w:t>/</w:t>
            </w:r>
            <w:r>
              <w:rPr>
                <w:rFonts w:hint="default" w:ascii="Times New Roman" w:hAnsi="Times New Roman" w:eastAsia="宋体" w:cs="Times New Roman"/>
                <w:b w:val="0"/>
                <w:bCs w:val="0"/>
                <w:color w:val="auto"/>
                <w:kern w:val="2"/>
                <w:sz w:val="21"/>
                <w:szCs w:val="21"/>
                <w:vertAlign w:val="superscript"/>
                <w:lang w:val="en-US" w:eastAsia="zh-CN" w:bidi="ar"/>
              </w:rPr>
              <w:t>3</w:t>
            </w:r>
          </w:p>
        </w:tc>
      </w:tr>
      <w:tr w14:paraId="1649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140" w:type="dxa"/>
            <w:vMerge w:val="continue"/>
            <w:tcBorders>
              <w:top w:val="nil"/>
              <w:left w:val="single" w:color="auto" w:sz="4" w:space="0"/>
              <w:bottom w:val="single" w:color="auto" w:sz="4" w:space="0"/>
              <w:right w:val="single" w:color="auto" w:sz="4" w:space="0"/>
            </w:tcBorders>
            <w:shd w:val="clear" w:color="auto" w:fill="auto"/>
            <w:vAlign w:val="center"/>
          </w:tcPr>
          <w:p w14:paraId="526FD6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DAA818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NOx</w:t>
            </w:r>
          </w:p>
        </w:tc>
        <w:tc>
          <w:tcPr>
            <w:tcW w:w="2536" w:type="dxa"/>
            <w:tcBorders>
              <w:top w:val="single" w:color="auto" w:sz="4" w:space="0"/>
              <w:left w:val="single" w:color="auto" w:sz="4" w:space="0"/>
              <w:bottom w:val="single" w:color="auto" w:sz="4" w:space="0"/>
              <w:right w:val="single" w:color="auto" w:sz="4" w:space="0"/>
            </w:tcBorders>
            <w:shd w:val="clear" w:color="auto" w:fill="auto"/>
            <w:vAlign w:val="center"/>
          </w:tcPr>
          <w:p w14:paraId="14C7D86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0.095</w:t>
            </w:r>
          </w:p>
        </w:tc>
        <w:tc>
          <w:tcPr>
            <w:tcW w:w="2538" w:type="dxa"/>
            <w:tcBorders>
              <w:top w:val="single" w:color="auto" w:sz="4" w:space="0"/>
              <w:left w:val="single" w:color="auto" w:sz="4" w:space="0"/>
              <w:bottom w:val="single" w:color="auto" w:sz="4" w:space="0"/>
              <w:right w:val="single" w:color="auto" w:sz="4" w:space="0"/>
            </w:tcBorders>
            <w:shd w:val="clear" w:color="auto" w:fill="auto"/>
            <w:vAlign w:val="center"/>
          </w:tcPr>
          <w:p w14:paraId="19B29AB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Times New Roman" w:hAnsi="Times New Roman" w:cs="Times New Roman"/>
                <w:b w:val="0"/>
                <w:bCs w:val="0"/>
                <w:color w:val="auto"/>
                <w:kern w:val="2"/>
                <w:sz w:val="21"/>
                <w:szCs w:val="21"/>
                <w:lang w:val="en-US" w:eastAsia="zh-CN" w:bidi="ar"/>
              </w:rPr>
              <w:t>/</w:t>
            </w:r>
            <w:r>
              <w:rPr>
                <w:rFonts w:hint="default" w:ascii="Times New Roman" w:hAnsi="Times New Roman" w:eastAsia="宋体" w:cs="Times New Roman"/>
                <w:b w:val="0"/>
                <w:bCs w:val="0"/>
                <w:color w:val="auto"/>
                <w:kern w:val="2"/>
                <w:sz w:val="21"/>
                <w:szCs w:val="21"/>
                <w:vertAlign w:val="superscript"/>
                <w:lang w:val="en-US" w:eastAsia="zh-CN" w:bidi="ar"/>
              </w:rPr>
              <w:t>4</w:t>
            </w:r>
          </w:p>
        </w:tc>
      </w:tr>
      <w:tr w14:paraId="6777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 w:hRule="atLeast"/>
          <w:jc w:val="center"/>
        </w:trPr>
        <w:tc>
          <w:tcPr>
            <w:tcW w:w="90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2DE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注：</w:t>
            </w:r>
            <w:r>
              <w:rPr>
                <w:rFonts w:hint="default" w:ascii="Times New Roman" w:hAnsi="Times New Roman" w:eastAsia="宋体" w:cs="Times New Roman"/>
                <w:b w:val="0"/>
                <w:bCs w:val="0"/>
                <w:color w:val="auto"/>
                <w:kern w:val="2"/>
                <w:sz w:val="21"/>
                <w:szCs w:val="21"/>
                <w:lang w:val="en-US" w:eastAsia="zh-CN" w:bidi="ar"/>
              </w:rPr>
              <w:t>1</w:t>
            </w:r>
            <w:r>
              <w:rPr>
                <w:rFonts w:hint="eastAsia" w:ascii="宋体" w:hAnsi="宋体" w:eastAsia="宋体" w:cs="宋体"/>
                <w:b w:val="0"/>
                <w:bCs w:val="0"/>
                <w:color w:val="auto"/>
                <w:kern w:val="2"/>
                <w:sz w:val="21"/>
                <w:szCs w:val="21"/>
                <w:lang w:val="en-US" w:eastAsia="zh-CN" w:bidi="ar"/>
              </w:rPr>
              <w:t>、工业烟粉尘验收核算有组织</w:t>
            </w:r>
            <w:r>
              <w:rPr>
                <w:rFonts w:hint="default" w:ascii="Times New Roman" w:hAnsi="Times New Roman" w:eastAsia="宋体" w:cs="Times New Roman"/>
                <w:b w:val="0"/>
                <w:bCs w:val="0"/>
                <w:color w:val="auto"/>
                <w:kern w:val="2"/>
                <w:sz w:val="21"/>
                <w:szCs w:val="21"/>
                <w:lang w:val="en-US" w:eastAsia="zh-CN" w:bidi="ar"/>
              </w:rPr>
              <w:t>0.048t/a</w:t>
            </w:r>
            <w:r>
              <w:rPr>
                <w:rFonts w:hint="eastAsia" w:ascii="宋体" w:hAnsi="宋体" w:eastAsia="宋体" w:cs="宋体"/>
                <w:b w:val="0"/>
                <w:bCs w:val="0"/>
                <w:color w:val="auto"/>
                <w:kern w:val="2"/>
                <w:sz w:val="21"/>
                <w:szCs w:val="21"/>
                <w:lang w:val="en-US" w:eastAsia="zh-CN" w:bidi="ar"/>
              </w:rPr>
              <w:t>，环评中工业烟粉尘无组织</w:t>
            </w:r>
            <w:r>
              <w:rPr>
                <w:rFonts w:hint="default" w:ascii="Times New Roman" w:hAnsi="Times New Roman" w:eastAsia="宋体" w:cs="Times New Roman"/>
                <w:b w:val="0"/>
                <w:bCs w:val="0"/>
                <w:color w:val="auto"/>
                <w:kern w:val="2"/>
                <w:sz w:val="21"/>
                <w:szCs w:val="21"/>
                <w:lang w:val="en-US" w:eastAsia="zh-CN" w:bidi="ar"/>
              </w:rPr>
              <w:t>0.263t/a</w:t>
            </w:r>
            <w:r>
              <w:rPr>
                <w:rFonts w:hint="eastAsia" w:ascii="宋体" w:hAnsi="宋体" w:eastAsia="宋体" w:cs="宋体"/>
                <w:b w:val="0"/>
                <w:bCs w:val="0"/>
                <w:color w:val="auto"/>
                <w:kern w:val="2"/>
                <w:sz w:val="21"/>
                <w:szCs w:val="21"/>
                <w:lang w:val="en-US" w:eastAsia="zh-CN" w:bidi="ar"/>
              </w:rPr>
              <w:t>，故工业烟粉尘实际排放量</w:t>
            </w:r>
            <w:r>
              <w:rPr>
                <w:rFonts w:hint="default" w:ascii="Times New Roman" w:hAnsi="Times New Roman" w:eastAsia="宋体" w:cs="Times New Roman"/>
                <w:b w:val="0"/>
                <w:bCs w:val="0"/>
                <w:color w:val="auto"/>
                <w:kern w:val="2"/>
                <w:sz w:val="21"/>
                <w:szCs w:val="21"/>
                <w:lang w:val="en-US" w:eastAsia="zh-CN" w:bidi="ar"/>
              </w:rPr>
              <w:t>=0.048+0.263=0.311t/a</w:t>
            </w:r>
            <w:r>
              <w:rPr>
                <w:rFonts w:hint="eastAsia" w:ascii="宋体" w:hAnsi="宋体" w:eastAsia="宋体" w:cs="宋体"/>
                <w:b w:val="0"/>
                <w:bCs w:val="0"/>
                <w:color w:val="auto"/>
                <w:kern w:val="2"/>
                <w:sz w:val="21"/>
                <w:szCs w:val="21"/>
                <w:lang w:val="en-US" w:eastAsia="zh-CN" w:bidi="ar"/>
              </w:rPr>
              <w:t>；</w:t>
            </w:r>
          </w:p>
          <w:p w14:paraId="3909D58B">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right="0" w:rightChars="0" w:firstLine="420" w:firstLineChars="200"/>
              <w:jc w:val="both"/>
              <w:textAlignment w:val="auto"/>
              <w:rPr>
                <w:rFonts w:hint="eastAsia"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挥发性有机物（</w:t>
            </w:r>
            <w:r>
              <w:rPr>
                <w:rFonts w:hint="default" w:ascii="Times New Roman" w:hAnsi="Times New Roman" w:eastAsia="宋体" w:cs="Times New Roman"/>
                <w:b w:val="0"/>
                <w:bCs w:val="0"/>
                <w:color w:val="auto"/>
                <w:kern w:val="2"/>
                <w:sz w:val="21"/>
                <w:szCs w:val="21"/>
                <w:lang w:val="en-US" w:eastAsia="zh-CN" w:bidi="ar"/>
              </w:rPr>
              <w:t>VOCs</w:t>
            </w:r>
            <w:r>
              <w:rPr>
                <w:rFonts w:hint="eastAsia" w:ascii="宋体" w:hAnsi="宋体" w:eastAsia="宋体" w:cs="宋体"/>
                <w:b w:val="0"/>
                <w:bCs w:val="0"/>
                <w:color w:val="auto"/>
                <w:kern w:val="2"/>
                <w:sz w:val="21"/>
                <w:szCs w:val="21"/>
                <w:lang w:val="en-US" w:eastAsia="zh-CN" w:bidi="ar"/>
              </w:rPr>
              <w:t>）验收核算有组织</w:t>
            </w:r>
            <w:r>
              <w:rPr>
                <w:rFonts w:hint="default" w:ascii="Times New Roman" w:hAnsi="Times New Roman" w:eastAsia="宋体" w:cs="Times New Roman"/>
                <w:b w:val="0"/>
                <w:bCs w:val="0"/>
                <w:color w:val="auto"/>
                <w:kern w:val="2"/>
                <w:sz w:val="21"/>
                <w:szCs w:val="21"/>
                <w:lang w:val="en-US" w:eastAsia="zh-CN" w:bidi="ar"/>
              </w:rPr>
              <w:t>0.015t/a</w:t>
            </w:r>
            <w:r>
              <w:rPr>
                <w:rFonts w:hint="eastAsia" w:ascii="宋体" w:hAnsi="宋体" w:eastAsia="宋体" w:cs="宋体"/>
                <w:b w:val="0"/>
                <w:bCs w:val="0"/>
                <w:color w:val="auto"/>
                <w:kern w:val="2"/>
                <w:sz w:val="21"/>
                <w:szCs w:val="21"/>
                <w:lang w:val="en-US" w:eastAsia="zh-CN" w:bidi="ar"/>
              </w:rPr>
              <w:t>，环评中挥发性有机物（</w:t>
            </w:r>
            <w:r>
              <w:rPr>
                <w:rFonts w:hint="default" w:ascii="Times New Roman" w:hAnsi="Times New Roman" w:eastAsia="宋体" w:cs="Times New Roman"/>
                <w:b w:val="0"/>
                <w:bCs w:val="0"/>
                <w:color w:val="auto"/>
                <w:kern w:val="2"/>
                <w:sz w:val="21"/>
                <w:szCs w:val="21"/>
                <w:lang w:val="en-US" w:eastAsia="zh-CN" w:bidi="ar"/>
              </w:rPr>
              <w:t>VOCs</w:t>
            </w:r>
            <w:r>
              <w:rPr>
                <w:rFonts w:hint="eastAsia" w:ascii="宋体" w:hAnsi="宋体" w:eastAsia="宋体" w:cs="宋体"/>
                <w:b w:val="0"/>
                <w:bCs w:val="0"/>
                <w:color w:val="auto"/>
                <w:kern w:val="2"/>
                <w:sz w:val="21"/>
                <w:szCs w:val="21"/>
                <w:lang w:val="en-US" w:eastAsia="zh-CN" w:bidi="ar"/>
              </w:rPr>
              <w:t>）无组织</w:t>
            </w:r>
            <w:r>
              <w:rPr>
                <w:rFonts w:hint="default" w:ascii="Times New Roman" w:hAnsi="Times New Roman" w:eastAsia="宋体" w:cs="Times New Roman"/>
                <w:b w:val="0"/>
                <w:bCs w:val="0"/>
                <w:color w:val="auto"/>
                <w:kern w:val="2"/>
                <w:sz w:val="21"/>
                <w:szCs w:val="21"/>
                <w:lang w:val="en-US" w:eastAsia="zh-CN" w:bidi="ar"/>
              </w:rPr>
              <w:t>0.014t/a</w:t>
            </w:r>
            <w:r>
              <w:rPr>
                <w:rFonts w:hint="eastAsia" w:ascii="宋体" w:hAnsi="宋体" w:eastAsia="宋体" w:cs="宋体"/>
                <w:b w:val="0"/>
                <w:bCs w:val="0"/>
                <w:color w:val="auto"/>
                <w:kern w:val="2"/>
                <w:sz w:val="21"/>
                <w:szCs w:val="21"/>
                <w:lang w:val="en-US" w:eastAsia="zh-CN" w:bidi="ar"/>
              </w:rPr>
              <w:t>。故挥发性有机物（</w:t>
            </w:r>
            <w:r>
              <w:rPr>
                <w:rFonts w:hint="default" w:ascii="Times New Roman" w:hAnsi="Times New Roman" w:eastAsia="宋体" w:cs="Times New Roman"/>
                <w:b w:val="0"/>
                <w:bCs w:val="0"/>
                <w:color w:val="auto"/>
                <w:kern w:val="2"/>
                <w:sz w:val="21"/>
                <w:szCs w:val="21"/>
                <w:lang w:val="en-US" w:eastAsia="zh-CN" w:bidi="ar"/>
              </w:rPr>
              <w:t>VOCs</w:t>
            </w:r>
            <w:r>
              <w:rPr>
                <w:rFonts w:hint="eastAsia" w:ascii="宋体" w:hAnsi="宋体" w:eastAsia="宋体" w:cs="宋体"/>
                <w:b w:val="0"/>
                <w:bCs w:val="0"/>
                <w:color w:val="auto"/>
                <w:kern w:val="2"/>
                <w:sz w:val="21"/>
                <w:szCs w:val="21"/>
                <w:lang w:val="en-US" w:eastAsia="zh-CN" w:bidi="ar"/>
              </w:rPr>
              <w:t>）实际排放量</w:t>
            </w:r>
            <w:r>
              <w:rPr>
                <w:rFonts w:hint="default" w:ascii="Times New Roman" w:hAnsi="Times New Roman" w:eastAsia="宋体" w:cs="Times New Roman"/>
                <w:b w:val="0"/>
                <w:bCs w:val="0"/>
                <w:color w:val="auto"/>
                <w:kern w:val="2"/>
                <w:sz w:val="21"/>
                <w:szCs w:val="21"/>
                <w:lang w:val="en-US" w:eastAsia="zh-CN" w:bidi="ar"/>
              </w:rPr>
              <w:t>=0.015+0.014=0.029t/a</w:t>
            </w:r>
            <w:r>
              <w:rPr>
                <w:rFonts w:hint="eastAsia" w:ascii="宋体" w:hAnsi="宋体" w:eastAsia="宋体" w:cs="宋体"/>
                <w:b w:val="0"/>
                <w:bCs w:val="0"/>
                <w:color w:val="auto"/>
                <w:kern w:val="2"/>
                <w:sz w:val="21"/>
                <w:szCs w:val="21"/>
                <w:lang w:val="en-US" w:eastAsia="zh-CN" w:bidi="ar"/>
              </w:rPr>
              <w:t>；</w:t>
            </w:r>
          </w:p>
          <w:p w14:paraId="1A4EC2F0">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right="0" w:rightChars="0" w:firstLine="420" w:firstLineChars="200"/>
              <w:jc w:val="both"/>
              <w:textAlignment w:val="auto"/>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NOx、SO</w:t>
            </w:r>
            <w:r>
              <w:rPr>
                <w:rFonts w:hint="default" w:ascii="Times New Roman" w:hAnsi="Times New Roman" w:eastAsia="宋体" w:cs="Times New Roman"/>
                <w:b w:val="0"/>
                <w:bCs w:val="0"/>
                <w:color w:val="auto"/>
                <w:kern w:val="2"/>
                <w:sz w:val="21"/>
                <w:szCs w:val="21"/>
                <w:vertAlign w:val="subscript"/>
                <w:lang w:val="en-US" w:eastAsia="zh-CN" w:bidi="ar"/>
              </w:rPr>
              <w:t>2</w:t>
            </w:r>
            <w:r>
              <w:rPr>
                <w:rFonts w:hint="default" w:ascii="Times New Roman" w:hAnsi="Times New Roman" w:eastAsia="宋体" w:cs="Times New Roman"/>
                <w:b w:val="0"/>
                <w:bCs w:val="0"/>
                <w:color w:val="auto"/>
                <w:kern w:val="2"/>
                <w:sz w:val="21"/>
                <w:szCs w:val="21"/>
                <w:lang w:val="en-US" w:eastAsia="zh-CN" w:bidi="ar"/>
              </w:rPr>
              <w:t>未检出，不参与总量统计</w:t>
            </w:r>
            <w:r>
              <w:rPr>
                <w:rFonts w:hint="eastAsia" w:ascii="宋体" w:hAnsi="宋体" w:eastAsia="宋体" w:cs="宋体"/>
                <w:b w:val="0"/>
                <w:bCs w:val="0"/>
                <w:color w:val="auto"/>
                <w:kern w:val="2"/>
                <w:sz w:val="21"/>
                <w:szCs w:val="21"/>
                <w:lang w:val="en-US" w:eastAsia="zh-CN" w:bidi="ar"/>
              </w:rPr>
              <w:t>。</w:t>
            </w:r>
          </w:p>
        </w:tc>
      </w:tr>
    </w:tbl>
    <w:p w14:paraId="278BB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color w:val="auto"/>
        </w:rPr>
      </w:pPr>
      <w:r>
        <w:rPr>
          <w:rFonts w:hint="eastAsia" w:ascii="宋体" w:hAnsi="宋体" w:eastAsia="宋体" w:cs="宋体"/>
          <w:color w:val="auto"/>
          <w:kern w:val="2"/>
          <w:sz w:val="24"/>
          <w:szCs w:val="24"/>
          <w:lang w:val="en-US" w:eastAsia="zh-CN" w:bidi="ar"/>
        </w:rPr>
        <w:t>根据上表可知，本项目实际主要污染物排放总量控制指标</w:t>
      </w:r>
      <w:r>
        <w:rPr>
          <w:rFonts w:hint="default" w:ascii="Times New Roman" w:hAnsi="Times New Roman" w:eastAsia="宋体" w:cs="Times New Roman"/>
          <w:color w:val="auto"/>
          <w:kern w:val="2"/>
          <w:sz w:val="24"/>
          <w:szCs w:val="24"/>
          <w:lang w:val="en-US" w:eastAsia="zh-CN" w:bidi="ar"/>
        </w:rPr>
        <w:t>COD</w:t>
      </w:r>
      <w:r>
        <w:rPr>
          <w:rFonts w:hint="default" w:ascii="Times New Roman" w:hAnsi="Times New Roman" w:eastAsia="宋体" w:cs="Times New Roman"/>
          <w:color w:val="auto"/>
          <w:kern w:val="2"/>
          <w:sz w:val="24"/>
          <w:szCs w:val="24"/>
          <w:vertAlign w:val="subscript"/>
          <w:lang w:val="en-US" w:eastAsia="zh-CN" w:bidi="ar"/>
        </w:rPr>
        <w:t>Cr</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NH</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lang w:val="en-US" w:eastAsia="zh-CN" w:bidi="ar"/>
        </w:rPr>
        <w:t>-N</w:t>
      </w:r>
      <w:r>
        <w:rPr>
          <w:rFonts w:hint="eastAsia" w:ascii="宋体" w:hAnsi="宋体" w:eastAsia="宋体" w:cs="宋体"/>
          <w:color w:val="auto"/>
          <w:kern w:val="2"/>
          <w:sz w:val="24"/>
          <w:szCs w:val="24"/>
          <w:lang w:val="en-US" w:eastAsia="zh-CN" w:bidi="ar"/>
        </w:rPr>
        <w:t>、工业烟粉尘、挥发性有机物（</w:t>
      </w:r>
      <w:r>
        <w:rPr>
          <w:rFonts w:hint="default" w:ascii="Times New Roman" w:hAnsi="Times New Roman" w:eastAsia="宋体" w:cs="Times New Roman"/>
          <w:color w:val="auto"/>
          <w:kern w:val="2"/>
          <w:sz w:val="24"/>
          <w:szCs w:val="24"/>
          <w:lang w:val="en-US" w:eastAsia="zh-CN" w:bidi="ar"/>
        </w:rPr>
        <w:t>VOCs</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SO</w:t>
      </w:r>
      <w:r>
        <w:rPr>
          <w:rFonts w:hint="default" w:ascii="Times New Roman" w:hAnsi="Times New Roman" w:eastAsia="宋体" w:cs="Times New Roman"/>
          <w:color w:val="auto"/>
          <w:kern w:val="2"/>
          <w:sz w:val="24"/>
          <w:szCs w:val="24"/>
          <w:vertAlign w:val="subscript"/>
          <w:lang w:val="en-US" w:eastAsia="zh-CN" w:bidi="ar"/>
        </w:rPr>
        <w:t>2</w:t>
      </w:r>
      <w:r>
        <w:rPr>
          <w:rFonts w:hint="eastAsia" w:ascii="宋体" w:hAnsi="宋体" w:eastAsia="宋体" w:cs="宋体"/>
          <w:color w:val="auto"/>
          <w:kern w:val="2"/>
          <w:sz w:val="24"/>
          <w:szCs w:val="24"/>
          <w:lang w:val="en-US" w:eastAsia="zh-CN" w:bidi="ar"/>
        </w:rPr>
        <w:t>和</w:t>
      </w:r>
      <w:r>
        <w:rPr>
          <w:rFonts w:hint="default" w:ascii="Times New Roman" w:hAnsi="Times New Roman" w:eastAsia="宋体" w:cs="Times New Roman"/>
          <w:color w:val="auto"/>
          <w:kern w:val="2"/>
          <w:sz w:val="24"/>
          <w:szCs w:val="24"/>
          <w:lang w:val="en-US" w:eastAsia="zh-CN" w:bidi="ar"/>
        </w:rPr>
        <w:t>NOx</w:t>
      </w:r>
      <w:r>
        <w:rPr>
          <w:rFonts w:hint="eastAsia" w:ascii="宋体" w:hAnsi="宋体" w:eastAsia="宋体" w:cs="宋体"/>
          <w:color w:val="auto"/>
          <w:kern w:val="2"/>
          <w:sz w:val="24"/>
          <w:szCs w:val="24"/>
          <w:lang w:val="en-US" w:eastAsia="zh-CN" w:bidi="ar"/>
        </w:rPr>
        <w:t>均在环评审批的总量控制指标范围内</w:t>
      </w:r>
    </w:p>
    <w:p w14:paraId="33A910E5">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五、工程建设对环境的影响</w:t>
      </w:r>
    </w:p>
    <w:p w14:paraId="6BC23F8A">
      <w:pPr>
        <w:spacing w:line="360" w:lineRule="auto"/>
        <w:ind w:firstLine="480" w:firstLineChars="200"/>
        <w:rPr>
          <w:rFonts w:hint="default" w:ascii="Times New Roman" w:hAnsi="Times New Roman" w:eastAsia="宋体" w:cs="Times New Roman"/>
          <w:color w:val="auto"/>
          <w:kern w:val="0"/>
          <w:sz w:val="24"/>
          <w:highlight w:val="none"/>
        </w:rPr>
      </w:pPr>
      <w:r>
        <w:rPr>
          <w:rFonts w:ascii="Times New Roman" w:hAnsi="Times New Roman" w:eastAsia="宋体"/>
          <w:color w:val="auto"/>
          <w:kern w:val="0"/>
          <w:sz w:val="24"/>
          <w:szCs w:val="24"/>
          <w:highlight w:val="none"/>
        </w:rPr>
        <w:t>依据《建设项目竣工环境保护验收暂行办法</w:t>
      </w:r>
      <w:r>
        <w:rPr>
          <w:rFonts w:hint="eastAsia" w:ascii="Times New Roman" w:hAnsi="Times New Roman"/>
          <w:color w:val="auto"/>
          <w:kern w:val="0"/>
          <w:sz w:val="24"/>
          <w:szCs w:val="24"/>
          <w:highlight w:val="none"/>
          <w:lang w:eastAsia="zh-CN"/>
        </w:rPr>
        <w:t>》《</w:t>
      </w:r>
      <w:r>
        <w:rPr>
          <w:rFonts w:hint="eastAsia" w:ascii="Times New Roman" w:hAnsi="Times New Roman" w:cs="Times New Roman"/>
          <w:b w:val="0"/>
          <w:bCs w:val="0"/>
          <w:color w:val="auto"/>
          <w:sz w:val="24"/>
          <w:szCs w:val="24"/>
          <w:highlight w:val="none"/>
          <w:lang w:val="en-US" w:eastAsia="zh-CN"/>
        </w:rPr>
        <w:t>浙江奥臣智能科技有限公司（原浙江浩翔节能科技有限公司）年产60万米电缆桥架项目</w:t>
      </w:r>
      <w:r>
        <w:rPr>
          <w:rFonts w:hint="eastAsia" w:ascii="Times New Roman" w:hAnsi="Times New Roman"/>
          <w:color w:val="auto"/>
          <w:kern w:val="0"/>
          <w:sz w:val="24"/>
          <w:szCs w:val="24"/>
          <w:highlight w:val="none"/>
          <w:lang w:val="en-US" w:eastAsia="zh-CN"/>
        </w:rPr>
        <w:t>竣工环境保护</w:t>
      </w:r>
      <w:r>
        <w:rPr>
          <w:rFonts w:ascii="Times New Roman" w:hAnsi="Times New Roman" w:eastAsia="宋体"/>
          <w:color w:val="auto"/>
          <w:kern w:val="0"/>
          <w:sz w:val="24"/>
          <w:szCs w:val="24"/>
          <w:highlight w:val="none"/>
        </w:rPr>
        <w:t>验收监测报告表》等资料及环境保护设施现场检查情况，</w:t>
      </w:r>
      <w:r>
        <w:rPr>
          <w:rFonts w:hint="eastAsia" w:ascii="Times New Roman" w:hAnsi="Times New Roman" w:cs="Times New Roman"/>
          <w:color w:val="auto"/>
          <w:kern w:val="0"/>
          <w:sz w:val="24"/>
          <w:highlight w:val="none"/>
          <w:lang w:val="en-US" w:eastAsia="zh-CN"/>
        </w:rPr>
        <w:t>浙江奥臣智能科技有限公司（原浙江浩翔节能科技有限公司）年产60万米电缆桥架项目</w:t>
      </w:r>
      <w:r>
        <w:rPr>
          <w:rFonts w:ascii="Times New Roman" w:hAnsi="Times New Roman" w:eastAsia="宋体"/>
          <w:color w:val="auto"/>
          <w:kern w:val="0"/>
          <w:sz w:val="24"/>
          <w:szCs w:val="24"/>
          <w:highlight w:val="none"/>
        </w:rPr>
        <w:t>环保手续齐全，污染防治措施基本按照环评及批复要求落实；经验收监测，废气、废水、噪声</w:t>
      </w:r>
      <w:r>
        <w:rPr>
          <w:rFonts w:hint="eastAsia" w:ascii="Times New Roman" w:hAnsi="Times New Roman"/>
          <w:color w:val="auto"/>
          <w:kern w:val="0"/>
          <w:sz w:val="24"/>
          <w:szCs w:val="24"/>
          <w:highlight w:val="none"/>
          <w:lang w:val="en-US" w:eastAsia="zh-CN"/>
        </w:rPr>
        <w:t>数据均能</w:t>
      </w:r>
      <w:r>
        <w:rPr>
          <w:rFonts w:ascii="Times New Roman" w:hAnsi="Times New Roman" w:eastAsia="宋体"/>
          <w:color w:val="auto"/>
          <w:kern w:val="0"/>
          <w:sz w:val="24"/>
          <w:szCs w:val="24"/>
          <w:highlight w:val="none"/>
        </w:rPr>
        <w:t>达标，固体废物能得到妥善处置，因此该项目符合申请建设项目竣工环境保护自主验收条件项目，不存在《建设项目竣工环境保护验收暂行办法》第八条中所列验收不合格的情形，符合竣工环境保护验收条件，验收结论为合格。</w:t>
      </w:r>
    </w:p>
    <w:p w14:paraId="7252CFA8">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eastAsia" w:ascii="Times New Roman" w:hAnsi="Times New Roman" w:cs="Times New Roman"/>
          <w:b/>
          <w:color w:val="auto"/>
          <w:kern w:val="0"/>
          <w:sz w:val="24"/>
          <w:highlight w:val="none"/>
          <w:lang w:val="en-US" w:eastAsia="zh-CN"/>
        </w:rPr>
        <w:t>六</w:t>
      </w:r>
      <w:r>
        <w:rPr>
          <w:rFonts w:hint="default" w:ascii="Times New Roman" w:hAnsi="Times New Roman" w:eastAsia="宋体" w:cs="Times New Roman"/>
          <w:b/>
          <w:color w:val="auto"/>
          <w:kern w:val="0"/>
          <w:sz w:val="24"/>
          <w:highlight w:val="none"/>
        </w:rPr>
        <w:t>、后续要求</w:t>
      </w:r>
    </w:p>
    <w:p w14:paraId="59DAF5E2">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（一）完善生产设施和环保设施标识标牌，完善企业环保管理制度，完善各类台账建设。</w:t>
      </w:r>
    </w:p>
    <w:p w14:paraId="1B9F4D1D">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（二）进一步加强对</w:t>
      </w:r>
      <w:r>
        <w:rPr>
          <w:rFonts w:hint="eastAsia" w:ascii="Times New Roman" w:hAnsi="Times New Roman"/>
          <w:color w:val="auto"/>
          <w:kern w:val="0"/>
          <w:sz w:val="24"/>
          <w:highlight w:val="none"/>
          <w:lang w:val="en-US" w:eastAsia="zh-CN"/>
        </w:rPr>
        <w:t>废气</w:t>
      </w:r>
      <w:r>
        <w:rPr>
          <w:rFonts w:ascii="Times New Roman" w:hAnsi="Times New Roman" w:eastAsia="宋体"/>
          <w:color w:val="auto"/>
          <w:kern w:val="0"/>
          <w:sz w:val="24"/>
          <w:highlight w:val="none"/>
        </w:rPr>
        <w:t>处理设施的日常管理和维护，确保长期稳定达标排放。</w:t>
      </w:r>
    </w:p>
    <w:p w14:paraId="613F4A72">
      <w:pPr>
        <w:pStyle w:val="5"/>
        <w:spacing w:line="360" w:lineRule="auto"/>
        <w:ind w:left="0" w:firstLine="405" w:firstLineChars="169"/>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lang w:val="en-US" w:eastAsia="zh-CN"/>
        </w:rPr>
        <w:t>三</w:t>
      </w:r>
      <w:r>
        <w:rPr>
          <w:rFonts w:ascii="Times New Roman" w:hAnsi="Times New Roman" w:eastAsia="宋体"/>
          <w:color w:val="auto"/>
          <w:kern w:val="0"/>
          <w:sz w:val="24"/>
          <w:highlight w:val="none"/>
        </w:rPr>
        <w:t>）建议企业加强日常环保管理和环境风险防范与应急事件处置能力，并开展演练。</w:t>
      </w:r>
    </w:p>
    <w:p w14:paraId="5ADC12C0">
      <w:pPr>
        <w:spacing w:line="360" w:lineRule="auto"/>
        <w:ind w:firstLine="482" w:firstLineChars="200"/>
        <w:outlineLvl w:val="0"/>
        <w:rPr>
          <w:rFonts w:hint="eastAsia" w:ascii="Times New Roman" w:hAnsi="Times New Roman" w:eastAsia="宋体" w:cs="Times New Roman"/>
          <w:b/>
          <w:color w:val="auto"/>
          <w:kern w:val="0"/>
          <w:sz w:val="24"/>
          <w:highlight w:val="none"/>
          <w:lang w:val="en-US" w:eastAsia="zh-CN"/>
        </w:rPr>
      </w:pPr>
      <w:r>
        <w:rPr>
          <w:rFonts w:hint="eastAsia" w:ascii="Times New Roman" w:hAnsi="Times New Roman" w:cs="Times New Roman"/>
          <w:b/>
          <w:color w:val="auto"/>
          <w:kern w:val="0"/>
          <w:sz w:val="24"/>
          <w:highlight w:val="none"/>
          <w:lang w:val="en-US" w:eastAsia="zh-CN"/>
        </w:rPr>
        <w:t>七</w:t>
      </w:r>
      <w:r>
        <w:rPr>
          <w:rFonts w:hint="default" w:ascii="Times New Roman" w:hAnsi="Times New Roman" w:eastAsia="宋体" w:cs="Times New Roman"/>
          <w:b/>
          <w:color w:val="auto"/>
          <w:kern w:val="0"/>
          <w:sz w:val="24"/>
          <w:highlight w:val="none"/>
        </w:rPr>
        <w:t>、验收人员</w:t>
      </w:r>
      <w:r>
        <w:rPr>
          <w:rFonts w:hint="eastAsia" w:ascii="Times New Roman" w:hAnsi="Times New Roman" w:cs="Times New Roman"/>
          <w:b/>
          <w:color w:val="auto"/>
          <w:kern w:val="0"/>
          <w:sz w:val="24"/>
          <w:highlight w:val="none"/>
          <w:lang w:val="en-US" w:eastAsia="zh-CN"/>
        </w:rPr>
        <w:t>信息</w:t>
      </w:r>
    </w:p>
    <w:p w14:paraId="1B1762BB">
      <w:pPr>
        <w:spacing w:line="360" w:lineRule="auto"/>
        <w:ind w:firstLine="480" w:firstLineChars="200"/>
        <w:jc w:val="both"/>
        <w:rPr>
          <w:rFonts w:hint="eastAsia" w:ascii="Times New Roman" w:hAnsi="Times New Roman"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eastAsia="zh-CN"/>
        </w:rPr>
        <w:t>验收工作组成员名单及信息附后。</w:t>
      </w:r>
    </w:p>
    <w:p w14:paraId="227EE33E">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浙江奥臣智能科技有限公司</w:t>
      </w:r>
    </w:p>
    <w:p w14:paraId="0349FFDF">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（原浙江浩翔节能科技有限公司）</w:t>
      </w:r>
    </w:p>
    <w:p w14:paraId="65FC8BD8">
      <w:pPr>
        <w:spacing w:line="360" w:lineRule="auto"/>
        <w:ind w:firstLine="480" w:firstLineChars="200"/>
        <w:jc w:val="right"/>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25</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0000FF"/>
          <w:kern w:val="0"/>
          <w:sz w:val="24"/>
          <w:highlight w:val="none"/>
          <w:lang w:val="en-US" w:eastAsia="zh-CN"/>
        </w:rPr>
        <w:t>10</w:t>
      </w:r>
      <w:r>
        <w:rPr>
          <w:rFonts w:hint="default" w:ascii="Times New Roman" w:hAnsi="Times New Roman" w:eastAsia="宋体" w:cs="Times New Roman"/>
          <w:color w:val="0000FF"/>
          <w:kern w:val="0"/>
          <w:sz w:val="24"/>
          <w:highlight w:val="none"/>
        </w:rPr>
        <w:t>月</w:t>
      </w:r>
      <w:r>
        <w:rPr>
          <w:rFonts w:hint="eastAsia" w:ascii="Times New Roman" w:hAnsi="Times New Roman" w:cs="Times New Roman"/>
          <w:color w:val="0000FF"/>
          <w:kern w:val="0"/>
          <w:sz w:val="24"/>
          <w:highlight w:val="none"/>
          <w:lang w:val="en-US" w:eastAsia="zh-CN"/>
        </w:rPr>
        <w:t>14</w:t>
      </w:r>
      <w:r>
        <w:rPr>
          <w:rFonts w:hint="default" w:ascii="Times New Roman" w:hAnsi="Times New Roman" w:eastAsia="宋体" w:cs="Times New Roman"/>
          <w:color w:val="0000FF"/>
          <w:kern w:val="0"/>
          <w:sz w:val="24"/>
          <w:highlight w:val="none"/>
        </w:rPr>
        <w:t>日</w:t>
      </w:r>
    </w:p>
    <w:sectPr>
      <w:pgSz w:w="11906" w:h="16838"/>
      <w:pgMar w:top="1134" w:right="1134" w:bottom="1134"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711DE"/>
    <w:multiLevelType w:val="multilevel"/>
    <w:tmpl w:val="DA3711DE"/>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2E7035F"/>
    <w:multiLevelType w:val="singleLevel"/>
    <w:tmpl w:val="02E7035F"/>
    <w:lvl w:ilvl="0" w:tentative="0">
      <w:start w:val="5"/>
      <w:numFmt w:val="chineseCounting"/>
      <w:suff w:val="nothing"/>
      <w:lvlText w:val="（%1）"/>
      <w:lvlJc w:val="left"/>
      <w:rPr>
        <w:rFonts w:hint="eastAsia"/>
      </w:rPr>
    </w:lvl>
  </w:abstractNum>
  <w:abstractNum w:abstractNumId="2">
    <w:nsid w:val="406F2A9D"/>
    <w:multiLevelType w:val="multilevel"/>
    <w:tmpl w:val="406F2A9D"/>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6F44F3"/>
    <w:rsid w:val="00AE01F7"/>
    <w:rsid w:val="00B87A8B"/>
    <w:rsid w:val="00E15234"/>
    <w:rsid w:val="00EF7950"/>
    <w:rsid w:val="00FD2119"/>
    <w:rsid w:val="013B0DE8"/>
    <w:rsid w:val="01553993"/>
    <w:rsid w:val="01C012ED"/>
    <w:rsid w:val="01C77D80"/>
    <w:rsid w:val="01FD26C6"/>
    <w:rsid w:val="02306473"/>
    <w:rsid w:val="025263E9"/>
    <w:rsid w:val="02B12833"/>
    <w:rsid w:val="02D84414"/>
    <w:rsid w:val="02E828A9"/>
    <w:rsid w:val="031160F4"/>
    <w:rsid w:val="03566F57"/>
    <w:rsid w:val="0363238C"/>
    <w:rsid w:val="038D16A3"/>
    <w:rsid w:val="038F541B"/>
    <w:rsid w:val="03DB41BC"/>
    <w:rsid w:val="04096F7B"/>
    <w:rsid w:val="040F20B8"/>
    <w:rsid w:val="041D6583"/>
    <w:rsid w:val="04497378"/>
    <w:rsid w:val="045126D0"/>
    <w:rsid w:val="047A39D5"/>
    <w:rsid w:val="04F34A42"/>
    <w:rsid w:val="058C7E64"/>
    <w:rsid w:val="0597059F"/>
    <w:rsid w:val="05F31C91"/>
    <w:rsid w:val="06103038"/>
    <w:rsid w:val="064A73D7"/>
    <w:rsid w:val="065B7836"/>
    <w:rsid w:val="06EE09F3"/>
    <w:rsid w:val="072736DA"/>
    <w:rsid w:val="072B7687"/>
    <w:rsid w:val="072C3B31"/>
    <w:rsid w:val="073472B0"/>
    <w:rsid w:val="07373DFF"/>
    <w:rsid w:val="074F1149"/>
    <w:rsid w:val="075C73C2"/>
    <w:rsid w:val="077F5883"/>
    <w:rsid w:val="07886BEA"/>
    <w:rsid w:val="07A5520D"/>
    <w:rsid w:val="08406CE4"/>
    <w:rsid w:val="08762705"/>
    <w:rsid w:val="088968DD"/>
    <w:rsid w:val="08B651F8"/>
    <w:rsid w:val="08C07E24"/>
    <w:rsid w:val="09063A89"/>
    <w:rsid w:val="09153CCC"/>
    <w:rsid w:val="093B7E06"/>
    <w:rsid w:val="094D7C70"/>
    <w:rsid w:val="09594501"/>
    <w:rsid w:val="098F4818"/>
    <w:rsid w:val="0A352E89"/>
    <w:rsid w:val="0A410AF1"/>
    <w:rsid w:val="0A420C4B"/>
    <w:rsid w:val="0AAC0EF8"/>
    <w:rsid w:val="0ABE325C"/>
    <w:rsid w:val="0AC62EBA"/>
    <w:rsid w:val="0AED5AFE"/>
    <w:rsid w:val="0AFA5870"/>
    <w:rsid w:val="0B097861"/>
    <w:rsid w:val="0B1A43F5"/>
    <w:rsid w:val="0B297F03"/>
    <w:rsid w:val="0B4602A1"/>
    <w:rsid w:val="0B4E5BBB"/>
    <w:rsid w:val="0B64718D"/>
    <w:rsid w:val="0B753148"/>
    <w:rsid w:val="0B7C1E4D"/>
    <w:rsid w:val="0B8E420A"/>
    <w:rsid w:val="0BB51A45"/>
    <w:rsid w:val="0BDF6813"/>
    <w:rsid w:val="0BEF4CA9"/>
    <w:rsid w:val="0BF57DE5"/>
    <w:rsid w:val="0C542D5E"/>
    <w:rsid w:val="0CAF3B7D"/>
    <w:rsid w:val="0CBB2DDD"/>
    <w:rsid w:val="0CE20369"/>
    <w:rsid w:val="0CEC568C"/>
    <w:rsid w:val="0D0C378D"/>
    <w:rsid w:val="0D134413"/>
    <w:rsid w:val="0D2E7A52"/>
    <w:rsid w:val="0D4940E8"/>
    <w:rsid w:val="0D75673E"/>
    <w:rsid w:val="0DB3645F"/>
    <w:rsid w:val="0DE30506"/>
    <w:rsid w:val="0E4F5ED2"/>
    <w:rsid w:val="0E752FC5"/>
    <w:rsid w:val="0F2A5FF8"/>
    <w:rsid w:val="0F2B6C1B"/>
    <w:rsid w:val="0F803D94"/>
    <w:rsid w:val="10101691"/>
    <w:rsid w:val="10234F21"/>
    <w:rsid w:val="10596B94"/>
    <w:rsid w:val="10702130"/>
    <w:rsid w:val="108A4FA0"/>
    <w:rsid w:val="10F22B45"/>
    <w:rsid w:val="10F60887"/>
    <w:rsid w:val="115D26B4"/>
    <w:rsid w:val="118A6CA0"/>
    <w:rsid w:val="11D230A2"/>
    <w:rsid w:val="12130FC5"/>
    <w:rsid w:val="12575356"/>
    <w:rsid w:val="125F5E2E"/>
    <w:rsid w:val="126A598F"/>
    <w:rsid w:val="134C0770"/>
    <w:rsid w:val="13596EAB"/>
    <w:rsid w:val="135D042F"/>
    <w:rsid w:val="13957CB9"/>
    <w:rsid w:val="13C133CE"/>
    <w:rsid w:val="13D673F9"/>
    <w:rsid w:val="146E6986"/>
    <w:rsid w:val="14A800EA"/>
    <w:rsid w:val="14B120F6"/>
    <w:rsid w:val="14D07641"/>
    <w:rsid w:val="14D41776"/>
    <w:rsid w:val="150A66AF"/>
    <w:rsid w:val="150D2643"/>
    <w:rsid w:val="152534E9"/>
    <w:rsid w:val="152F0BBC"/>
    <w:rsid w:val="158278D5"/>
    <w:rsid w:val="15870CEB"/>
    <w:rsid w:val="16287735"/>
    <w:rsid w:val="1683324F"/>
    <w:rsid w:val="16A42B33"/>
    <w:rsid w:val="16CA07EC"/>
    <w:rsid w:val="16D57191"/>
    <w:rsid w:val="16F45869"/>
    <w:rsid w:val="16F95920"/>
    <w:rsid w:val="16FC64CC"/>
    <w:rsid w:val="172B7D93"/>
    <w:rsid w:val="174B2FAF"/>
    <w:rsid w:val="17681DB3"/>
    <w:rsid w:val="17B429B6"/>
    <w:rsid w:val="17EB45EE"/>
    <w:rsid w:val="1853036D"/>
    <w:rsid w:val="1866284C"/>
    <w:rsid w:val="18932E60"/>
    <w:rsid w:val="189337CE"/>
    <w:rsid w:val="18E52319"/>
    <w:rsid w:val="19436634"/>
    <w:rsid w:val="19472921"/>
    <w:rsid w:val="19570331"/>
    <w:rsid w:val="197131A1"/>
    <w:rsid w:val="19E576EB"/>
    <w:rsid w:val="19EF40C6"/>
    <w:rsid w:val="19F83716"/>
    <w:rsid w:val="1A197394"/>
    <w:rsid w:val="1A473F02"/>
    <w:rsid w:val="1A4F5002"/>
    <w:rsid w:val="1A974E89"/>
    <w:rsid w:val="1AC8792A"/>
    <w:rsid w:val="1B1D4C62"/>
    <w:rsid w:val="1B215A8A"/>
    <w:rsid w:val="1B6862D7"/>
    <w:rsid w:val="1B7F33D1"/>
    <w:rsid w:val="1B806455"/>
    <w:rsid w:val="1BA17641"/>
    <w:rsid w:val="1BB40EED"/>
    <w:rsid w:val="1BB41E9F"/>
    <w:rsid w:val="1BB46365"/>
    <w:rsid w:val="1BB479A2"/>
    <w:rsid w:val="1BD143CB"/>
    <w:rsid w:val="1BE0016A"/>
    <w:rsid w:val="1C085913"/>
    <w:rsid w:val="1C0F6CA1"/>
    <w:rsid w:val="1C313849"/>
    <w:rsid w:val="1C576A9C"/>
    <w:rsid w:val="1C6A7562"/>
    <w:rsid w:val="1C6D08DF"/>
    <w:rsid w:val="1C6D515A"/>
    <w:rsid w:val="1C760ACE"/>
    <w:rsid w:val="1C9E1AEA"/>
    <w:rsid w:val="1D043207"/>
    <w:rsid w:val="1D0936F0"/>
    <w:rsid w:val="1D352737"/>
    <w:rsid w:val="1D8B2357"/>
    <w:rsid w:val="1D992CC6"/>
    <w:rsid w:val="1DB23D88"/>
    <w:rsid w:val="1DE55F0B"/>
    <w:rsid w:val="1DE71C83"/>
    <w:rsid w:val="1DF9228A"/>
    <w:rsid w:val="1E0A7720"/>
    <w:rsid w:val="1E116D00"/>
    <w:rsid w:val="1E3B38FB"/>
    <w:rsid w:val="1E401394"/>
    <w:rsid w:val="1E592A71"/>
    <w:rsid w:val="1E7948A6"/>
    <w:rsid w:val="1EC27FFB"/>
    <w:rsid w:val="1EC66531"/>
    <w:rsid w:val="1ED04016"/>
    <w:rsid w:val="1F525822"/>
    <w:rsid w:val="1FD955FC"/>
    <w:rsid w:val="1FFC6A34"/>
    <w:rsid w:val="200F54C2"/>
    <w:rsid w:val="201725C8"/>
    <w:rsid w:val="20605D1D"/>
    <w:rsid w:val="206C7B49"/>
    <w:rsid w:val="207120C3"/>
    <w:rsid w:val="20971013"/>
    <w:rsid w:val="209E7C51"/>
    <w:rsid w:val="20C4005A"/>
    <w:rsid w:val="20F67487"/>
    <w:rsid w:val="21115269"/>
    <w:rsid w:val="21225204"/>
    <w:rsid w:val="21294361"/>
    <w:rsid w:val="216B2BCB"/>
    <w:rsid w:val="21820E9B"/>
    <w:rsid w:val="2184503B"/>
    <w:rsid w:val="21B17C21"/>
    <w:rsid w:val="22200FE5"/>
    <w:rsid w:val="22242A4E"/>
    <w:rsid w:val="222D1ACA"/>
    <w:rsid w:val="228527E6"/>
    <w:rsid w:val="228C4BA7"/>
    <w:rsid w:val="229B20FD"/>
    <w:rsid w:val="22B8599C"/>
    <w:rsid w:val="22D45DCA"/>
    <w:rsid w:val="23364142"/>
    <w:rsid w:val="233F7E6C"/>
    <w:rsid w:val="23863CED"/>
    <w:rsid w:val="23B5012E"/>
    <w:rsid w:val="23BD07B1"/>
    <w:rsid w:val="23C62FBD"/>
    <w:rsid w:val="24A7216D"/>
    <w:rsid w:val="24BF3430"/>
    <w:rsid w:val="24D34D10"/>
    <w:rsid w:val="24EC5DD1"/>
    <w:rsid w:val="25227A45"/>
    <w:rsid w:val="25257535"/>
    <w:rsid w:val="25330E57"/>
    <w:rsid w:val="254C0C39"/>
    <w:rsid w:val="2551032A"/>
    <w:rsid w:val="257150D5"/>
    <w:rsid w:val="25867FD4"/>
    <w:rsid w:val="25BE6335"/>
    <w:rsid w:val="25C805EC"/>
    <w:rsid w:val="25D3309D"/>
    <w:rsid w:val="25DD571A"/>
    <w:rsid w:val="25E371D4"/>
    <w:rsid w:val="26103D41"/>
    <w:rsid w:val="2612465B"/>
    <w:rsid w:val="261455E0"/>
    <w:rsid w:val="26C32B62"/>
    <w:rsid w:val="27421CD9"/>
    <w:rsid w:val="27D56FF1"/>
    <w:rsid w:val="280653FC"/>
    <w:rsid w:val="285D507A"/>
    <w:rsid w:val="28F65471"/>
    <w:rsid w:val="290F5367"/>
    <w:rsid w:val="29134EDD"/>
    <w:rsid w:val="29A749BD"/>
    <w:rsid w:val="29B13146"/>
    <w:rsid w:val="29BF1D06"/>
    <w:rsid w:val="2A3377AC"/>
    <w:rsid w:val="2A557F75"/>
    <w:rsid w:val="2A5C7555"/>
    <w:rsid w:val="2A9E0161"/>
    <w:rsid w:val="2B285689"/>
    <w:rsid w:val="2B381D70"/>
    <w:rsid w:val="2B41609E"/>
    <w:rsid w:val="2B45623B"/>
    <w:rsid w:val="2B4B2AFB"/>
    <w:rsid w:val="2B764647"/>
    <w:rsid w:val="2B88437A"/>
    <w:rsid w:val="2B9D7E25"/>
    <w:rsid w:val="2BB40E5B"/>
    <w:rsid w:val="2BBF78D5"/>
    <w:rsid w:val="2C4E7372"/>
    <w:rsid w:val="2CC16079"/>
    <w:rsid w:val="2CDC497D"/>
    <w:rsid w:val="2CDD6F16"/>
    <w:rsid w:val="2CF0667B"/>
    <w:rsid w:val="2CF41CC7"/>
    <w:rsid w:val="2D0B1F79"/>
    <w:rsid w:val="2D77745E"/>
    <w:rsid w:val="2D7E3C87"/>
    <w:rsid w:val="2D864EB0"/>
    <w:rsid w:val="2E4647A4"/>
    <w:rsid w:val="2E567191"/>
    <w:rsid w:val="2E6B37BB"/>
    <w:rsid w:val="2E82663A"/>
    <w:rsid w:val="2E905A1F"/>
    <w:rsid w:val="2E9D1104"/>
    <w:rsid w:val="2EB15996"/>
    <w:rsid w:val="2EBC6814"/>
    <w:rsid w:val="2EC3451F"/>
    <w:rsid w:val="2EF20488"/>
    <w:rsid w:val="2EF53AD4"/>
    <w:rsid w:val="2EFA558F"/>
    <w:rsid w:val="2F1B7324"/>
    <w:rsid w:val="2F527179"/>
    <w:rsid w:val="2F7215C9"/>
    <w:rsid w:val="2F7C41F6"/>
    <w:rsid w:val="2F8B61E7"/>
    <w:rsid w:val="2FA5288E"/>
    <w:rsid w:val="2FE83639"/>
    <w:rsid w:val="300541EB"/>
    <w:rsid w:val="303403FA"/>
    <w:rsid w:val="303B19BB"/>
    <w:rsid w:val="303F598D"/>
    <w:rsid w:val="3058256D"/>
    <w:rsid w:val="306233EC"/>
    <w:rsid w:val="30782C0F"/>
    <w:rsid w:val="307920D8"/>
    <w:rsid w:val="308405B2"/>
    <w:rsid w:val="309003C3"/>
    <w:rsid w:val="30917605"/>
    <w:rsid w:val="30A532D8"/>
    <w:rsid w:val="30DB6CFA"/>
    <w:rsid w:val="30E90E7B"/>
    <w:rsid w:val="3126266B"/>
    <w:rsid w:val="31440D43"/>
    <w:rsid w:val="31480833"/>
    <w:rsid w:val="319C46DB"/>
    <w:rsid w:val="31B201DD"/>
    <w:rsid w:val="31B22151"/>
    <w:rsid w:val="31BD1DC4"/>
    <w:rsid w:val="31CD2AE7"/>
    <w:rsid w:val="32052280"/>
    <w:rsid w:val="32A25D21"/>
    <w:rsid w:val="32A27F10"/>
    <w:rsid w:val="32BE21C5"/>
    <w:rsid w:val="32D83E39"/>
    <w:rsid w:val="33152997"/>
    <w:rsid w:val="331621F9"/>
    <w:rsid w:val="331812CD"/>
    <w:rsid w:val="33291F9F"/>
    <w:rsid w:val="332E6808"/>
    <w:rsid w:val="33574D5E"/>
    <w:rsid w:val="33A01007"/>
    <w:rsid w:val="33BE4DDD"/>
    <w:rsid w:val="33D43DBD"/>
    <w:rsid w:val="33DC5263"/>
    <w:rsid w:val="340F388A"/>
    <w:rsid w:val="341E3ACD"/>
    <w:rsid w:val="343F4A14"/>
    <w:rsid w:val="349A75F8"/>
    <w:rsid w:val="34BD5094"/>
    <w:rsid w:val="34D50630"/>
    <w:rsid w:val="34EC4711"/>
    <w:rsid w:val="35011425"/>
    <w:rsid w:val="35170C48"/>
    <w:rsid w:val="351F3913"/>
    <w:rsid w:val="35337151"/>
    <w:rsid w:val="355A6D87"/>
    <w:rsid w:val="35642E36"/>
    <w:rsid w:val="35AB37D1"/>
    <w:rsid w:val="35CB558F"/>
    <w:rsid w:val="35ED19A9"/>
    <w:rsid w:val="360B5277"/>
    <w:rsid w:val="361909F0"/>
    <w:rsid w:val="361E6007"/>
    <w:rsid w:val="36251143"/>
    <w:rsid w:val="36297C02"/>
    <w:rsid w:val="36511F38"/>
    <w:rsid w:val="36633A19"/>
    <w:rsid w:val="36877708"/>
    <w:rsid w:val="36904F4B"/>
    <w:rsid w:val="36941E25"/>
    <w:rsid w:val="36B349A1"/>
    <w:rsid w:val="36C721FA"/>
    <w:rsid w:val="36E20737"/>
    <w:rsid w:val="36F01751"/>
    <w:rsid w:val="375872F6"/>
    <w:rsid w:val="3784633D"/>
    <w:rsid w:val="379B74CF"/>
    <w:rsid w:val="37FB5F35"/>
    <w:rsid w:val="38030A86"/>
    <w:rsid w:val="382D3998"/>
    <w:rsid w:val="38877E93"/>
    <w:rsid w:val="38972E1C"/>
    <w:rsid w:val="38CF1470"/>
    <w:rsid w:val="38E70932"/>
    <w:rsid w:val="38F17F19"/>
    <w:rsid w:val="3914549F"/>
    <w:rsid w:val="39287C1C"/>
    <w:rsid w:val="39763A64"/>
    <w:rsid w:val="39777F08"/>
    <w:rsid w:val="397D3044"/>
    <w:rsid w:val="39C3314D"/>
    <w:rsid w:val="39FE23D7"/>
    <w:rsid w:val="3A16319D"/>
    <w:rsid w:val="3A810912"/>
    <w:rsid w:val="3A914FF9"/>
    <w:rsid w:val="3AC80920"/>
    <w:rsid w:val="3AC90C3C"/>
    <w:rsid w:val="3AF45588"/>
    <w:rsid w:val="3B0319E9"/>
    <w:rsid w:val="3B0372DD"/>
    <w:rsid w:val="3B385475"/>
    <w:rsid w:val="3B4E3612"/>
    <w:rsid w:val="3B590718"/>
    <w:rsid w:val="3B824942"/>
    <w:rsid w:val="3B8443B3"/>
    <w:rsid w:val="3BC74A4B"/>
    <w:rsid w:val="3BFC2946"/>
    <w:rsid w:val="3C0C3CEF"/>
    <w:rsid w:val="3C320282"/>
    <w:rsid w:val="3C6F1EA0"/>
    <w:rsid w:val="3CEC49C0"/>
    <w:rsid w:val="3D437B38"/>
    <w:rsid w:val="3D566086"/>
    <w:rsid w:val="3DAE7C70"/>
    <w:rsid w:val="3DC70D32"/>
    <w:rsid w:val="3E2B7513"/>
    <w:rsid w:val="3E605959"/>
    <w:rsid w:val="3E7762B4"/>
    <w:rsid w:val="3E8F782E"/>
    <w:rsid w:val="3EA177D5"/>
    <w:rsid w:val="3EF51CD1"/>
    <w:rsid w:val="3F0365C7"/>
    <w:rsid w:val="3F0D6C18"/>
    <w:rsid w:val="3F76656C"/>
    <w:rsid w:val="3F937B68"/>
    <w:rsid w:val="3FDA11F0"/>
    <w:rsid w:val="400C0C7E"/>
    <w:rsid w:val="40381A73"/>
    <w:rsid w:val="404E1296"/>
    <w:rsid w:val="405A7C3B"/>
    <w:rsid w:val="40AD2461"/>
    <w:rsid w:val="40E439A9"/>
    <w:rsid w:val="410D12F8"/>
    <w:rsid w:val="415029D9"/>
    <w:rsid w:val="41670862"/>
    <w:rsid w:val="41C5655C"/>
    <w:rsid w:val="41F93484"/>
    <w:rsid w:val="420F2CA7"/>
    <w:rsid w:val="4214206C"/>
    <w:rsid w:val="42722B78"/>
    <w:rsid w:val="431762B8"/>
    <w:rsid w:val="434D1CD9"/>
    <w:rsid w:val="43575F8F"/>
    <w:rsid w:val="43737CDA"/>
    <w:rsid w:val="43827BB1"/>
    <w:rsid w:val="43BB08DC"/>
    <w:rsid w:val="43C27FD1"/>
    <w:rsid w:val="43E02B4D"/>
    <w:rsid w:val="44182A93"/>
    <w:rsid w:val="442A13D9"/>
    <w:rsid w:val="444162D1"/>
    <w:rsid w:val="44AD6ED3"/>
    <w:rsid w:val="44B21CE6"/>
    <w:rsid w:val="44C25F0B"/>
    <w:rsid w:val="452D3B70"/>
    <w:rsid w:val="453365B0"/>
    <w:rsid w:val="45605CF4"/>
    <w:rsid w:val="45F34DBA"/>
    <w:rsid w:val="460365FF"/>
    <w:rsid w:val="460C5E7C"/>
    <w:rsid w:val="463D7DBF"/>
    <w:rsid w:val="46530312"/>
    <w:rsid w:val="46537607"/>
    <w:rsid w:val="46713811"/>
    <w:rsid w:val="468E4AE3"/>
    <w:rsid w:val="469814BD"/>
    <w:rsid w:val="475A49C5"/>
    <w:rsid w:val="475C698F"/>
    <w:rsid w:val="47727F60"/>
    <w:rsid w:val="477618A3"/>
    <w:rsid w:val="479510FE"/>
    <w:rsid w:val="47D62F59"/>
    <w:rsid w:val="480E6AF2"/>
    <w:rsid w:val="481F0EAE"/>
    <w:rsid w:val="483A26D1"/>
    <w:rsid w:val="488429C0"/>
    <w:rsid w:val="48CE11C6"/>
    <w:rsid w:val="48E42798"/>
    <w:rsid w:val="48FC1291"/>
    <w:rsid w:val="49D56585"/>
    <w:rsid w:val="49D9587C"/>
    <w:rsid w:val="49E334F6"/>
    <w:rsid w:val="49EE6266"/>
    <w:rsid w:val="4A3239D7"/>
    <w:rsid w:val="4A5E042C"/>
    <w:rsid w:val="4A743FEF"/>
    <w:rsid w:val="4AA5064D"/>
    <w:rsid w:val="4ABD7744"/>
    <w:rsid w:val="4AD36F68"/>
    <w:rsid w:val="4B427C4A"/>
    <w:rsid w:val="4B6D116B"/>
    <w:rsid w:val="4B773D97"/>
    <w:rsid w:val="4BF65E1D"/>
    <w:rsid w:val="4C09265D"/>
    <w:rsid w:val="4C1356A2"/>
    <w:rsid w:val="4C8A2BA4"/>
    <w:rsid w:val="4CAB577D"/>
    <w:rsid w:val="4D0478AD"/>
    <w:rsid w:val="4D097DFF"/>
    <w:rsid w:val="4D3637DE"/>
    <w:rsid w:val="4D4001B9"/>
    <w:rsid w:val="4D4128AF"/>
    <w:rsid w:val="4D492AC2"/>
    <w:rsid w:val="4DBD7A5B"/>
    <w:rsid w:val="4DC66A12"/>
    <w:rsid w:val="4DDE00FE"/>
    <w:rsid w:val="4DF711BF"/>
    <w:rsid w:val="4E04104E"/>
    <w:rsid w:val="4E165AE9"/>
    <w:rsid w:val="4E2A3343"/>
    <w:rsid w:val="4E406DDB"/>
    <w:rsid w:val="4E6B025A"/>
    <w:rsid w:val="4E8A5B90"/>
    <w:rsid w:val="4E923725"/>
    <w:rsid w:val="4E952950"/>
    <w:rsid w:val="4EA2112B"/>
    <w:rsid w:val="4EC15F85"/>
    <w:rsid w:val="4EC527A3"/>
    <w:rsid w:val="4EDB63EB"/>
    <w:rsid w:val="4F005E52"/>
    <w:rsid w:val="4F05790C"/>
    <w:rsid w:val="4F0911AA"/>
    <w:rsid w:val="50231584"/>
    <w:rsid w:val="50724B2D"/>
    <w:rsid w:val="50AA42C7"/>
    <w:rsid w:val="50DE6667"/>
    <w:rsid w:val="510F0E13"/>
    <w:rsid w:val="514B4F78"/>
    <w:rsid w:val="51E23F34"/>
    <w:rsid w:val="51ED7522"/>
    <w:rsid w:val="51FF7420"/>
    <w:rsid w:val="5245699D"/>
    <w:rsid w:val="525C3CE7"/>
    <w:rsid w:val="52755359"/>
    <w:rsid w:val="52923265"/>
    <w:rsid w:val="52990A97"/>
    <w:rsid w:val="52B72CCB"/>
    <w:rsid w:val="52C11D9C"/>
    <w:rsid w:val="53475896"/>
    <w:rsid w:val="53582700"/>
    <w:rsid w:val="537329AF"/>
    <w:rsid w:val="53755060"/>
    <w:rsid w:val="539232B3"/>
    <w:rsid w:val="53B042EA"/>
    <w:rsid w:val="53D0673A"/>
    <w:rsid w:val="541624AE"/>
    <w:rsid w:val="54330CD9"/>
    <w:rsid w:val="544A6CFB"/>
    <w:rsid w:val="545207D2"/>
    <w:rsid w:val="545C3B2A"/>
    <w:rsid w:val="54684676"/>
    <w:rsid w:val="54717BEB"/>
    <w:rsid w:val="5475755D"/>
    <w:rsid w:val="55254864"/>
    <w:rsid w:val="554967A4"/>
    <w:rsid w:val="554C1DF1"/>
    <w:rsid w:val="556E7FB9"/>
    <w:rsid w:val="55823A64"/>
    <w:rsid w:val="55982572"/>
    <w:rsid w:val="55AC7BBD"/>
    <w:rsid w:val="55F61D5C"/>
    <w:rsid w:val="561D378D"/>
    <w:rsid w:val="56225547"/>
    <w:rsid w:val="5625513D"/>
    <w:rsid w:val="563034C0"/>
    <w:rsid w:val="56504000"/>
    <w:rsid w:val="56B063AF"/>
    <w:rsid w:val="56BD287A"/>
    <w:rsid w:val="56EB388B"/>
    <w:rsid w:val="56F03D6C"/>
    <w:rsid w:val="57252A57"/>
    <w:rsid w:val="57340D8E"/>
    <w:rsid w:val="57571CBA"/>
    <w:rsid w:val="577B69BD"/>
    <w:rsid w:val="579E7882"/>
    <w:rsid w:val="57AA72A2"/>
    <w:rsid w:val="57EA4A45"/>
    <w:rsid w:val="57F1536A"/>
    <w:rsid w:val="58064C3C"/>
    <w:rsid w:val="580E5A83"/>
    <w:rsid w:val="58331046"/>
    <w:rsid w:val="58647451"/>
    <w:rsid w:val="586B3150"/>
    <w:rsid w:val="589C097F"/>
    <w:rsid w:val="59044790"/>
    <w:rsid w:val="59111F0A"/>
    <w:rsid w:val="592554A0"/>
    <w:rsid w:val="594554D5"/>
    <w:rsid w:val="59547B0C"/>
    <w:rsid w:val="59A06702"/>
    <w:rsid w:val="59A246D5"/>
    <w:rsid w:val="59D423B5"/>
    <w:rsid w:val="59FB3DE5"/>
    <w:rsid w:val="5A2055FA"/>
    <w:rsid w:val="5A2A6479"/>
    <w:rsid w:val="5A67147B"/>
    <w:rsid w:val="5A855CC9"/>
    <w:rsid w:val="5AB511FC"/>
    <w:rsid w:val="5AC23CD1"/>
    <w:rsid w:val="5B286E5C"/>
    <w:rsid w:val="5B5548D8"/>
    <w:rsid w:val="5B8322E4"/>
    <w:rsid w:val="5B94629C"/>
    <w:rsid w:val="5BE56AFB"/>
    <w:rsid w:val="5C2313D1"/>
    <w:rsid w:val="5C394FAE"/>
    <w:rsid w:val="5C677510"/>
    <w:rsid w:val="5C693288"/>
    <w:rsid w:val="5C795370"/>
    <w:rsid w:val="5C7B5ADE"/>
    <w:rsid w:val="5C7D31D8"/>
    <w:rsid w:val="5C982577"/>
    <w:rsid w:val="5CCB7A9F"/>
    <w:rsid w:val="5CD3198F"/>
    <w:rsid w:val="5CDB3A5A"/>
    <w:rsid w:val="5D1256CE"/>
    <w:rsid w:val="5D184CAE"/>
    <w:rsid w:val="5D320C20"/>
    <w:rsid w:val="5D46706C"/>
    <w:rsid w:val="5D605245"/>
    <w:rsid w:val="5D8D2FA6"/>
    <w:rsid w:val="5DA42323"/>
    <w:rsid w:val="5DBC7D30"/>
    <w:rsid w:val="5DED1ED3"/>
    <w:rsid w:val="5E176D14"/>
    <w:rsid w:val="5E3C677A"/>
    <w:rsid w:val="5E714676"/>
    <w:rsid w:val="5E7B0CDD"/>
    <w:rsid w:val="5E7F3237"/>
    <w:rsid w:val="5E9F11E3"/>
    <w:rsid w:val="5EDA221B"/>
    <w:rsid w:val="5EE440EC"/>
    <w:rsid w:val="5F5D4BFA"/>
    <w:rsid w:val="5F797C86"/>
    <w:rsid w:val="5F9920D6"/>
    <w:rsid w:val="5FB409B1"/>
    <w:rsid w:val="5FC15189"/>
    <w:rsid w:val="600C4F8E"/>
    <w:rsid w:val="60270C25"/>
    <w:rsid w:val="60425A2F"/>
    <w:rsid w:val="6062696C"/>
    <w:rsid w:val="60AC5E39"/>
    <w:rsid w:val="60C70EC5"/>
    <w:rsid w:val="60D55390"/>
    <w:rsid w:val="625C563D"/>
    <w:rsid w:val="627B506E"/>
    <w:rsid w:val="628C5F22"/>
    <w:rsid w:val="62B15989"/>
    <w:rsid w:val="630730C7"/>
    <w:rsid w:val="635C2B47"/>
    <w:rsid w:val="639C3F43"/>
    <w:rsid w:val="63A762A6"/>
    <w:rsid w:val="63BB78A1"/>
    <w:rsid w:val="63BE035D"/>
    <w:rsid w:val="63E13A0B"/>
    <w:rsid w:val="63EE0517"/>
    <w:rsid w:val="63F54E11"/>
    <w:rsid w:val="6401024A"/>
    <w:rsid w:val="640A70BB"/>
    <w:rsid w:val="64177A6E"/>
    <w:rsid w:val="64550596"/>
    <w:rsid w:val="648C220A"/>
    <w:rsid w:val="649E30EE"/>
    <w:rsid w:val="64D55573"/>
    <w:rsid w:val="64F953C5"/>
    <w:rsid w:val="64FB5E91"/>
    <w:rsid w:val="653855DE"/>
    <w:rsid w:val="65430077"/>
    <w:rsid w:val="656E5DB3"/>
    <w:rsid w:val="65D715A9"/>
    <w:rsid w:val="661D72B3"/>
    <w:rsid w:val="662927B2"/>
    <w:rsid w:val="662C2F95"/>
    <w:rsid w:val="666F48B2"/>
    <w:rsid w:val="66812FCE"/>
    <w:rsid w:val="66845C6B"/>
    <w:rsid w:val="66897B56"/>
    <w:rsid w:val="669E446B"/>
    <w:rsid w:val="66B3027F"/>
    <w:rsid w:val="66CC2D91"/>
    <w:rsid w:val="676C6322"/>
    <w:rsid w:val="67E91721"/>
    <w:rsid w:val="684828EC"/>
    <w:rsid w:val="689E0B09"/>
    <w:rsid w:val="68AF64C7"/>
    <w:rsid w:val="68BA2E4A"/>
    <w:rsid w:val="68BF2482"/>
    <w:rsid w:val="68D57089"/>
    <w:rsid w:val="68D75A1D"/>
    <w:rsid w:val="69731BEA"/>
    <w:rsid w:val="69765236"/>
    <w:rsid w:val="697D4817"/>
    <w:rsid w:val="69AA326E"/>
    <w:rsid w:val="69D02B99"/>
    <w:rsid w:val="69F83E9D"/>
    <w:rsid w:val="6A042842"/>
    <w:rsid w:val="6A374E4B"/>
    <w:rsid w:val="6A5837C7"/>
    <w:rsid w:val="6A7E0847"/>
    <w:rsid w:val="6B00125C"/>
    <w:rsid w:val="6B1B2A5E"/>
    <w:rsid w:val="6B8E2D0B"/>
    <w:rsid w:val="6BBC10B2"/>
    <w:rsid w:val="6BC35730"/>
    <w:rsid w:val="6BCF0C2E"/>
    <w:rsid w:val="6BF012D0"/>
    <w:rsid w:val="6C541216"/>
    <w:rsid w:val="6C5C53CF"/>
    <w:rsid w:val="6C686766"/>
    <w:rsid w:val="6C9F6CBF"/>
    <w:rsid w:val="6CDE381E"/>
    <w:rsid w:val="6D817112"/>
    <w:rsid w:val="6D8A47CA"/>
    <w:rsid w:val="6D9B526C"/>
    <w:rsid w:val="6E573888"/>
    <w:rsid w:val="6E6F421F"/>
    <w:rsid w:val="6E92623A"/>
    <w:rsid w:val="6EBA381B"/>
    <w:rsid w:val="6F0D2199"/>
    <w:rsid w:val="6F2968A7"/>
    <w:rsid w:val="6F2F65B3"/>
    <w:rsid w:val="6F457B85"/>
    <w:rsid w:val="6F4638FD"/>
    <w:rsid w:val="6FB940CF"/>
    <w:rsid w:val="6FBD5FE1"/>
    <w:rsid w:val="6FCE7B7A"/>
    <w:rsid w:val="6FE70C3C"/>
    <w:rsid w:val="6FEF189F"/>
    <w:rsid w:val="6FF31971"/>
    <w:rsid w:val="70141305"/>
    <w:rsid w:val="70207CAA"/>
    <w:rsid w:val="70221C74"/>
    <w:rsid w:val="705B5186"/>
    <w:rsid w:val="70785D38"/>
    <w:rsid w:val="70826FF6"/>
    <w:rsid w:val="70D7072F"/>
    <w:rsid w:val="712351CC"/>
    <w:rsid w:val="71665B90"/>
    <w:rsid w:val="716A38D3"/>
    <w:rsid w:val="71704C61"/>
    <w:rsid w:val="71830048"/>
    <w:rsid w:val="71A779AA"/>
    <w:rsid w:val="71BE3C1E"/>
    <w:rsid w:val="71E17B50"/>
    <w:rsid w:val="72612407"/>
    <w:rsid w:val="72D37256"/>
    <w:rsid w:val="72E15E16"/>
    <w:rsid w:val="72EE0533"/>
    <w:rsid w:val="73540F98"/>
    <w:rsid w:val="736507F6"/>
    <w:rsid w:val="73953386"/>
    <w:rsid w:val="73AC0640"/>
    <w:rsid w:val="73B2330F"/>
    <w:rsid w:val="73EF6311"/>
    <w:rsid w:val="73FE0302"/>
    <w:rsid w:val="740D4E17"/>
    <w:rsid w:val="74220495"/>
    <w:rsid w:val="74A569D0"/>
    <w:rsid w:val="74BC09A1"/>
    <w:rsid w:val="7501454E"/>
    <w:rsid w:val="75093403"/>
    <w:rsid w:val="7521074C"/>
    <w:rsid w:val="75385A96"/>
    <w:rsid w:val="757840E4"/>
    <w:rsid w:val="75860393"/>
    <w:rsid w:val="758B206A"/>
    <w:rsid w:val="758F0E96"/>
    <w:rsid w:val="759929D8"/>
    <w:rsid w:val="75B415C0"/>
    <w:rsid w:val="75F573FC"/>
    <w:rsid w:val="760D2A7F"/>
    <w:rsid w:val="7620086F"/>
    <w:rsid w:val="762B1157"/>
    <w:rsid w:val="76BF6607"/>
    <w:rsid w:val="76F0487A"/>
    <w:rsid w:val="77000835"/>
    <w:rsid w:val="772D6E8E"/>
    <w:rsid w:val="77577C6A"/>
    <w:rsid w:val="776112D4"/>
    <w:rsid w:val="776B3F01"/>
    <w:rsid w:val="778B619F"/>
    <w:rsid w:val="77DB72D8"/>
    <w:rsid w:val="77DC741B"/>
    <w:rsid w:val="77F932A5"/>
    <w:rsid w:val="78200134"/>
    <w:rsid w:val="78760DAF"/>
    <w:rsid w:val="787B63C5"/>
    <w:rsid w:val="789B25C4"/>
    <w:rsid w:val="78D87B80"/>
    <w:rsid w:val="78E81581"/>
    <w:rsid w:val="793D1193"/>
    <w:rsid w:val="794B223C"/>
    <w:rsid w:val="7956473D"/>
    <w:rsid w:val="795F7D0D"/>
    <w:rsid w:val="79971568"/>
    <w:rsid w:val="79A66FD3"/>
    <w:rsid w:val="79A74F98"/>
    <w:rsid w:val="79D0629D"/>
    <w:rsid w:val="79E9047E"/>
    <w:rsid w:val="79EE0E19"/>
    <w:rsid w:val="7A4B626B"/>
    <w:rsid w:val="7A660A22"/>
    <w:rsid w:val="7A8F2E13"/>
    <w:rsid w:val="7AEA338E"/>
    <w:rsid w:val="7B011C90"/>
    <w:rsid w:val="7B1D781F"/>
    <w:rsid w:val="7B3D021F"/>
    <w:rsid w:val="7C3074C7"/>
    <w:rsid w:val="7C833A9B"/>
    <w:rsid w:val="7CF44998"/>
    <w:rsid w:val="7D557E11"/>
    <w:rsid w:val="7D5D6F6D"/>
    <w:rsid w:val="7D6B6113"/>
    <w:rsid w:val="7D785D38"/>
    <w:rsid w:val="7D913A27"/>
    <w:rsid w:val="7DA26EDC"/>
    <w:rsid w:val="7DAC5273"/>
    <w:rsid w:val="7E066731"/>
    <w:rsid w:val="7E3F39F1"/>
    <w:rsid w:val="7E5E6CCB"/>
    <w:rsid w:val="7E680EAA"/>
    <w:rsid w:val="7E832AC7"/>
    <w:rsid w:val="7E9B156F"/>
    <w:rsid w:val="7E9F071A"/>
    <w:rsid w:val="7EA97B73"/>
    <w:rsid w:val="7EB20667"/>
    <w:rsid w:val="7ECB20F8"/>
    <w:rsid w:val="7EF80F8C"/>
    <w:rsid w:val="7F034416"/>
    <w:rsid w:val="7F3900A1"/>
    <w:rsid w:val="7F3C6183"/>
    <w:rsid w:val="7F500288"/>
    <w:rsid w:val="7F5B391B"/>
    <w:rsid w:val="7F686F78"/>
    <w:rsid w:val="7F6A7194"/>
    <w:rsid w:val="7F89586C"/>
    <w:rsid w:val="7F9F1785"/>
    <w:rsid w:val="7FF35BB4"/>
    <w:rsid w:val="BFC57707"/>
    <w:rsid w:val="DFF5B08B"/>
    <w:rsid w:val="EEB93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customStyle="1" w:styleId="3">
    <w:name w:val="正文首行缩进2个字 Char"/>
    <w:basedOn w:val="1"/>
    <w:qFormat/>
    <w:uiPriority w:val="0"/>
    <w:pPr>
      <w:ind w:firstLine="480" w:firstLineChars="200"/>
    </w:pPr>
    <w:rPr>
      <w:rFonts w:eastAsia="楷体"/>
      <w:sz w:val="24"/>
      <w:szCs w:val="24"/>
    </w:rPr>
  </w:style>
  <w:style w:type="paragraph" w:styleId="4">
    <w:name w:val="annotation text"/>
    <w:basedOn w:val="1"/>
    <w:qFormat/>
    <w:uiPriority w:val="0"/>
    <w:pPr>
      <w:jc w:val="left"/>
    </w:pPr>
  </w:style>
  <w:style w:type="paragraph" w:styleId="5">
    <w:name w:val="Body Text"/>
    <w:basedOn w:val="1"/>
    <w:unhideWhenUsed/>
    <w:qFormat/>
    <w:uiPriority w:val="99"/>
    <w:pPr>
      <w:ind w:left="118"/>
    </w:pPr>
    <w:rPr>
      <w:rFonts w:ascii="宋体" w:hAnsi="宋体" w:eastAsia="宋体"/>
    </w:rPr>
  </w:style>
  <w:style w:type="paragraph" w:styleId="6">
    <w:name w:val="Body Text Indent"/>
    <w:basedOn w:val="1"/>
    <w:next w:val="7"/>
    <w:qFormat/>
    <w:uiPriority w:val="0"/>
    <w:pPr>
      <w:ind w:firstLine="480" w:firstLineChars="200"/>
    </w:pPr>
    <w:rPr>
      <w:rFonts w:ascii="宋体"/>
      <w:color w:val="000000"/>
      <w:sz w:val="24"/>
    </w:rPr>
  </w:style>
  <w:style w:type="paragraph" w:styleId="7">
    <w:name w:val="toc 9"/>
    <w:basedOn w:val="1"/>
    <w:next w:val="1"/>
    <w:qFormat/>
    <w:uiPriority w:val="0"/>
    <w:pPr>
      <w:widowControl/>
      <w:wordWrap w:val="0"/>
      <w:autoSpaceDE/>
      <w:autoSpaceDN/>
      <w:spacing w:before="0" w:after="0" w:line="240" w:lineRule="auto"/>
      <w:ind w:left="2975" w:firstLine="0"/>
      <w:jc w:val="both"/>
    </w:pPr>
    <w:rPr>
      <w:sz w:val="21"/>
      <w:szCs w:val="22"/>
    </w:rPr>
  </w:style>
  <w:style w:type="paragraph" w:styleId="8">
    <w:name w:val="Plain Text"/>
    <w:basedOn w:val="1"/>
    <w:qFormat/>
    <w:uiPriority w:val="0"/>
    <w:rPr>
      <w:rFonts w:ascii="宋体" w:hAnsi="Courier New" w:eastAsia="宋体" w:cs="Times New Roman"/>
      <w:szCs w:val="24"/>
    </w:rPr>
  </w:style>
  <w:style w:type="paragraph" w:styleId="9">
    <w:name w:val="Normal (Web)"/>
    <w:basedOn w:val="1"/>
    <w:qFormat/>
    <w:uiPriority w:val="0"/>
    <w:rPr>
      <w:sz w:val="24"/>
    </w:rPr>
  </w:style>
  <w:style w:type="paragraph" w:styleId="10">
    <w:name w:val="Body Text First Indent"/>
    <w:basedOn w:val="5"/>
    <w:next w:val="1"/>
    <w:qFormat/>
    <w:uiPriority w:val="0"/>
    <w:pPr>
      <w:ind w:firstLine="420" w:firstLineChars="100"/>
    </w:pPr>
  </w:style>
  <w:style w:type="paragraph" w:styleId="11">
    <w:name w:val="Body Text First Indent 2"/>
    <w:basedOn w:val="6"/>
    <w:next w:val="1"/>
    <w:qFormat/>
    <w:uiPriority w:val="0"/>
    <w:pPr>
      <w:ind w:firstLine="420" w:firstLineChars="200"/>
    </w:pPr>
    <w:rPr>
      <w:snapToGrid w:val="0"/>
      <w:kern w:val="0"/>
      <w:sz w:val="24"/>
      <w:szCs w:val="24"/>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Emphasis"/>
    <w:basedOn w:val="14"/>
    <w:qFormat/>
    <w:uiPriority w:val="0"/>
    <w:rPr>
      <w:i/>
    </w:rPr>
  </w:style>
  <w:style w:type="paragraph" w:customStyle="1" w:styleId="17">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18">
    <w:name w:val="Default"/>
    <w:basedOn w:val="19"/>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19">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customStyle="1" w:styleId="20">
    <w:name w:val=" Char Char Char1 Char Char Char Char Char Char Char Char Char Char Char Char Char"/>
    <w:basedOn w:val="1"/>
    <w:qFormat/>
    <w:uiPriority w:val="0"/>
    <w:rPr>
      <w:rFonts w:ascii="Times New Roman" w:hAnsi="Times New Roman" w:eastAsia="宋体" w:cs="Times New Roman"/>
      <w:sz w:val="24"/>
    </w:rPr>
  </w:style>
  <w:style w:type="paragraph" w:customStyle="1" w:styleId="21">
    <w:name w:val="报告正文"/>
    <w:basedOn w:val="1"/>
    <w:semiHidden/>
    <w:qFormat/>
    <w:uiPriority w:val="0"/>
    <w:pPr>
      <w:spacing w:line="440" w:lineRule="exact"/>
      <w:ind w:firstLine="200" w:firstLineChars="200"/>
      <w:jc w:val="left"/>
    </w:pPr>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8037</Words>
  <Characters>8923</Characters>
  <Lines>1</Lines>
  <Paragraphs>1</Paragraphs>
  <TotalTime>17</TotalTime>
  <ScaleCrop>false</ScaleCrop>
  <LinksUpToDate>false</LinksUpToDate>
  <CharactersWithSpaces>8930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2024-04-22T07:29:00Z</cp:lastPrinted>
  <dcterms:modified xsi:type="dcterms:W3CDTF">2025-10-31T08:59:25Z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BCBE0AFC2A5F44D8826CD00553A101CD_13</vt:lpwstr>
  </property>
  <property fmtid="{D5CDD505-2E9C-101B-9397-08002B2CF9AE}" pid="4" name="KSOTemplateDocerSaveRecord">
    <vt:lpwstr>eyJoZGlkIjoiZWE3NDRlNjQyYjNlZTdiMmNlMjBkMWNhNTkzOTRkMTAiLCJ1c2VySWQiOiI0NDQzOTcwNDEifQ==</vt:lpwstr>
  </property>
</Properties>
</file>