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997F5">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正大青春宝药业有限公司</w:t>
      </w:r>
    </w:p>
    <w:p w14:paraId="6A6BA133">
      <w:pPr>
        <w:spacing w:line="360" w:lineRule="auto"/>
        <w:jc w:val="center"/>
        <w:rPr>
          <w:rFonts w:hint="default" w:ascii="Times New Roman" w:hAnsi="Times New Roman" w:eastAsia="宋体" w:cs="Times New Roman"/>
          <w:b/>
          <w:color w:val="auto"/>
          <w:sz w:val="32"/>
          <w:szCs w:val="32"/>
          <w:highlight w:val="none"/>
          <w:lang w:eastAsia="zh-CN"/>
        </w:rPr>
      </w:pPr>
      <w:r>
        <w:rPr>
          <w:rFonts w:hint="eastAsia" w:ascii="Times New Roman" w:hAnsi="Times New Roman" w:cs="Times New Roman"/>
          <w:b/>
          <w:color w:val="auto"/>
          <w:sz w:val="32"/>
          <w:szCs w:val="32"/>
          <w:highlight w:val="none"/>
          <w:lang w:val="en-US" w:eastAsia="zh-CN"/>
        </w:rPr>
        <w:t>新增年产口服糖浆剂260万瓶、膏滋剂52万瓶项目（正大青春宝药业有限公司口服糖浆剂、膏滋剂生产建设项目）</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正大青春宝药业有限公司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正大青春宝药业有限公司新增年产口服糖浆剂260万瓶、膏滋剂52万瓶项目（正大青春宝药业有限公司口服糖浆剂、膏滋剂生产建设项目）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eastAsia" w:ascii="Times New Roman" w:hAnsi="Times New Roman" w:cs="Times New Roman"/>
          <w:color w:val="auto"/>
          <w:kern w:val="0"/>
          <w:sz w:val="24"/>
          <w:highlight w:val="none"/>
          <w:lang w:val="en-US" w:eastAsia="zh-CN"/>
        </w:rPr>
        <w:t>登记</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备案承诺书</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正大青春宝药业有限公司新增年产口服糖浆剂260万瓶、膏滋剂52万瓶项目（正大青春宝药业有限公司口服糖浆剂、膏滋剂生产建设项目）（以下简称本项目）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56E61B25">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环评审批情况：</w:t>
      </w:r>
    </w:p>
    <w:p w14:paraId="684423E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正大青春宝（德清）药业有限公司成立于2016年4月，其注册生产经营厂址位于浙江省湖州市德清莫干山国家高新区珍珠街303号（阜溪），法人金强，为正大青春宝药业有限公司的全资子公司（以下简称子公司）。2017年11月，委托浙江大学编制了《正大青春宝（德清）药业有限公司年产15亿袋（片、粒）固体制剂及1.4亿支中药物提取注射剂项目环境影响报告表》，并于2017年12月8日通过了德清县环境保护局审批，审批文号为德环建改【2017】1号。2020年1月，企业完成了自主环保验收；后基于良好的市场前景和正大青春宝药业有限公司自有的研发、品牌及市场推广能力等，子公司投资69850万元在原厂区南侧新建厂房并实施年产1.4亿支（瓶）注射剂和1亿支（瓶）口服液体制剂项目，公司委托浙江仕远环境科技有限公司编制了《年产1.4亿支（瓶）注射剂和1亿支（瓶）口服液体制剂项目》，并于2021年10月18日通过了湖州市生态环境局德清分局审批，审批文号为湖德环建[2021]166号；2023年4月，企业完成了自主环保验收。</w:t>
      </w:r>
    </w:p>
    <w:p w14:paraId="2F99F1AA">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正大青春宝药业有限公司成立于1992年，现注册地址位于浙江省湖州市德清莫干山国家高新区青春路88号，法人金强，企业拟利用全资子公司厂区内口服液体制剂车间一层预留区域面积1363平方米，建设糖浆剂、膏滋剂生产线，主要内容为车间预留区装修改造和工艺设备购置安装。可新增年产口服糖浆剂260万瓶、膏滋剂52万瓶的生产能力。</w:t>
      </w:r>
    </w:p>
    <w:p w14:paraId="6F24507C">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4月，委托浙江仕远环境科技有限公司编制完成了《正大青春宝药业有限公司新增年产口服糖浆剂260万瓶、膏滋剂52万瓶项目（正大青春宝药业有限公司口服糖浆剂、膏滋剂生产建设项目）环境影响登记表》，并于2024年4月2日通过了湖州市生态环境局德清分局的备案，备案文号为：湖德环建备[2024]17号。企业已完成固定污染源排污登记，登记编号为：91330100609120766P002Z。</w:t>
      </w:r>
    </w:p>
    <w:p w14:paraId="79DA4AC4">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14:paraId="0752EA0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本项目于2025年6月3日开工建设进行设备安装，于2025年6月30日竣工，</w:t>
      </w:r>
      <w:bookmarkStart w:id="5" w:name="_GoBack"/>
      <w:r>
        <w:rPr>
          <w:rFonts w:hint="eastAsia" w:ascii="Times New Roman" w:hAnsi="Times New Roman" w:cs="Times New Roman"/>
          <w:color w:val="0000FF"/>
          <w:kern w:val="0"/>
          <w:sz w:val="24"/>
          <w:highlight w:val="none"/>
          <w:lang w:val="en-US" w:eastAsia="zh-CN"/>
        </w:rPr>
        <w:t>竣工后于2025年7月-12月进行生产阶段。</w:t>
      </w:r>
      <w:bookmarkEnd w:id="5"/>
      <w:r>
        <w:rPr>
          <w:rFonts w:hint="eastAsia" w:ascii="Times New Roman" w:hAnsi="Times New Roman" w:cs="Times New Roman"/>
          <w:color w:val="auto"/>
          <w:kern w:val="0"/>
          <w:sz w:val="24"/>
          <w:highlight w:val="none"/>
          <w:lang w:val="en-US" w:eastAsia="zh-CN"/>
        </w:rPr>
        <w:t>本项目实际总投资1322万元，其中环保投资25万元，约占项目总投资的1.89%。企业于2025年10月着手开展本项目的自主竣工环境保护验收工作，对照项目环境影响登记表文本和备案承诺书，对项目和环境保护设施建设情况进行了验收自查，然后根据自查结果于2025年10月编制完成验收监测方案，并委托湖州中鑫检测有限公司于2025年10月30日-2025年10月31日、2025年11月10日-2025年11月12日、2026年1月7日-2026年1月8日进行了现场验收监测，通过对该工程“三同时”执行情况和效果的检查并依据监测结果及相应的国家有关环境标准，编制了本项目竣工环境保护验收监测报告表。</w:t>
      </w:r>
    </w:p>
    <w:p w14:paraId="35E8F188">
      <w:pPr>
        <w:spacing w:line="360" w:lineRule="auto"/>
        <w:ind w:firstLine="480" w:firstLineChars="200"/>
        <w:rPr>
          <w:rFonts w:hint="default"/>
          <w:color w:val="auto"/>
          <w:highlight w:val="none"/>
        </w:rPr>
      </w:pPr>
      <w:r>
        <w:rPr>
          <w:rFonts w:hint="eastAsia" w:ascii="Times New Roman" w:hAnsi="Times New Roman" w:cs="Times New Roman"/>
          <w:color w:val="auto"/>
          <w:kern w:val="0"/>
          <w:sz w:val="24"/>
          <w:highlight w:val="none"/>
          <w:lang w:val="en-US" w:eastAsia="zh-CN"/>
        </w:rPr>
        <w:t>本次针对企业在产的年产口服糖浆剂260万瓶、膏滋剂52万瓶项目（正大青春宝药业有限公司口服糖浆剂、膏滋剂生产建设项目）及其配套工程、环保工程进行竣工环境保护“三同时”验收</w:t>
      </w:r>
      <w:r>
        <w:rPr>
          <w:rFonts w:hint="eastAsia" w:ascii="Times New Roman" w:hAnsi="Times New Roman"/>
          <w:color w:val="auto"/>
          <w:sz w:val="24"/>
          <w:highlight w:val="none"/>
          <w:lang w:val="en-US" w:eastAsia="zh-CN"/>
        </w:rPr>
        <w:t>。</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0" w:name="_Toc498700049"/>
      <w:bookmarkStart w:id="1" w:name="_Toc498351802"/>
      <w:bookmarkStart w:id="2" w:name="_Toc498412723"/>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566A8E4D">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（1）本项目实际生产工艺变化如下：①烊糖取消趁热用120目绢丝袋过滤；②灌封后的药瓶，直接进行贴标，无需在一般生产区暂存表面干燥后。</w:t>
      </w:r>
    </w:p>
    <w:p w14:paraId="2E08300E">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（2）本项目实际可倾式夹层锅用途为炼蜜，故实际生产设备减少1台炼蜜罐；配制罐实际用途为混合、收膏浓缩，故实际生产设备减少1台混合、收膏浓缩罐。其余设备情况与环评审批一致。</w:t>
      </w:r>
    </w:p>
    <w:p w14:paraId="4BAEB5C9">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（3）本项目实际原辅材料与环评对照，原辅材料的消耗基本在环评审批范围内。</w:t>
      </w:r>
    </w:p>
    <w:p w14:paraId="45DE7D7F">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以上并未导致第6条中所列情形</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项目性质、规模、地点、环境保护措施与环境影响登记表及备案承诺书文件保持一致，基本无变动。</w:t>
      </w:r>
    </w:p>
    <w:p w14:paraId="1EE8BE6C">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6"/>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本项目营运过程产生的废水主要是生活污水、生产废水和冷却水。</w:t>
      </w:r>
    </w:p>
    <w:p w14:paraId="2C61AE05">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生活污水、生产废水：生活污水经化粪池、隔油池预处理后与生产废水（车间设备清洗废水、空瓶清洗废水、车间地面清洗废水、制纯水废水及间接蒸汽冷凝水）一起进入厂区内污水处理站处理后纳管至区域城镇污水处理厂处理后排放。</w:t>
      </w:r>
    </w:p>
    <w:p w14:paraId="671AE90A">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（2）冷却水：经冷却塔冷却后循环使用，不排放，仅定期添加损耗。</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（二）废气：本项目营运过程产生的废气主要是污水站恶臭和食堂油烟。</w:t>
      </w:r>
    </w:p>
    <w:p w14:paraId="5476A8E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污水站恶臭：依托子公司污水站，已对恶臭源强较大的调节池、厌氧池、缺氧池、好氧池、污泥池、脱水机房采取玻璃钢全封闭加盖形式，经引风机收集后进入一套两级碱喷淋（一级NaClO、二级NaOH）装置进行除臭处理，最后通过一根15m高的排气筒高空排放。</w:t>
      </w:r>
    </w:p>
    <w:p w14:paraId="2F10C6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②食堂油烟：依托子公司食堂；新增职工定员餐饮产生的油烟经油烟净化装置净化处理后于屋顶高空排放。</w:t>
      </w:r>
    </w:p>
    <w:p w14:paraId="3B2ED96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一班制，厂区噪声源主要为生产设备、及辅助设施运行噪声，噪声强度60-80dB（A），通过选用低噪声设备，对高噪声设备采取减振隔振措施；风机设置隔声罩；设备合理布局，高噪声设备尽量布置在车间中部；加强设备维修与保养，避免设备老化引起的噪声；生产时关闭门窗，制定相关操作规程，原料及成品的搬运、装卸做到轻拿轻放等措施减少噪声。</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固废：本项目营运过程产生的固体废物包括生活垃圾和一般固废。</w:t>
      </w:r>
    </w:p>
    <w:p w14:paraId="5E1516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所在厂区建立统一的固废分类收集、统一堆放场地制度。堆放场所须按防雨淋、防渗漏等要求设置，放置场所做好地面的硬化防腐，并设置明显的标志。综上所述，只要企业落实好各类固体废物收集、贮存、运输、利用、处置等各环节污染防治措施及环境管理措施，以</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减量化、资源化、无害化</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为基本原则，加强管理，及时处置。</w:t>
      </w:r>
    </w:p>
    <w:p w14:paraId="1CEBDE0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生活垃圾</w:t>
      </w:r>
      <w:r>
        <w:rPr>
          <w:rFonts w:hint="eastAsia" w:ascii="Times New Roman" w:hAnsi="Times New Roman" w:cs="Times New Roman"/>
          <w:color w:val="auto"/>
          <w:kern w:val="0"/>
          <w:sz w:val="24"/>
          <w:highlight w:val="none"/>
          <w:lang w:val="en-US" w:eastAsia="zh-CN"/>
        </w:rPr>
        <w:t>、食堂固废、脱水污泥</w:t>
      </w:r>
      <w:r>
        <w:rPr>
          <w:rFonts w:hint="eastAsia" w:ascii="Times New Roman" w:hAnsi="Times New Roman" w:eastAsia="宋体" w:cs="Times New Roman"/>
          <w:color w:val="auto"/>
          <w:kern w:val="0"/>
          <w:sz w:val="24"/>
          <w:highlight w:val="none"/>
          <w:lang w:val="en-US" w:eastAsia="zh-CN"/>
        </w:rPr>
        <w:t>集中收集后委托环卫部门清运清运；废滤渣</w:t>
      </w:r>
      <w:r>
        <w:rPr>
          <w:rFonts w:hint="eastAsia" w:ascii="Times New Roman" w:hAnsi="Times New Roman" w:cs="Times New Roman"/>
          <w:color w:val="auto"/>
          <w:kern w:val="0"/>
          <w:sz w:val="24"/>
          <w:highlight w:val="none"/>
          <w:lang w:val="en-US" w:eastAsia="zh-CN"/>
        </w:rPr>
        <w:t>集中收集后作为饲料委托杭州牧宝生物科技有限公司清运处理；废包装材料集中收集后出售给物资回收单位</w:t>
      </w:r>
      <w:r>
        <w:rPr>
          <w:rFonts w:hint="eastAsia" w:ascii="Times New Roman" w:hAnsi="Times New Roman" w:eastAsia="宋体" w:cs="Times New Roman"/>
          <w:color w:val="auto"/>
          <w:kern w:val="0"/>
          <w:sz w:val="24"/>
          <w:highlight w:val="none"/>
          <w:lang w:val="en-US" w:eastAsia="zh-CN"/>
        </w:rPr>
        <w:t>。</w:t>
      </w:r>
    </w:p>
    <w:p w14:paraId="76A0A01C">
      <w:pPr>
        <w:widowControl/>
        <w:numPr>
          <w:ilvl w:val="0"/>
          <w:numId w:val="2"/>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土壤及地下水污染防治措施</w:t>
      </w:r>
    </w:p>
    <w:p w14:paraId="6D96C02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bookmarkStart w:id="3" w:name="OLE_LINK21"/>
      <w:r>
        <w:rPr>
          <w:rFonts w:hint="eastAsia" w:ascii="Times New Roman" w:hAnsi="Times New Roman" w:eastAsia="宋体" w:cs="Times New Roman"/>
          <w:color w:val="auto"/>
          <w:kern w:val="0"/>
          <w:sz w:val="24"/>
          <w:highlight w:val="none"/>
          <w:lang w:val="en-US" w:eastAsia="zh-CN"/>
        </w:rPr>
        <w:t>本项目地下水和土壤污染防治措施已按照</w:t>
      </w:r>
      <w:r>
        <w:rPr>
          <w:rFonts w:hint="eastAsia" w:ascii="Times New Roman" w:hAnsi="Times New Roman"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源头控制、分区防护、污染监控、应急响应</w:t>
      </w:r>
      <w:r>
        <w:rPr>
          <w:rFonts w:hint="eastAsia" w:ascii="Times New Roman" w:hAnsi="Times New Roman"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相结合的原则，全方位进行控制</w:t>
      </w:r>
      <w:bookmarkEnd w:id="3"/>
      <w:r>
        <w:rPr>
          <w:rFonts w:hint="eastAsia" w:ascii="Times New Roman" w:hAnsi="Times New Roman" w:eastAsia="宋体" w:cs="Times New Roman"/>
          <w:color w:val="auto"/>
          <w:kern w:val="0"/>
          <w:sz w:val="24"/>
          <w:highlight w:val="none"/>
          <w:lang w:val="en-US" w:eastAsia="zh-CN"/>
        </w:rPr>
        <w:t>。</w:t>
      </w:r>
    </w:p>
    <w:p w14:paraId="2044394B">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①源头控制：主要为防泄漏、防流散措施。原辅材料根据理化性质分类存放。生产过程中加强巡检，对管道、设备、污水管道等采取控制措施，防止跑、冒、滴、漏。如遇泄漏应立即进行清除，以防下渗污染。固体废物应分类收集，并按照类别分置于防渗漏的专用包装物或者密闭的容器内，固废暂存场所应采取防风、防雨、防渗等措施，防止渗漏污染土壤；做好废气排放的污染防治工作，强化厂区及周边绿化，种植吸附能力较强的植物，尽可能降低废气排放对土壤的污染影响。</w:t>
      </w:r>
    </w:p>
    <w:p w14:paraId="6919F8EF">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②分区防渗：企业按分区防控的原则做好防渗措施，对于可能发生物料和污染物泄露的地上构筑物进行防渗处理。地面防渗措施满足《环境影响评价技术导则地下水环境》（HJ610-2016）和《危险废物贮存污染控制标准》（GB18597-2023）规定的防渗要求</w:t>
      </w:r>
      <w:r>
        <w:rPr>
          <w:rFonts w:hint="eastAsia" w:ascii="Times New Roman" w:hAnsi="Times New Roman" w:cs="Times New Roman"/>
          <w:color w:val="auto"/>
          <w:kern w:val="0"/>
          <w:sz w:val="24"/>
          <w:highlight w:val="none"/>
          <w:lang w:val="en-US" w:eastAsia="zh-CN"/>
        </w:rPr>
        <w:t>。</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湖州中鑫检测有限公司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ZX202515401</w:t>
      </w:r>
      <w:r>
        <w:rPr>
          <w:rFonts w:hint="eastAsia" w:ascii="Times New Roman" w:hAnsi="Times New Roman" w:cs="Times New Roman"/>
          <w:snapToGrid/>
          <w:color w:val="auto"/>
          <w:spacing w:val="-3"/>
          <w:kern w:val="2"/>
          <w:sz w:val="24"/>
          <w:szCs w:val="24"/>
          <w:highlight w:val="none"/>
          <w:lang w:val="en-US" w:eastAsia="zh-CN" w:bidi="ar-SA"/>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1FE2EA7A">
      <w:pPr>
        <w:pStyle w:val="8"/>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污染物去除效率根据污水站调节池和废水排放口检测数据计算，得到项目配备污水站对pH值、悬浮物、化学需氧量、五日生化需氧量、氨氮、总磷的去除效率，具体见下表1</w:t>
      </w:r>
      <w:r>
        <w:rPr>
          <w:rFonts w:ascii="Times New Roman" w:hAnsi="Times New Roman" w:eastAsia="宋体" w:cs="Times New Roman"/>
          <w:color w:val="auto"/>
          <w:sz w:val="24"/>
          <w:highlight w:val="none"/>
        </w:rPr>
        <w:t>。</w:t>
      </w:r>
    </w:p>
    <w:p w14:paraId="07BCE4B1">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 xml:space="preserve">1  </w:t>
      </w:r>
      <w:r>
        <w:rPr>
          <w:rFonts w:hint="eastAsia" w:ascii="宋体" w:hAnsi="宋体" w:eastAsia="宋体" w:cs="宋体"/>
          <w:b/>
          <w:bCs/>
          <w:color w:val="auto"/>
          <w:kern w:val="2"/>
          <w:sz w:val="21"/>
          <w:szCs w:val="21"/>
          <w:lang w:val="en-US" w:eastAsia="zh-CN" w:bidi="ar"/>
        </w:rPr>
        <w:t>废水处理效果一览表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4"/>
        <w:gridCol w:w="1673"/>
        <w:gridCol w:w="2054"/>
        <w:gridCol w:w="1537"/>
        <w:gridCol w:w="1451"/>
        <w:gridCol w:w="1489"/>
      </w:tblGrid>
      <w:tr w14:paraId="6D4F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2F0F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废水来源</w:t>
            </w:r>
          </w:p>
        </w:tc>
        <w:tc>
          <w:tcPr>
            <w:tcW w:w="1588" w:type="dxa"/>
            <w:tcBorders>
              <w:top w:val="single" w:color="auto" w:sz="4" w:space="0"/>
              <w:left w:val="nil"/>
              <w:bottom w:val="single" w:color="auto" w:sz="4" w:space="0"/>
              <w:right w:val="single" w:color="auto" w:sz="4" w:space="0"/>
            </w:tcBorders>
            <w:shd w:val="clear" w:color="auto" w:fill="auto"/>
            <w:vAlign w:val="center"/>
          </w:tcPr>
          <w:p w14:paraId="104A7C1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废水处理设施</w:t>
            </w:r>
          </w:p>
        </w:tc>
        <w:tc>
          <w:tcPr>
            <w:tcW w:w="1949" w:type="dxa"/>
            <w:tcBorders>
              <w:top w:val="single" w:color="auto" w:sz="4" w:space="0"/>
              <w:left w:val="nil"/>
              <w:bottom w:val="single" w:color="auto" w:sz="4" w:space="0"/>
              <w:right w:val="single" w:color="auto" w:sz="4" w:space="0"/>
            </w:tcBorders>
            <w:shd w:val="clear" w:color="auto" w:fill="auto"/>
            <w:vAlign w:val="center"/>
          </w:tcPr>
          <w:p w14:paraId="7863233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1459" w:type="dxa"/>
            <w:tcBorders>
              <w:top w:val="single" w:color="auto" w:sz="4" w:space="0"/>
              <w:left w:val="nil"/>
              <w:bottom w:val="single" w:color="auto" w:sz="4" w:space="0"/>
              <w:right w:val="single" w:color="auto" w:sz="4" w:space="0"/>
            </w:tcBorders>
            <w:shd w:val="clear" w:color="auto" w:fill="auto"/>
            <w:vAlign w:val="center"/>
          </w:tcPr>
          <w:p w14:paraId="02553B56">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调节池浓度</w:t>
            </w:r>
          </w:p>
          <w:p w14:paraId="30024B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w:t>
            </w:r>
            <w:r>
              <w:rPr>
                <w:rFonts w:hint="default" w:ascii="Times New Roman" w:hAnsi="Times New Roman" w:eastAsia="宋体" w:cs="Times New Roman"/>
                <w:b/>
                <w:bCs/>
                <w:color w:val="auto"/>
                <w:kern w:val="2"/>
                <w:sz w:val="21"/>
                <w:szCs w:val="21"/>
                <w:lang w:val="en-US" w:eastAsia="zh-CN" w:bidi="ar"/>
              </w:rPr>
              <w:t>mg/L</w:t>
            </w:r>
            <w:r>
              <w:rPr>
                <w:rFonts w:hint="eastAsia" w:ascii="宋体" w:hAnsi="宋体" w:eastAsia="宋体" w:cs="宋体"/>
                <w:b/>
                <w:bCs/>
                <w:color w:val="auto"/>
                <w:kern w:val="2"/>
                <w:sz w:val="21"/>
                <w:szCs w:val="21"/>
                <w:lang w:val="en-US" w:eastAsia="zh-CN" w:bidi="ar"/>
              </w:rPr>
              <w:t>）</w:t>
            </w:r>
          </w:p>
        </w:tc>
        <w:tc>
          <w:tcPr>
            <w:tcW w:w="1377" w:type="dxa"/>
            <w:tcBorders>
              <w:top w:val="single" w:color="auto" w:sz="4" w:space="0"/>
              <w:left w:val="nil"/>
              <w:bottom w:val="single" w:color="auto" w:sz="4" w:space="0"/>
              <w:right w:val="single" w:color="auto" w:sz="4" w:space="0"/>
            </w:tcBorders>
            <w:shd w:val="clear" w:color="auto" w:fill="auto"/>
            <w:vAlign w:val="center"/>
          </w:tcPr>
          <w:p w14:paraId="2D340496">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总排口浓度</w:t>
            </w:r>
          </w:p>
          <w:p w14:paraId="6B770D4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w:t>
            </w:r>
            <w:r>
              <w:rPr>
                <w:rFonts w:hint="default" w:ascii="Times New Roman" w:hAnsi="Times New Roman" w:eastAsia="宋体" w:cs="Times New Roman"/>
                <w:b/>
                <w:bCs/>
                <w:color w:val="auto"/>
                <w:kern w:val="2"/>
                <w:sz w:val="21"/>
                <w:szCs w:val="21"/>
                <w:lang w:val="en-US" w:eastAsia="zh-CN" w:bidi="ar"/>
              </w:rPr>
              <w:t>mg/L</w:t>
            </w:r>
            <w:r>
              <w:rPr>
                <w:rFonts w:hint="eastAsia" w:ascii="宋体" w:hAnsi="宋体" w:eastAsia="宋体" w:cs="宋体"/>
                <w:b/>
                <w:bCs/>
                <w:color w:val="auto"/>
                <w:kern w:val="2"/>
                <w:sz w:val="21"/>
                <w:szCs w:val="21"/>
                <w:lang w:val="en-US" w:eastAsia="zh-CN" w:bidi="ar"/>
              </w:rPr>
              <w:t>）</w:t>
            </w:r>
          </w:p>
        </w:tc>
        <w:tc>
          <w:tcPr>
            <w:tcW w:w="1413" w:type="dxa"/>
            <w:tcBorders>
              <w:top w:val="single" w:color="auto" w:sz="4" w:space="0"/>
              <w:left w:val="nil"/>
              <w:bottom w:val="single" w:color="auto" w:sz="4" w:space="0"/>
              <w:right w:val="single" w:color="auto" w:sz="4" w:space="0"/>
            </w:tcBorders>
            <w:shd w:val="clear" w:color="auto" w:fill="auto"/>
            <w:vAlign w:val="center"/>
          </w:tcPr>
          <w:p w14:paraId="2856E8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去除效率（</w:t>
            </w:r>
            <w:r>
              <w:rPr>
                <w:rFonts w:hint="default" w:ascii="Times New Roman" w:hAnsi="Times New Roman" w:eastAsia="宋体" w:cs="Times New Roman"/>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w:t>
            </w:r>
          </w:p>
        </w:tc>
      </w:tr>
      <w:tr w14:paraId="19CC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135607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实验室废水</w:t>
            </w:r>
          </w:p>
        </w:tc>
        <w:tc>
          <w:tcPr>
            <w:tcW w:w="1588" w:type="dxa"/>
            <w:vMerge w:val="restart"/>
            <w:tcBorders>
              <w:top w:val="nil"/>
              <w:left w:val="nil"/>
              <w:bottom w:val="single" w:color="auto" w:sz="4" w:space="0"/>
              <w:right w:val="single" w:color="auto" w:sz="4" w:space="0"/>
            </w:tcBorders>
            <w:shd w:val="clear" w:color="auto" w:fill="auto"/>
            <w:vAlign w:val="center"/>
          </w:tcPr>
          <w:p w14:paraId="274B4E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过滤、调节、气浮、水解、厌氧、好氧、反应</w:t>
            </w:r>
          </w:p>
        </w:tc>
        <w:tc>
          <w:tcPr>
            <w:tcW w:w="1949" w:type="dxa"/>
            <w:tcBorders>
              <w:top w:val="nil"/>
              <w:left w:val="nil"/>
              <w:bottom w:val="single" w:color="auto" w:sz="4" w:space="0"/>
              <w:right w:val="single" w:color="auto" w:sz="4" w:space="0"/>
            </w:tcBorders>
            <w:shd w:val="clear" w:color="auto" w:fill="auto"/>
            <w:vAlign w:val="center"/>
          </w:tcPr>
          <w:p w14:paraId="38AC9D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悬浮物</w:t>
            </w:r>
          </w:p>
          <w:p w14:paraId="7D5AE7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7E09FA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66</w:t>
            </w:r>
          </w:p>
        </w:tc>
        <w:tc>
          <w:tcPr>
            <w:tcW w:w="1377" w:type="dxa"/>
            <w:tcBorders>
              <w:top w:val="single" w:color="auto" w:sz="4" w:space="0"/>
              <w:left w:val="nil"/>
              <w:bottom w:val="single" w:color="auto" w:sz="4" w:space="0"/>
              <w:right w:val="single" w:color="auto" w:sz="4" w:space="0"/>
            </w:tcBorders>
            <w:shd w:val="clear" w:color="auto" w:fill="auto"/>
            <w:vAlign w:val="center"/>
          </w:tcPr>
          <w:p w14:paraId="7A7A89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42</w:t>
            </w:r>
          </w:p>
        </w:tc>
        <w:tc>
          <w:tcPr>
            <w:tcW w:w="1413" w:type="dxa"/>
            <w:tcBorders>
              <w:top w:val="single" w:color="auto" w:sz="4" w:space="0"/>
              <w:left w:val="nil"/>
              <w:bottom w:val="single" w:color="auto" w:sz="4" w:space="0"/>
              <w:right w:val="single" w:color="auto" w:sz="4" w:space="0"/>
            </w:tcBorders>
            <w:shd w:val="clear" w:color="auto" w:fill="auto"/>
            <w:vAlign w:val="center"/>
          </w:tcPr>
          <w:p w14:paraId="4D9DC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36.36</w:t>
            </w:r>
          </w:p>
        </w:tc>
      </w:tr>
      <w:tr w14:paraId="050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67DBED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32D42F6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6CBA860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悬浮物</w:t>
            </w:r>
          </w:p>
          <w:p w14:paraId="1D603FE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159ECA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67</w:t>
            </w:r>
          </w:p>
        </w:tc>
        <w:tc>
          <w:tcPr>
            <w:tcW w:w="1377" w:type="dxa"/>
            <w:tcBorders>
              <w:top w:val="single" w:color="auto" w:sz="4" w:space="0"/>
              <w:left w:val="nil"/>
              <w:bottom w:val="single" w:color="auto" w:sz="4" w:space="0"/>
              <w:right w:val="single" w:color="auto" w:sz="4" w:space="0"/>
            </w:tcBorders>
            <w:shd w:val="clear" w:color="auto" w:fill="auto"/>
            <w:vAlign w:val="center"/>
          </w:tcPr>
          <w:p w14:paraId="38BB5E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43</w:t>
            </w:r>
          </w:p>
        </w:tc>
        <w:tc>
          <w:tcPr>
            <w:tcW w:w="1413" w:type="dxa"/>
            <w:tcBorders>
              <w:top w:val="single" w:color="auto" w:sz="4" w:space="0"/>
              <w:left w:val="nil"/>
              <w:bottom w:val="single" w:color="auto" w:sz="4" w:space="0"/>
              <w:right w:val="single" w:color="auto" w:sz="4" w:space="0"/>
            </w:tcBorders>
            <w:shd w:val="clear" w:color="auto" w:fill="auto"/>
            <w:vAlign w:val="center"/>
          </w:tcPr>
          <w:p w14:paraId="350EAD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35.82</w:t>
            </w:r>
          </w:p>
        </w:tc>
      </w:tr>
      <w:tr w14:paraId="1E48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335526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0125849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nil"/>
              <w:left w:val="nil"/>
              <w:bottom w:val="single" w:color="auto" w:sz="4" w:space="0"/>
              <w:right w:val="single" w:color="auto" w:sz="4" w:space="0"/>
            </w:tcBorders>
            <w:shd w:val="clear" w:color="auto" w:fill="auto"/>
            <w:vAlign w:val="center"/>
          </w:tcPr>
          <w:p w14:paraId="20D0A3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化学需氧量（</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5E27450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1450</w:t>
            </w:r>
          </w:p>
        </w:tc>
        <w:tc>
          <w:tcPr>
            <w:tcW w:w="1377" w:type="dxa"/>
            <w:tcBorders>
              <w:top w:val="single" w:color="auto" w:sz="4" w:space="0"/>
              <w:left w:val="nil"/>
              <w:bottom w:val="single" w:color="auto" w:sz="4" w:space="0"/>
              <w:right w:val="single" w:color="auto" w:sz="4" w:space="0"/>
            </w:tcBorders>
            <w:shd w:val="clear" w:color="auto" w:fill="auto"/>
            <w:vAlign w:val="center"/>
          </w:tcPr>
          <w:p w14:paraId="24FC5C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413" w:type="dxa"/>
            <w:tcBorders>
              <w:top w:val="single" w:color="auto" w:sz="4" w:space="0"/>
              <w:left w:val="nil"/>
              <w:bottom w:val="single" w:color="auto" w:sz="4" w:space="0"/>
              <w:right w:val="single" w:color="auto" w:sz="4" w:space="0"/>
            </w:tcBorders>
            <w:shd w:val="clear" w:color="auto" w:fill="auto"/>
            <w:vAlign w:val="center"/>
          </w:tcPr>
          <w:p w14:paraId="2B63B3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95.17</w:t>
            </w:r>
          </w:p>
        </w:tc>
      </w:tr>
      <w:tr w14:paraId="6552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4987C2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35707E5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6955675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化学需氧量（</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5557F2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1498</w:t>
            </w:r>
          </w:p>
        </w:tc>
        <w:tc>
          <w:tcPr>
            <w:tcW w:w="1377" w:type="dxa"/>
            <w:tcBorders>
              <w:top w:val="single" w:color="auto" w:sz="4" w:space="0"/>
              <w:left w:val="nil"/>
              <w:bottom w:val="single" w:color="auto" w:sz="4" w:space="0"/>
              <w:right w:val="single" w:color="auto" w:sz="4" w:space="0"/>
            </w:tcBorders>
            <w:shd w:val="clear" w:color="auto" w:fill="auto"/>
            <w:vAlign w:val="center"/>
          </w:tcPr>
          <w:p w14:paraId="0B57E5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58</w:t>
            </w:r>
          </w:p>
        </w:tc>
        <w:tc>
          <w:tcPr>
            <w:tcW w:w="1413" w:type="dxa"/>
            <w:tcBorders>
              <w:top w:val="single" w:color="auto" w:sz="4" w:space="0"/>
              <w:left w:val="nil"/>
              <w:bottom w:val="single" w:color="auto" w:sz="4" w:space="0"/>
              <w:right w:val="single" w:color="auto" w:sz="4" w:space="0"/>
            </w:tcBorders>
            <w:shd w:val="clear" w:color="auto" w:fill="auto"/>
            <w:vAlign w:val="center"/>
          </w:tcPr>
          <w:p w14:paraId="2180B1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96.13</w:t>
            </w:r>
          </w:p>
        </w:tc>
      </w:tr>
      <w:tr w14:paraId="6596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00B7E78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0A2BC23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3982234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五日生化需氧量（</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38066A4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764</w:t>
            </w:r>
          </w:p>
        </w:tc>
        <w:tc>
          <w:tcPr>
            <w:tcW w:w="1377" w:type="dxa"/>
            <w:tcBorders>
              <w:top w:val="single" w:color="auto" w:sz="4" w:space="0"/>
              <w:left w:val="nil"/>
              <w:bottom w:val="single" w:color="auto" w:sz="4" w:space="0"/>
              <w:right w:val="single" w:color="auto" w:sz="4" w:space="0"/>
            </w:tcBorders>
            <w:shd w:val="clear" w:color="auto" w:fill="auto"/>
            <w:vAlign w:val="center"/>
          </w:tcPr>
          <w:p w14:paraId="2D5F81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29.8</w:t>
            </w:r>
          </w:p>
        </w:tc>
        <w:tc>
          <w:tcPr>
            <w:tcW w:w="1413" w:type="dxa"/>
            <w:tcBorders>
              <w:top w:val="single" w:color="auto" w:sz="4" w:space="0"/>
              <w:left w:val="nil"/>
              <w:bottom w:val="single" w:color="auto" w:sz="4" w:space="0"/>
              <w:right w:val="single" w:color="auto" w:sz="4" w:space="0"/>
            </w:tcBorders>
            <w:shd w:val="clear" w:color="auto" w:fill="auto"/>
            <w:vAlign w:val="center"/>
          </w:tcPr>
          <w:p w14:paraId="6BFF35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96.10</w:t>
            </w:r>
          </w:p>
        </w:tc>
      </w:tr>
      <w:tr w14:paraId="5DDF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BED266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7021577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04136C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五日生化需氧量（</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42D27B2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823</w:t>
            </w:r>
          </w:p>
        </w:tc>
        <w:tc>
          <w:tcPr>
            <w:tcW w:w="1377" w:type="dxa"/>
            <w:tcBorders>
              <w:top w:val="single" w:color="auto" w:sz="4" w:space="0"/>
              <w:left w:val="nil"/>
              <w:bottom w:val="single" w:color="auto" w:sz="4" w:space="0"/>
              <w:right w:val="single" w:color="auto" w:sz="4" w:space="0"/>
            </w:tcBorders>
            <w:shd w:val="clear" w:color="auto" w:fill="auto"/>
            <w:vAlign w:val="center"/>
          </w:tcPr>
          <w:p w14:paraId="464902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27.3</w:t>
            </w:r>
          </w:p>
        </w:tc>
        <w:tc>
          <w:tcPr>
            <w:tcW w:w="1413" w:type="dxa"/>
            <w:tcBorders>
              <w:top w:val="single" w:color="auto" w:sz="4" w:space="0"/>
              <w:left w:val="nil"/>
              <w:bottom w:val="single" w:color="auto" w:sz="4" w:space="0"/>
              <w:right w:val="single" w:color="auto" w:sz="4" w:space="0"/>
            </w:tcBorders>
            <w:shd w:val="clear" w:color="auto" w:fill="auto"/>
            <w:vAlign w:val="center"/>
          </w:tcPr>
          <w:p w14:paraId="15C83D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96.68</w:t>
            </w:r>
          </w:p>
        </w:tc>
      </w:tr>
      <w:tr w14:paraId="432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2AF0E2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1637FB3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6440E5C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氨氮</w:t>
            </w:r>
          </w:p>
          <w:p w14:paraId="2135A7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63B93E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2.42</w:t>
            </w:r>
          </w:p>
        </w:tc>
        <w:tc>
          <w:tcPr>
            <w:tcW w:w="1377" w:type="dxa"/>
            <w:tcBorders>
              <w:top w:val="single" w:color="auto" w:sz="4" w:space="0"/>
              <w:left w:val="nil"/>
              <w:bottom w:val="single" w:color="auto" w:sz="4" w:space="0"/>
              <w:right w:val="single" w:color="auto" w:sz="4" w:space="0"/>
            </w:tcBorders>
            <w:shd w:val="clear" w:color="auto" w:fill="auto"/>
            <w:vAlign w:val="center"/>
          </w:tcPr>
          <w:p w14:paraId="010C5C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0.980</w:t>
            </w:r>
          </w:p>
        </w:tc>
        <w:tc>
          <w:tcPr>
            <w:tcW w:w="1413" w:type="dxa"/>
            <w:tcBorders>
              <w:top w:val="single" w:color="auto" w:sz="4" w:space="0"/>
              <w:left w:val="nil"/>
              <w:bottom w:val="single" w:color="auto" w:sz="4" w:space="0"/>
              <w:right w:val="single" w:color="auto" w:sz="4" w:space="0"/>
            </w:tcBorders>
            <w:shd w:val="clear" w:color="auto" w:fill="auto"/>
            <w:vAlign w:val="center"/>
          </w:tcPr>
          <w:p w14:paraId="2AD8A6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59.50</w:t>
            </w:r>
          </w:p>
        </w:tc>
      </w:tr>
      <w:tr w14:paraId="6667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6DC7821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446B8B0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08B1F3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氨氮</w:t>
            </w:r>
          </w:p>
          <w:p w14:paraId="2F2330C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75E9139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4.50</w:t>
            </w:r>
          </w:p>
        </w:tc>
        <w:tc>
          <w:tcPr>
            <w:tcW w:w="1377" w:type="dxa"/>
            <w:tcBorders>
              <w:top w:val="single" w:color="auto" w:sz="4" w:space="0"/>
              <w:left w:val="nil"/>
              <w:bottom w:val="single" w:color="auto" w:sz="4" w:space="0"/>
              <w:right w:val="single" w:color="auto" w:sz="4" w:space="0"/>
            </w:tcBorders>
            <w:shd w:val="clear" w:color="auto" w:fill="auto"/>
            <w:vAlign w:val="center"/>
          </w:tcPr>
          <w:p w14:paraId="3E56AB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3.37</w:t>
            </w:r>
          </w:p>
        </w:tc>
        <w:tc>
          <w:tcPr>
            <w:tcW w:w="1413" w:type="dxa"/>
            <w:tcBorders>
              <w:top w:val="single" w:color="auto" w:sz="4" w:space="0"/>
              <w:left w:val="nil"/>
              <w:bottom w:val="single" w:color="auto" w:sz="4" w:space="0"/>
              <w:right w:val="single" w:color="auto" w:sz="4" w:space="0"/>
            </w:tcBorders>
            <w:shd w:val="clear" w:color="auto" w:fill="auto"/>
            <w:vAlign w:val="center"/>
          </w:tcPr>
          <w:p w14:paraId="1E48780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25.11</w:t>
            </w:r>
          </w:p>
        </w:tc>
      </w:tr>
      <w:tr w14:paraId="6B61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4B0C200D">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6320DA1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5E6908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总磷</w:t>
            </w:r>
          </w:p>
          <w:p w14:paraId="2C3DE5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3CF402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3.12</w:t>
            </w:r>
          </w:p>
        </w:tc>
        <w:tc>
          <w:tcPr>
            <w:tcW w:w="1377" w:type="dxa"/>
            <w:tcBorders>
              <w:top w:val="single" w:color="auto" w:sz="4" w:space="0"/>
              <w:left w:val="nil"/>
              <w:bottom w:val="single" w:color="auto" w:sz="4" w:space="0"/>
              <w:right w:val="single" w:color="auto" w:sz="4" w:space="0"/>
            </w:tcBorders>
            <w:shd w:val="clear" w:color="auto" w:fill="auto"/>
            <w:vAlign w:val="center"/>
          </w:tcPr>
          <w:p w14:paraId="35D6065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0.35</w:t>
            </w:r>
          </w:p>
        </w:tc>
        <w:tc>
          <w:tcPr>
            <w:tcW w:w="1413" w:type="dxa"/>
            <w:tcBorders>
              <w:top w:val="single" w:color="auto" w:sz="4" w:space="0"/>
              <w:left w:val="nil"/>
              <w:bottom w:val="single" w:color="auto" w:sz="4" w:space="0"/>
              <w:right w:val="single" w:color="auto" w:sz="4" w:space="0"/>
            </w:tcBorders>
            <w:shd w:val="clear" w:color="auto" w:fill="auto"/>
            <w:vAlign w:val="center"/>
          </w:tcPr>
          <w:p w14:paraId="3A62D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88.78</w:t>
            </w:r>
          </w:p>
        </w:tc>
      </w:tr>
      <w:tr w14:paraId="5353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500409F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88" w:type="dxa"/>
            <w:vMerge w:val="continue"/>
            <w:tcBorders>
              <w:top w:val="nil"/>
              <w:left w:val="nil"/>
              <w:bottom w:val="single" w:color="auto" w:sz="4" w:space="0"/>
              <w:right w:val="single" w:color="auto" w:sz="4" w:space="0"/>
            </w:tcBorders>
            <w:shd w:val="clear" w:color="auto" w:fill="auto"/>
            <w:vAlign w:val="center"/>
          </w:tcPr>
          <w:p w14:paraId="4DE6B43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14:paraId="55C9D9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总磷</w:t>
            </w:r>
          </w:p>
          <w:p w14:paraId="1B915BB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459" w:type="dxa"/>
            <w:tcBorders>
              <w:top w:val="single" w:color="auto" w:sz="4" w:space="0"/>
              <w:left w:val="nil"/>
              <w:bottom w:val="single" w:color="auto" w:sz="4" w:space="0"/>
              <w:right w:val="single" w:color="auto" w:sz="4" w:space="0"/>
            </w:tcBorders>
            <w:shd w:val="clear" w:color="auto" w:fill="auto"/>
            <w:vAlign w:val="center"/>
          </w:tcPr>
          <w:p w14:paraId="3377025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2.92</w:t>
            </w:r>
          </w:p>
        </w:tc>
        <w:tc>
          <w:tcPr>
            <w:tcW w:w="1377" w:type="dxa"/>
            <w:tcBorders>
              <w:top w:val="single" w:color="auto" w:sz="4" w:space="0"/>
              <w:left w:val="nil"/>
              <w:bottom w:val="single" w:color="auto" w:sz="4" w:space="0"/>
              <w:right w:val="single" w:color="auto" w:sz="4" w:space="0"/>
            </w:tcBorders>
            <w:shd w:val="clear" w:color="auto" w:fill="auto"/>
            <w:vAlign w:val="center"/>
          </w:tcPr>
          <w:p w14:paraId="5275A6D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0.67</w:t>
            </w:r>
          </w:p>
        </w:tc>
        <w:tc>
          <w:tcPr>
            <w:tcW w:w="1413" w:type="dxa"/>
            <w:tcBorders>
              <w:top w:val="single" w:color="auto" w:sz="4" w:space="0"/>
              <w:left w:val="nil"/>
              <w:bottom w:val="single" w:color="auto" w:sz="4" w:space="0"/>
              <w:right w:val="single" w:color="auto" w:sz="4" w:space="0"/>
            </w:tcBorders>
            <w:shd w:val="clear" w:color="auto" w:fill="auto"/>
            <w:vAlign w:val="center"/>
          </w:tcPr>
          <w:p w14:paraId="7A3E3F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77.05</w:t>
            </w:r>
          </w:p>
        </w:tc>
      </w:tr>
    </w:tbl>
    <w:p w14:paraId="46008B73">
      <w:pPr>
        <w:pStyle w:val="8"/>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监测结果显示：</w:t>
      </w:r>
      <w:r>
        <w:rPr>
          <w:rFonts w:hint="eastAsia" w:ascii="Times New Roman" w:hAnsi="Times New Roman" w:eastAsia="宋体" w:cs="Times New Roman"/>
          <w:color w:val="auto"/>
          <w:sz w:val="24"/>
          <w:highlight w:val="none"/>
          <w:lang w:val="en-US" w:eastAsia="zh-CN"/>
        </w:rPr>
        <w:t>本项目废水排放口中pH值、悬浮物、化学需氧量、五日生化需氧量排放浓度满足《污水综合排放标准》（GB8978-1996）中的三级标准；氨氮、总磷排放浓度满足《工业企业废水氮、磷污染物间接排放限值》（DB33/887-2013）中的标准要求</w:t>
      </w:r>
      <w:r>
        <w:rPr>
          <w:rFonts w:hint="eastAsia" w:ascii="Times New Roman" w:hAnsi="Times New Roman" w:cs="Times New Roman"/>
          <w:color w:val="auto"/>
          <w:sz w:val="24"/>
          <w:highlight w:val="none"/>
          <w:lang w:val="en-US" w:eastAsia="zh-CN"/>
        </w:rPr>
        <w:t>。</w:t>
      </w:r>
    </w:p>
    <w:p w14:paraId="6C874A9D">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注：因部分清净下水混入及预处理效果良好，实际排放浓度较低，符合纳管要求。</w:t>
      </w:r>
    </w:p>
    <w:p w14:paraId="7BD53FA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389E075F">
      <w:pPr>
        <w:pStyle w:val="8"/>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监测结果显示：</w:t>
      </w:r>
      <w:r>
        <w:rPr>
          <w:rFonts w:hint="eastAsia" w:ascii="Times New Roman" w:hAnsi="Times New Roman" w:cs="Times New Roman"/>
          <w:color w:val="auto"/>
          <w:sz w:val="24"/>
          <w:highlight w:val="none"/>
          <w:lang w:val="en-US" w:eastAsia="zh-CN"/>
        </w:rPr>
        <w:t>本项目厂界氨、硫化氢无组织排放浓度满足《恶臭污染物排放标准》（GB14554-93）的要求；臭气浓度无组织排放满足《制药工业大气污染物排放标准》（DB33/310005—2021）中表7的要求。</w:t>
      </w:r>
    </w:p>
    <w:p w14:paraId="1FB96103">
      <w:pPr>
        <w:pStyle w:val="8"/>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本项目污水站恶臭中氨、硫化氢、臭气浓度有组织排放浓度满足《制药工业大气污染物排放标准》（DB33/310005—2021）中表3的要求；食堂油烟废气中油烟有组织排放浓度满足《饮食业油烟排放标准（试行）》（GB18483-2001）中的中型标准。</w:t>
      </w:r>
    </w:p>
    <w:p w14:paraId="11A88594">
      <w:pPr>
        <w:pStyle w:val="8"/>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综上，说明本项目采取的废气处理设施合理。</w:t>
      </w:r>
    </w:p>
    <w:p w14:paraId="46FF7F0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5ADB795A">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default" w:ascii="Times New Roman" w:hAnsi="Times New Roman" w:eastAsia="宋体" w:cs="Times New Roman"/>
          <w:color w:val="auto"/>
          <w:sz w:val="24"/>
          <w:highlight w:val="none"/>
          <w:lang w:val="en-US" w:eastAsia="zh-CN" w:bidi="ar"/>
        </w:rPr>
        <w:t>本项目厂界东、北侧昼间噪声排放满足《工业企业厂界环境噪声排放标准》（GB12348-2008）中的3类标准。综上，</w:t>
      </w:r>
      <w:r>
        <w:rPr>
          <w:rFonts w:hint="eastAsia" w:ascii="Times New Roman" w:hAnsi="Times New Roman" w:cs="Times New Roman"/>
          <w:color w:val="auto"/>
          <w:sz w:val="24"/>
          <w:highlight w:val="none"/>
          <w:lang w:val="en-US" w:eastAsia="zh-CN"/>
        </w:rPr>
        <w:t>说明本项目采取的噪声防治措施合理。</w:t>
      </w:r>
    </w:p>
    <w:p w14:paraId="1D8F65B9">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注：本项目依托子公司正大青春宝（德清）药业有限公司的厂房组织生产，本项目及正大青春宝（德清）药业有限公司南、西侧紧挨德清瑞盛金属制品有限公司、浙江东特金属科技有限公司、浙江冠华电气有限公司，故本项目验收检测仅测东、南、西侧噪声。</w:t>
      </w:r>
    </w:p>
    <w:p w14:paraId="7AE0DB24">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31F10F09">
      <w:pPr>
        <w:pStyle w:val="8"/>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生活垃圾、食堂固废、脱水污泥集中收集后委托环卫部门清运清运；废滤渣集中收集后作为饲料委托杭州牧宝生物科技有限公司清运处理；废包装材料集中收集后出售给物资回收单位。</w:t>
      </w:r>
    </w:p>
    <w:p w14:paraId="5D43091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6F02F40B">
      <w:pPr>
        <w:pStyle w:val="8"/>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验收监测期间，由检测结果可知，本项目废水排放口中pH值、悬浮物、化学需氧量、五日生化需氧量排放浓度满足《污水综合排放标准》（GB8978-1996）中的三级标准；氨氮、总磷排放浓度满足《工业企业废水氮、磷污染物间接排放限值》（DB33/887-2013）中的标准要求。</w:t>
      </w:r>
    </w:p>
    <w:p w14:paraId="74903FD3">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注：因部分清净下水混入及预处理效果良好，实际排放浓度较低，符合纳管要求。</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3EA86A3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氨、硫化氢无组织排放浓度满足《恶臭污染物排放标准》（GB14554-93）的要求；臭气浓度无组织排放满足《制药工业大气污染物排放标准》（DB33/310005—2021）中表7的要求。</w:t>
      </w:r>
    </w:p>
    <w:p w14:paraId="50EF72A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kern w:val="2"/>
          <w:sz w:val="24"/>
          <w:szCs w:val="24"/>
          <w:lang w:val="en-US" w:eastAsia="zh-CN" w:bidi="ar-SA"/>
        </w:rPr>
        <w:t>项目验收监测期间，由检测结果可知，本项目污水站恶臭中氨、硫化氢、臭气浓度有组织排放浓度满足《制药工业大气污染物排放标准》（DB33/310005—2021）中表3的要求；食堂油烟废气中油烟有组织排放浓度满足《饮食业油烟排放标准（试行）》（GB18483-2001）中的中型标准。</w:t>
      </w:r>
    </w:p>
    <w:p w14:paraId="78F6278C">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7C65A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kern w:val="0"/>
          <w:sz w:val="24"/>
          <w:highlight w:val="none"/>
          <w:lang w:val="en-US" w:eastAsia="zh-CN"/>
        </w:rPr>
      </w:pPr>
      <w:r>
        <w:rPr>
          <w:rFonts w:hint="default" w:ascii="Times New Roman" w:hAnsi="Times New Roman" w:eastAsia="宋体"/>
          <w:color w:val="auto"/>
          <w:kern w:val="0"/>
          <w:sz w:val="24"/>
          <w:highlight w:val="none"/>
          <w:lang w:val="en-US" w:eastAsia="zh-CN"/>
        </w:rPr>
        <w:t>项目验收监测期间，由检测结果可知，本项目厂界东、北侧昼间噪声排放满足《工业企业厂界环境噪声排放标准》（GB12348-2008）中的3类标准。</w:t>
      </w:r>
    </w:p>
    <w:p w14:paraId="401A0A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宋体"/>
          <w:color w:val="auto"/>
          <w:kern w:val="0"/>
          <w:sz w:val="21"/>
          <w:szCs w:val="21"/>
          <w:highlight w:val="none"/>
        </w:rPr>
      </w:pPr>
      <w:r>
        <w:rPr>
          <w:rFonts w:hint="default" w:ascii="Times New Roman" w:hAnsi="Times New Roman" w:eastAsia="宋体"/>
          <w:color w:val="auto"/>
          <w:kern w:val="0"/>
          <w:sz w:val="21"/>
          <w:szCs w:val="21"/>
          <w:highlight w:val="none"/>
          <w:lang w:val="en-US" w:eastAsia="zh-CN"/>
        </w:rPr>
        <w:t>注：本项目依托子公司正大青春宝（德清）药业有限公司的厂房组织生产，本项目及正大青春宝（德清）药业有限公司南、西侧紧挨德清瑞盛金属制品有限公司、浙江东特金属科技有限公司、浙江冠华电气有限公司，故本项目验收检测仅测东、南、西侧噪声</w:t>
      </w:r>
      <w:r>
        <w:rPr>
          <w:rFonts w:hint="eastAsia" w:ascii="Times New Roman" w:hAnsi="Times New Roman" w:eastAsia="宋体"/>
          <w:color w:val="auto"/>
          <w:kern w:val="0"/>
          <w:sz w:val="21"/>
          <w:szCs w:val="21"/>
          <w:highlight w:val="none"/>
          <w:lang w:val="en-US" w:eastAsia="zh-CN"/>
        </w:rPr>
        <w:t>。</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6AEE5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fldChar w:fldCharType="begin"/>
      </w:r>
      <w:r>
        <w:rPr>
          <w:rFonts w:hint="eastAsia" w:ascii="Times New Roman" w:hAnsi="Times New Roman"/>
          <w:color w:val="auto"/>
          <w:sz w:val="24"/>
          <w:szCs w:val="24"/>
          <w:highlight w:val="none"/>
          <w:lang w:val="en-US" w:eastAsia="zh-CN"/>
        </w:rPr>
        <w:instrText xml:space="preserve"> = 1 \* GB3 \* MERGEFORMAT </w:instrText>
      </w:r>
      <w:r>
        <w:rPr>
          <w:rFonts w:hint="eastAsia" w:ascii="Times New Roman" w:hAnsi="Times New Roman"/>
          <w:color w:val="auto"/>
          <w:sz w:val="24"/>
          <w:szCs w:val="24"/>
          <w:highlight w:val="none"/>
          <w:lang w:val="en-US" w:eastAsia="zh-CN"/>
        </w:rPr>
        <w:fldChar w:fldCharType="separate"/>
      </w:r>
      <w:r>
        <w:rPr>
          <w:rFonts w:hint="eastAsia" w:ascii="Times New Roman" w:hAnsi="Times New Roman"/>
          <w:color w:val="auto"/>
          <w:sz w:val="24"/>
          <w:szCs w:val="24"/>
          <w:highlight w:val="none"/>
          <w:lang w:val="en-US" w:eastAsia="zh-CN"/>
        </w:rPr>
        <w:t>①</w:t>
      </w:r>
      <w:r>
        <w:rPr>
          <w:rFonts w:hint="eastAsia" w:ascii="Times New Roman" w:hAnsi="Times New Roman"/>
          <w:color w:val="auto"/>
          <w:sz w:val="24"/>
          <w:szCs w:val="24"/>
          <w:highlight w:val="none"/>
          <w:lang w:val="en-US" w:eastAsia="zh-CN"/>
        </w:rPr>
        <w:fldChar w:fldCharType="end"/>
      </w:r>
      <w:r>
        <w:rPr>
          <w:rFonts w:hint="eastAsia" w:ascii="Times New Roman" w:hAnsi="Times New Roman"/>
          <w:color w:val="auto"/>
          <w:sz w:val="24"/>
          <w:szCs w:val="24"/>
          <w:highlight w:val="none"/>
          <w:lang w:val="en-US" w:eastAsia="zh-CN"/>
        </w:rPr>
        <w:t>废水</w:t>
      </w:r>
    </w:p>
    <w:p w14:paraId="5D6A3F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（1）生活污水</w:t>
      </w:r>
    </w:p>
    <w:p w14:paraId="3C923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职工定员26人，年生产天数为260d，实行白天一班制生产，职工均在厂区就餐，年用水量为676t，生活污水产生量为540.8t/a。在厕所冲洗水经化粪池预处理、食堂废水经隔油池隔油预处理再进入污水站处理后，纳管至德清县恒丰污水处理有限公司狮山污水处理厂处理；部分废水由德清县恒丰污水处理有限公司狮山污水处理厂分流至湖州碧水源环境科技有限公司处理；尾水排放均执行《城镇污水处理厂污染物排放标准》（GB18918-2002）一级标准中的A标准，其中化学需氧量、氨氮、总氮和总磷执行《城镇污水处理厂主要水污染物排放标准》（DB33/2169-2018）中表1标准，则排入自然水体的主要污染物CODCr为0.022t/a、NH3-N为0.001t/a。</w:t>
      </w:r>
    </w:p>
    <w:p w14:paraId="6F871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生产废水</w:t>
      </w:r>
    </w:p>
    <w:p w14:paraId="08097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项目营运期生产废水主要包括清洗废水、清下水、设备冷却水。</w:t>
      </w:r>
    </w:p>
    <w:p w14:paraId="3A1CB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A、清洗废水</w:t>
      </w:r>
    </w:p>
    <w:p w14:paraId="2B51F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①车间设备清洗废水</w:t>
      </w:r>
    </w:p>
    <w:p w14:paraId="10642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本项目原料种类繁多，为保证产品纯净度，生产不同产品时，须对全部设备和管道进行清洗，</w:t>
      </w:r>
      <w:bookmarkStart w:id="4" w:name="baidusnap3"/>
      <w:bookmarkEnd w:id="4"/>
      <w:r>
        <w:rPr>
          <w:rFonts w:hint="eastAsia" w:ascii="Times New Roman" w:hAnsi="Times New Roman"/>
          <w:color w:val="auto"/>
          <w:sz w:val="24"/>
          <w:szCs w:val="24"/>
          <w:highlight w:val="none"/>
          <w:lang w:val="en-US" w:eastAsia="zh-CN"/>
        </w:rPr>
        <w:t>且每天在生产前也须对以上设备和管道进行清洗，来自制纯化车间制备纯化水，清洗用水量为1000t/a，损耗约1%，则排放废水量为990t/a，排入子公司厂区一期自建污水站。</w:t>
      </w:r>
    </w:p>
    <w:p w14:paraId="6212F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②空瓶清洗废水</w:t>
      </w:r>
    </w:p>
    <w:p w14:paraId="003F1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灌装所用容器也需清洗后使用，清洗用水主要为自来水、二级反渗透纯水机组制得的纯水（使用自来水初洗，纯化水终洗，终洗水可回用至初洗工序），项目洗瓶工序自来水用量60t/a，纯化水用量320t/a，损耗约1%，则排放废水量为376.2t/a，排入子公司厂区一期自建污水站。</w:t>
      </w:r>
    </w:p>
    <w:p w14:paraId="492AA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③车间地面清洗废水</w:t>
      </w:r>
    </w:p>
    <w:p w14:paraId="4E0417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生产车间为十万级洁净区，为了保持车间地面的洁净，防止交叉污染，在每天均需要对地面进行拖洗，每次车间地面清洗用水量约为1t，则车间地面清洗年用水量为260t，损耗量约10%，则车间地面清洗废水产生量为234t/a，排入子公司厂区一期自建污水站。</w:t>
      </w:r>
    </w:p>
    <w:p w14:paraId="77F3F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B、清下水</w:t>
      </w:r>
    </w:p>
    <w:p w14:paraId="2AD41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①制纯水废水</w:t>
      </w:r>
    </w:p>
    <w:p w14:paraId="19600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子公司中药注射剂车间（A楼）一层制水间设有1套20m3/h纯化水制备和分配系统，为本项目生产提供配料和清洗用纯化水。一层设有纯化水罐和分配系统，满足本项目纯化水需求。本项目纯化水用于配料系统和设备、空瓶清洗用水，纯水总用水量约为11320t/a，其中10000t纯水进入配料系统，1320t纯水作为空瓶清洗用水和设备清洗用水；纯水二级反渗透装置纯化水产生水率70%，根据纯水用量可知，制纯水废水产生量为4851t/a，项目产生的制纯水废水直接排入子公司厂区一期自建污水站。</w:t>
      </w:r>
    </w:p>
    <w:p w14:paraId="29303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②间接蒸汽冷凝水</w:t>
      </w:r>
    </w:p>
    <w:p w14:paraId="3C8F2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项目营运期在生产中均采用间接蒸汽加热，挥发的水蒸汽通过引风收集至蒸汽冷凝水回收系统冷凝，项目营运期间接蒸汽用量为2800t/a，蒸汽冷凝水回收系统回收效率约70%，</w:t>
      </w:r>
      <w:r>
        <w:rPr>
          <w:rFonts w:hint="eastAsia" w:ascii="Times New Roman" w:hAnsi="Times New Roman" w:eastAsia="宋体" w:cs="Times New Roman"/>
          <w:color w:val="auto"/>
          <w:sz w:val="24"/>
          <w:szCs w:val="24"/>
          <w:highlight w:val="none"/>
          <w:lang w:val="en-US" w:eastAsia="zh-CN"/>
        </w:rPr>
        <w:t>则间接蒸汽冷凝水回收量约为1960t/a，作为厂区热源水循环使用后，最终排入子公司厂区一期自建污水站。</w:t>
      </w:r>
    </w:p>
    <w:p w14:paraId="261ED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C、设备冷却水</w:t>
      </w:r>
    </w:p>
    <w:p w14:paraId="740F0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营运期设备需冷却，由于其为间接冷却水，因此使用前后除温度变化外，水质浓度基本相同。设备冷却水经过冷却塔冷却后循环使用，不排放，仅需定期添加损耗即可，循环量为12t/h，年添加损耗量约1%，250t。</w:t>
      </w:r>
    </w:p>
    <w:p w14:paraId="1C3DD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根据项目的生产情况和验收监测结果，核算实际主要污染物排放总量控制指标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排放总量，具体见下表</w:t>
      </w:r>
      <w:r>
        <w:rPr>
          <w:rFonts w:hint="default" w:ascii="Times New Roman" w:hAnsi="Times New Roman" w:eastAsia="宋体" w:cs="Times New Roman"/>
          <w:color w:val="auto"/>
          <w:kern w:val="2"/>
          <w:sz w:val="24"/>
          <w:szCs w:val="24"/>
          <w:lang w:val="en-US" w:eastAsia="zh-CN" w:bidi="ar"/>
        </w:rPr>
        <w:t>。</w:t>
      </w:r>
    </w:p>
    <w:p w14:paraId="1ECA5374">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表</w:t>
      </w:r>
      <w:r>
        <w:rPr>
          <w:rFonts w:hint="default" w:ascii="Times New Roman" w:hAnsi="Times New Roman" w:cs="Times New Roman"/>
          <w:b/>
          <w:bCs/>
          <w:color w:val="auto"/>
          <w:kern w:val="2"/>
          <w:sz w:val="21"/>
          <w:szCs w:val="21"/>
          <w:lang w:val="en-US" w:eastAsia="zh-CN" w:bidi="ar"/>
        </w:rPr>
        <w:t>2</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本项目实际污染物排放总量控制指标核算表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3001"/>
        <w:gridCol w:w="2672"/>
        <w:gridCol w:w="2674"/>
      </w:tblGrid>
      <w:tr w14:paraId="7FC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3FBA9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8730B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47350E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本项目环评审批排放量</w:t>
            </w:r>
          </w:p>
          <w:p w14:paraId="430C92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239062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本项目实际排放量</w:t>
            </w:r>
          </w:p>
          <w:p w14:paraId="333D9F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r>
      <w:tr w14:paraId="488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restart"/>
            <w:tcBorders>
              <w:top w:val="nil"/>
              <w:left w:val="single" w:color="auto" w:sz="4" w:space="0"/>
              <w:bottom w:val="single" w:color="auto" w:sz="4" w:space="0"/>
              <w:right w:val="single" w:color="auto" w:sz="4" w:space="0"/>
            </w:tcBorders>
            <w:shd w:val="clear" w:color="auto" w:fill="auto"/>
            <w:vAlign w:val="center"/>
          </w:tcPr>
          <w:p w14:paraId="2441ED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28A7E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水量</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40948ED8">
            <w:pPr>
              <w:keepNext w:val="0"/>
              <w:keepLines w:val="0"/>
              <w:suppressLineNumbers w:val="0"/>
              <w:wordWrap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Cs w:val="21"/>
                <w:lang w:val="en-US" w:eastAsia="zh-CN"/>
              </w:rPr>
              <w:t>9159.6</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365C8D0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sz w:val="21"/>
                <w:szCs w:val="21"/>
                <w:lang w:val="en-US" w:eastAsia="zh-CN"/>
              </w:rPr>
              <w:t>8952</w:t>
            </w:r>
          </w:p>
        </w:tc>
      </w:tr>
      <w:tr w14:paraId="6494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tcBorders>
              <w:top w:val="nil"/>
              <w:left w:val="single" w:color="auto" w:sz="4" w:space="0"/>
              <w:bottom w:val="single" w:color="auto" w:sz="4" w:space="0"/>
              <w:right w:val="single" w:color="auto" w:sz="4" w:space="0"/>
            </w:tcBorders>
            <w:shd w:val="clear" w:color="auto" w:fill="auto"/>
            <w:vAlign w:val="center"/>
          </w:tcPr>
          <w:p w14:paraId="4AD39D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905D1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069D4034">
            <w:pPr>
              <w:keepNext w:val="0"/>
              <w:keepLines w:val="0"/>
              <w:suppressLineNumbers w:val="0"/>
              <w:wordWrap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Cs w:val="21"/>
                <w:lang w:val="en-US" w:eastAsia="zh-CN"/>
              </w:rPr>
              <w:t>0.366</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707E861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sz w:val="21"/>
                <w:szCs w:val="21"/>
                <w:highlight w:val="none"/>
                <w:lang w:val="en-US" w:eastAsia="zh-CN"/>
              </w:rPr>
              <w:t>0.358</w:t>
            </w:r>
          </w:p>
        </w:tc>
      </w:tr>
      <w:tr w14:paraId="068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tcBorders>
              <w:top w:val="nil"/>
              <w:left w:val="single" w:color="auto" w:sz="4" w:space="0"/>
              <w:bottom w:val="single" w:color="auto" w:sz="4" w:space="0"/>
              <w:right w:val="single" w:color="auto" w:sz="4" w:space="0"/>
            </w:tcBorders>
            <w:shd w:val="clear" w:color="auto" w:fill="auto"/>
            <w:vAlign w:val="center"/>
          </w:tcPr>
          <w:p w14:paraId="485F0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460D0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1B0F5D35">
            <w:pPr>
              <w:keepNext w:val="0"/>
              <w:keepLines w:val="0"/>
              <w:suppressLineNumbers w:val="0"/>
              <w:wordWrap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Cs w:val="21"/>
                <w:lang w:val="en-US" w:eastAsia="zh-CN"/>
              </w:rPr>
              <w:t>0.018</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6D0BB24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sz w:val="21"/>
                <w:szCs w:val="21"/>
                <w:highlight w:val="none"/>
                <w:lang w:val="en-US" w:eastAsia="zh-CN"/>
              </w:rPr>
              <w:t>0.018</w:t>
            </w:r>
          </w:p>
        </w:tc>
      </w:tr>
    </w:tbl>
    <w:p w14:paraId="278B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color w:val="auto"/>
        </w:rPr>
      </w:pPr>
      <w:r>
        <w:rPr>
          <w:rFonts w:hint="eastAsia" w:ascii="宋体" w:hAnsi="宋体" w:eastAsia="宋体" w:cs="宋体"/>
          <w:color w:val="auto"/>
          <w:kern w:val="2"/>
          <w:sz w:val="24"/>
          <w:szCs w:val="24"/>
          <w:lang w:val="en-US" w:eastAsia="zh-CN" w:bidi="ar"/>
        </w:rPr>
        <w:t>根据上表可知，本项目实际主要污染物排放总量控制指标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均在环评审批的总量控制指标范围内</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正大青春宝药业有限公司新增年产口服糖浆剂260万瓶、膏滋剂52万瓶项目（正大青春宝药业有限公司口服糖浆剂、膏滋剂生产建设项目）</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正大青春宝药业有限公司新增年产口服糖浆剂260万瓶、膏滋剂52万瓶项目（正大青春宝药业有限公司口服糖浆剂、膏滋剂生产建设项目）</w:t>
      </w:r>
      <w:r>
        <w:rPr>
          <w:rFonts w:ascii="Times New Roman" w:hAnsi="Times New Roman" w:eastAsia="宋体"/>
          <w:color w:val="auto"/>
          <w:kern w:val="0"/>
          <w:sz w:val="24"/>
          <w:szCs w:val="24"/>
          <w:highlight w:val="none"/>
        </w:rPr>
        <w:t>环保手续齐全，污染防治措施基本按照环评及</w:t>
      </w:r>
      <w:r>
        <w:rPr>
          <w:rFonts w:hint="default" w:ascii="Times New Roman" w:hAnsi="Times New Roman" w:eastAsia="宋体"/>
          <w:color w:val="auto"/>
          <w:kern w:val="0"/>
          <w:sz w:val="24"/>
          <w:szCs w:val="24"/>
          <w:highlight w:val="none"/>
          <w:lang w:val="en-US" w:eastAsia="zh-CN"/>
        </w:rPr>
        <w:t>备案承诺书</w:t>
      </w:r>
      <w:r>
        <w:rPr>
          <w:rFonts w:ascii="Times New Roman" w:hAnsi="Times New Roman" w:eastAsia="宋体"/>
          <w:color w:val="auto"/>
          <w:kern w:val="0"/>
          <w:sz w:val="24"/>
          <w:szCs w:val="24"/>
          <w:highlight w:val="none"/>
        </w:rPr>
        <w:t>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w:t>
      </w:r>
      <w:r>
        <w:rPr>
          <w:rFonts w:ascii="Times New Roman" w:hAnsi="Times New Roman" w:eastAsia="宋体"/>
          <w:color w:val="auto"/>
          <w:kern w:val="0"/>
          <w:sz w:val="24"/>
          <w:highlight w:val="none"/>
        </w:rPr>
        <w:t>处理设施的日常管理和维护，确保长期稳定达标排放。</w:t>
      </w:r>
    </w:p>
    <w:p w14:paraId="613F4A72">
      <w:pPr>
        <w:pStyle w:val="5"/>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0AF0EFCD">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53831BE">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3437F638">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19C9F7DE">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10ADC51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4C34B0D4">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12CDDA63">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2F0F6DF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21371EF7">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0D10519B">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AFD1380">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AF0A41E">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04ACF644">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7183F26">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6C818263">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7F8C922E">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BF4A1C3">
      <w:pPr>
        <w:spacing w:line="360" w:lineRule="auto"/>
        <w:ind w:firstLine="480" w:firstLineChars="200"/>
        <w:jc w:val="lef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专家组：</w:t>
      </w:r>
    </w:p>
    <w:p w14:paraId="6B1208E9">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9B9D1F1">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238C17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349FFDF">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正大青春宝药业有限公司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w:t>
      </w:r>
    </w:p>
    <w:p w14:paraId="18FB6A04">
      <w:pPr>
        <w:spacing w:line="360" w:lineRule="auto"/>
        <w:ind w:firstLine="480" w:firstLineChars="200"/>
        <w:jc w:val="right"/>
        <w:rPr>
          <w:rFonts w:hint="default" w:ascii="Times New Roman" w:hAnsi="Times New Roman" w:eastAsia="宋体" w:cs="Times New Roman"/>
          <w:color w:val="auto"/>
          <w:kern w:val="0"/>
          <w:sz w:val="24"/>
          <w:highlight w:val="yellow"/>
        </w:rPr>
      </w:pPr>
    </w:p>
    <w:p w14:paraId="237F5F3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281091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557647D">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9956A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FFE671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EA6468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18E530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78B550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5E9AB08">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E36244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D9E71B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D029BEA">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24D7B72">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EE96EA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EB5BC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0132357">
      <w:pPr>
        <w:spacing w:line="360" w:lineRule="auto"/>
        <w:jc w:val="both"/>
        <w:rPr>
          <w:rFonts w:hint="eastAsia" w:ascii="Times New Roman" w:hAnsi="Times New Roman" w:eastAsia="宋体" w:cs="Times New Roman"/>
          <w:color w:val="auto"/>
          <w:kern w:val="0"/>
          <w:sz w:val="24"/>
          <w:highlight w:val="none"/>
          <w:lang w:val="en-US" w:eastAsia="zh-CN"/>
        </w:rPr>
      </w:pP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035F"/>
    <w:multiLevelType w:val="singleLevel"/>
    <w:tmpl w:val="02E7035F"/>
    <w:lvl w:ilvl="0" w:tentative="0">
      <w:start w:val="5"/>
      <w:numFmt w:val="chineseCounting"/>
      <w:suff w:val="nothing"/>
      <w:lvlText w:val="（%1）"/>
      <w:lvlJc w:val="left"/>
      <w:rPr>
        <w:rFonts w:hint="eastAsia"/>
      </w:rPr>
    </w:lvl>
  </w:abstractNum>
  <w:abstractNum w:abstractNumId="1">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4C3B18"/>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8CA6D05"/>
    <w:rsid w:val="09063A89"/>
    <w:rsid w:val="09153CCC"/>
    <w:rsid w:val="093B7E06"/>
    <w:rsid w:val="094D7C70"/>
    <w:rsid w:val="09594501"/>
    <w:rsid w:val="098F4818"/>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3F1F3E"/>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366C7"/>
    <w:rsid w:val="18E52319"/>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2612C6"/>
    <w:rsid w:val="343F4A14"/>
    <w:rsid w:val="349A75F8"/>
    <w:rsid w:val="34BD5094"/>
    <w:rsid w:val="34D50630"/>
    <w:rsid w:val="34EC4711"/>
    <w:rsid w:val="35011425"/>
    <w:rsid w:val="35170C48"/>
    <w:rsid w:val="351F3913"/>
    <w:rsid w:val="35337151"/>
    <w:rsid w:val="355A6D87"/>
    <w:rsid w:val="35642E36"/>
    <w:rsid w:val="35AB37D1"/>
    <w:rsid w:val="35CB558F"/>
    <w:rsid w:val="35ED19A9"/>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73641"/>
    <w:rsid w:val="3B590718"/>
    <w:rsid w:val="3B824942"/>
    <w:rsid w:val="3B8443B3"/>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76656C"/>
    <w:rsid w:val="3F937B68"/>
    <w:rsid w:val="3FDA11F0"/>
    <w:rsid w:val="400C0C7E"/>
    <w:rsid w:val="40381A73"/>
    <w:rsid w:val="404E1296"/>
    <w:rsid w:val="405A7C3B"/>
    <w:rsid w:val="40AD2461"/>
    <w:rsid w:val="40E439A9"/>
    <w:rsid w:val="410D12F8"/>
    <w:rsid w:val="415029D9"/>
    <w:rsid w:val="41670862"/>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A26D1"/>
    <w:rsid w:val="488429C0"/>
    <w:rsid w:val="48CE11C6"/>
    <w:rsid w:val="48E42798"/>
    <w:rsid w:val="48FC1291"/>
    <w:rsid w:val="495D504C"/>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2B0B27"/>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AC5E39"/>
    <w:rsid w:val="60C70EC5"/>
    <w:rsid w:val="60D55390"/>
    <w:rsid w:val="625C563D"/>
    <w:rsid w:val="627B506E"/>
    <w:rsid w:val="628C5F22"/>
    <w:rsid w:val="62B15989"/>
    <w:rsid w:val="63057835"/>
    <w:rsid w:val="630730C7"/>
    <w:rsid w:val="635C2B47"/>
    <w:rsid w:val="639C3F43"/>
    <w:rsid w:val="63A762A6"/>
    <w:rsid w:val="63BB78A1"/>
    <w:rsid w:val="63BE035D"/>
    <w:rsid w:val="63E13A0B"/>
    <w:rsid w:val="63EE0517"/>
    <w:rsid w:val="63F54E11"/>
    <w:rsid w:val="6401024A"/>
    <w:rsid w:val="640A70BB"/>
    <w:rsid w:val="64177A6E"/>
    <w:rsid w:val="64494046"/>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AA326E"/>
    <w:rsid w:val="69D02B99"/>
    <w:rsid w:val="69E448D6"/>
    <w:rsid w:val="69F83E9D"/>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E17B50"/>
    <w:rsid w:val="72612407"/>
    <w:rsid w:val="72D37256"/>
    <w:rsid w:val="72E15E16"/>
    <w:rsid w:val="72EE0533"/>
    <w:rsid w:val="73540F98"/>
    <w:rsid w:val="736507F6"/>
    <w:rsid w:val="7395338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customStyle="1" w:styleId="3">
    <w:name w:val="正文首行缩进2个字 Char"/>
    <w:basedOn w:val="1"/>
    <w:qFormat/>
    <w:uiPriority w:val="0"/>
    <w:pPr>
      <w:ind w:firstLine="480" w:firstLineChars="200"/>
    </w:pPr>
    <w:rPr>
      <w:rFonts w:eastAsia="楷体"/>
      <w:sz w:val="24"/>
      <w:szCs w:val="24"/>
    </w:rPr>
  </w:style>
  <w:style w:type="paragraph" w:styleId="4">
    <w:name w:val="annotation text"/>
    <w:basedOn w:val="1"/>
    <w:qFormat/>
    <w:uiPriority w:val="0"/>
    <w:pPr>
      <w:jc w:val="left"/>
    </w:pPr>
  </w:style>
  <w:style w:type="paragraph" w:styleId="5">
    <w:name w:val="Body Text"/>
    <w:basedOn w:val="1"/>
    <w:unhideWhenUsed/>
    <w:qFormat/>
    <w:uiPriority w:val="99"/>
    <w:pPr>
      <w:ind w:left="118"/>
    </w:pPr>
    <w:rPr>
      <w:rFonts w:ascii="宋体" w:hAnsi="宋体" w:eastAsia="宋体"/>
    </w:rPr>
  </w:style>
  <w:style w:type="paragraph" w:styleId="6">
    <w:name w:val="Body Text Indent"/>
    <w:basedOn w:val="1"/>
    <w:next w:val="7"/>
    <w:qFormat/>
    <w:uiPriority w:val="0"/>
    <w:pPr>
      <w:ind w:firstLine="480" w:firstLineChars="200"/>
    </w:pPr>
    <w:rPr>
      <w:rFonts w:ascii="宋体"/>
      <w:color w:val="000000"/>
      <w:sz w:val="24"/>
    </w:rPr>
  </w:style>
  <w:style w:type="paragraph" w:styleId="7">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qFormat/>
    <w:uiPriority w:val="0"/>
    <w:rPr>
      <w:rFonts w:ascii="宋体" w:hAnsi="Courier New" w:eastAsia="宋体" w:cs="Times New Roman"/>
      <w:szCs w:val="24"/>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Title"/>
    <w:basedOn w:val="1"/>
    <w:next w:val="1"/>
    <w:qFormat/>
    <w:uiPriority w:val="0"/>
    <w:pPr>
      <w:spacing w:before="240" w:after="60"/>
      <w:jc w:val="center"/>
      <w:outlineLvl w:val="0"/>
    </w:pPr>
    <w:rPr>
      <w:rFonts w:ascii="Arial" w:hAnsi="Arial"/>
      <w:b/>
      <w:sz w:val="32"/>
    </w:rPr>
  </w:style>
  <w:style w:type="paragraph" w:styleId="11">
    <w:name w:val="Body Text First Indent"/>
    <w:basedOn w:val="5"/>
    <w:next w:val="1"/>
    <w:qFormat/>
    <w:uiPriority w:val="0"/>
    <w:pPr>
      <w:ind w:firstLine="420" w:firstLineChars="100"/>
    </w:pPr>
  </w:style>
  <w:style w:type="paragraph" w:styleId="12">
    <w:name w:val="Body Text First Indent 2"/>
    <w:basedOn w:val="6"/>
    <w:next w:val="1"/>
    <w:qFormat/>
    <w:uiPriority w:val="0"/>
    <w:pPr>
      <w:ind w:firstLine="420" w:firstLineChars="200"/>
    </w:pPr>
    <w:rPr>
      <w:snapToGrid w:val="0"/>
      <w:kern w:val="0"/>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9">
    <w:name w:val="Default"/>
    <w:basedOn w:val="20"/>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20">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1">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2">
    <w:name w:val="报告正文"/>
    <w:basedOn w:val="1"/>
    <w:semiHidden/>
    <w:qFormat/>
    <w:uiPriority w:val="0"/>
    <w:pPr>
      <w:spacing w:line="440" w:lineRule="exact"/>
      <w:ind w:firstLine="200" w:firstLineChars="200"/>
      <w:jc w:val="left"/>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6373</Words>
  <Characters>7151</Characters>
  <Lines>1</Lines>
  <Paragraphs>1</Paragraphs>
  <TotalTime>0</TotalTime>
  <ScaleCrop>false</ScaleCrop>
  <LinksUpToDate>false</LinksUpToDate>
  <CharactersWithSpaces>7156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2024-04-22T07:29:00Z</cp:lastPrinted>
  <dcterms:modified xsi:type="dcterms:W3CDTF">2026-01-30T09:19:51Z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BCBE0AFC2A5F44D8826CD00553A101CD_13</vt:lpwstr>
  </property>
  <property fmtid="{D5CDD505-2E9C-101B-9397-08002B2CF9AE}" pid="4" name="KSOTemplateDocerSaveRecord">
    <vt:lpwstr>eyJoZGlkIjoiZWE3NDRlNjQyYjNlZTdiMmNlMjBkMWNhNTkzOTRkMTAiLCJ1c2VySWQiOiI0NDQzOTcwNDEifQ==</vt:lpwstr>
  </property>
</Properties>
</file>