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2D302">
      <w:pPr>
        <w:spacing w:line="360" w:lineRule="auto"/>
        <w:jc w:val="center"/>
        <w:rPr>
          <w:rFonts w:hint="eastAsia" w:ascii="Times New Roman" w:hAnsi="Times New Roman" w:cs="Times New Roman"/>
          <w:b/>
          <w:color w:val="auto"/>
          <w:sz w:val="32"/>
          <w:szCs w:val="32"/>
          <w:highlight w:val="none"/>
          <w:lang w:val="en-US" w:eastAsia="zh-CN"/>
        </w:rPr>
      </w:pPr>
      <w:r>
        <w:rPr>
          <w:rFonts w:hint="eastAsia" w:ascii="Times New Roman" w:hAnsi="Times New Roman" w:cs="Times New Roman"/>
          <w:b/>
          <w:color w:val="auto"/>
          <w:sz w:val="32"/>
          <w:szCs w:val="32"/>
          <w:highlight w:val="none"/>
          <w:lang w:val="en-US" w:eastAsia="zh-CN"/>
        </w:rPr>
        <w:t>浙江未智环绿环保科技有限公司</w:t>
      </w:r>
    </w:p>
    <w:p w14:paraId="0C6DC9E0">
      <w:pPr>
        <w:spacing w:line="360" w:lineRule="auto"/>
        <w:jc w:val="center"/>
        <w:rPr>
          <w:rFonts w:hint="default" w:ascii="Times New Roman" w:hAnsi="Times New Roman" w:eastAsia="宋体" w:cs="Times New Roman"/>
          <w:b/>
          <w:color w:val="auto"/>
          <w:sz w:val="32"/>
          <w:szCs w:val="32"/>
          <w:highlight w:val="none"/>
          <w:lang w:eastAsia="zh-CN"/>
        </w:rPr>
      </w:pPr>
      <w:r>
        <w:rPr>
          <w:rFonts w:hint="eastAsia" w:ascii="Times New Roman" w:hAnsi="Times New Roman" w:cs="Times New Roman"/>
          <w:b/>
          <w:color w:val="auto"/>
          <w:sz w:val="32"/>
          <w:szCs w:val="32"/>
          <w:highlight w:val="none"/>
          <w:lang w:val="en-US" w:eastAsia="zh-CN"/>
        </w:rPr>
        <w:t>年产1万平方米新材料板材项目</w:t>
      </w:r>
    </w:p>
    <w:p w14:paraId="503F8FC9">
      <w:pPr>
        <w:spacing w:line="360" w:lineRule="auto"/>
        <w:jc w:val="center"/>
        <w:rPr>
          <w:rFonts w:hint="default" w:ascii="Times New Roman" w:hAnsi="Times New Roman" w:eastAsia="宋体" w:cs="Times New Roman"/>
          <w:b/>
          <w:bCs/>
          <w:color w:val="auto"/>
          <w:sz w:val="30"/>
          <w:szCs w:val="30"/>
          <w:highlight w:val="none"/>
          <w:lang w:val="en-US" w:eastAsia="zh-CN"/>
        </w:rPr>
      </w:pPr>
      <w:r>
        <w:rPr>
          <w:rFonts w:hint="default" w:ascii="Times New Roman" w:hAnsi="Times New Roman" w:eastAsia="宋体" w:cs="Times New Roman"/>
          <w:b/>
          <w:color w:val="auto"/>
          <w:sz w:val="32"/>
          <w:szCs w:val="32"/>
          <w:highlight w:val="none"/>
          <w:lang w:eastAsia="zh-CN"/>
        </w:rPr>
        <w:t>竣工环境保护验收</w:t>
      </w:r>
      <w:r>
        <w:rPr>
          <w:rFonts w:hint="default" w:ascii="Times New Roman" w:hAnsi="Times New Roman" w:eastAsia="宋体" w:cs="Times New Roman"/>
          <w:b/>
          <w:color w:val="auto"/>
          <w:sz w:val="32"/>
          <w:szCs w:val="32"/>
          <w:highlight w:val="none"/>
        </w:rPr>
        <w:t>意见</w:t>
      </w:r>
    </w:p>
    <w:p w14:paraId="0FC1E1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28</w:t>
      </w:r>
      <w:r>
        <w:rPr>
          <w:rFonts w:hint="default" w:ascii="Times New Roman" w:hAnsi="Times New Roman" w:eastAsia="宋体" w:cs="Times New Roman"/>
          <w:color w:val="auto"/>
          <w:kern w:val="0"/>
          <w:sz w:val="24"/>
          <w:highlight w:val="none"/>
        </w:rPr>
        <w:t>日，建设单位</w:t>
      </w:r>
      <w:r>
        <w:rPr>
          <w:rFonts w:hint="eastAsia" w:ascii="Times New Roman" w:hAnsi="Times New Roman" w:cs="Times New Roman"/>
          <w:color w:val="auto"/>
          <w:sz w:val="24"/>
          <w:szCs w:val="24"/>
          <w:highlight w:val="none"/>
          <w:lang w:val="en-US" w:eastAsia="zh-CN"/>
        </w:rPr>
        <w:t>浙江未智环绿环保科技有限公司</w:t>
      </w:r>
      <w:r>
        <w:rPr>
          <w:rFonts w:hint="default" w:ascii="Times New Roman" w:hAnsi="Times New Roman" w:eastAsia="宋体" w:cs="Times New Roman"/>
          <w:color w:val="auto"/>
          <w:kern w:val="0"/>
          <w:sz w:val="24"/>
          <w:highlight w:val="none"/>
        </w:rPr>
        <w:t>，根据《</w:t>
      </w:r>
      <w:r>
        <w:rPr>
          <w:rFonts w:hint="eastAsia" w:ascii="Times New Roman" w:hAnsi="Times New Roman" w:cs="Times New Roman"/>
          <w:color w:val="auto"/>
          <w:kern w:val="0"/>
          <w:sz w:val="24"/>
          <w:highlight w:val="none"/>
          <w:lang w:val="en-US" w:eastAsia="zh-CN"/>
        </w:rPr>
        <w:t>浙江未智环绿环保科技有限公司年产1万平方米新材料板材项目</w:t>
      </w:r>
      <w:r>
        <w:rPr>
          <w:rFonts w:hint="default" w:ascii="Times New Roman" w:hAnsi="Times New Roman" w:eastAsia="宋体" w:cs="Times New Roman"/>
          <w:color w:val="auto"/>
          <w:kern w:val="0"/>
          <w:sz w:val="24"/>
          <w:highlight w:val="none"/>
        </w:rPr>
        <w:t>竣工环境保护验收监测报告</w:t>
      </w:r>
      <w:r>
        <w:rPr>
          <w:rFonts w:hint="eastAsia" w:ascii="Times New Roman" w:hAnsi="Times New Roman" w:cs="Times New Roman"/>
          <w:color w:val="auto"/>
          <w:kern w:val="0"/>
          <w:sz w:val="24"/>
          <w:highlight w:val="none"/>
          <w:lang w:val="en-US" w:eastAsia="zh-CN"/>
        </w:rPr>
        <w:t>表</w:t>
      </w:r>
      <w:r>
        <w:rPr>
          <w:rFonts w:hint="default" w:ascii="Times New Roman" w:hAnsi="Times New Roman" w:eastAsia="宋体" w:cs="Times New Roman"/>
          <w:color w:val="auto"/>
          <w:kern w:val="0"/>
          <w:sz w:val="24"/>
          <w:highlight w:val="none"/>
        </w:rPr>
        <w:t>》，并对照《建设项目竣工环境保护验收暂行办法》，严格依照国家有关法律法规、建设项目竣工环境保护验收技术规范、项目环境影响</w:t>
      </w:r>
      <w:r>
        <w:rPr>
          <w:rFonts w:hint="eastAsia" w:ascii="Times New Roman" w:hAnsi="Times New Roman" w:cs="Times New Roman"/>
          <w:color w:val="auto"/>
          <w:kern w:val="0"/>
          <w:sz w:val="24"/>
          <w:highlight w:val="none"/>
          <w:lang w:val="en-US" w:eastAsia="zh-CN"/>
        </w:rPr>
        <w:t>登记</w:t>
      </w:r>
      <w:r>
        <w:rPr>
          <w:rFonts w:hint="default" w:ascii="Times New Roman" w:hAnsi="Times New Roman" w:eastAsia="宋体" w:cs="Times New Roman"/>
          <w:color w:val="auto"/>
          <w:kern w:val="0"/>
          <w:sz w:val="24"/>
          <w:highlight w:val="none"/>
        </w:rPr>
        <w:t>表和</w:t>
      </w:r>
      <w:r>
        <w:rPr>
          <w:rFonts w:hint="eastAsia" w:ascii="Times New Roman" w:hAnsi="Times New Roman" w:cs="Times New Roman"/>
          <w:color w:val="auto"/>
          <w:kern w:val="0"/>
          <w:sz w:val="24"/>
          <w:highlight w:val="none"/>
          <w:lang w:val="en-US" w:eastAsia="zh-CN"/>
        </w:rPr>
        <w:t>批复</w:t>
      </w:r>
      <w:r>
        <w:rPr>
          <w:rFonts w:hint="default" w:ascii="Times New Roman" w:hAnsi="Times New Roman" w:eastAsia="宋体" w:cs="Times New Roman"/>
          <w:color w:val="auto"/>
          <w:sz w:val="24"/>
          <w:highlight w:val="none"/>
          <w:lang w:val="en-US" w:eastAsia="zh-CN"/>
        </w:rPr>
        <w:t>意见</w:t>
      </w:r>
      <w:r>
        <w:rPr>
          <w:rFonts w:hint="default" w:ascii="Times New Roman" w:hAnsi="Times New Roman" w:eastAsia="宋体" w:cs="Times New Roman"/>
          <w:color w:val="auto"/>
          <w:kern w:val="0"/>
          <w:sz w:val="24"/>
          <w:highlight w:val="none"/>
        </w:rPr>
        <w:t>等要求对</w:t>
      </w:r>
      <w:r>
        <w:rPr>
          <w:rFonts w:hint="eastAsia" w:ascii="Times New Roman" w:hAnsi="Times New Roman" w:cs="Times New Roman"/>
          <w:color w:val="auto"/>
          <w:kern w:val="0"/>
          <w:sz w:val="24"/>
          <w:highlight w:val="none"/>
          <w:lang w:val="en-US" w:eastAsia="zh-CN"/>
        </w:rPr>
        <w:t>浙江未智环绿环保科技有限公司年产1万平方米新材料板材项目（以下简称本项目）</w:t>
      </w:r>
      <w:r>
        <w:rPr>
          <w:rFonts w:hint="default" w:ascii="Times New Roman" w:hAnsi="Times New Roman" w:eastAsia="宋体" w:cs="Times New Roman"/>
          <w:color w:val="auto"/>
          <w:kern w:val="0"/>
          <w:sz w:val="24"/>
          <w:highlight w:val="none"/>
        </w:rPr>
        <w:t>进行验收，提出意见如下：</w:t>
      </w:r>
    </w:p>
    <w:p w14:paraId="7E7EDC97">
      <w:pPr>
        <w:numPr>
          <w:ilvl w:val="0"/>
          <w:numId w:val="0"/>
        </w:numPr>
        <w:spacing w:line="360" w:lineRule="auto"/>
        <w:ind w:left="992" w:leftChars="0" w:hanging="510" w:firstLineChars="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szCs w:val="24"/>
          <w:lang w:val="en-US" w:eastAsia="zh-CN" w:bidi="ar-SA"/>
        </w:rPr>
        <w:t>一、</w:t>
      </w:r>
      <w:r>
        <w:rPr>
          <w:rFonts w:hint="default" w:ascii="Times New Roman" w:hAnsi="Times New Roman" w:eastAsia="宋体" w:cs="Times New Roman"/>
          <w:b/>
          <w:color w:val="auto"/>
          <w:kern w:val="0"/>
          <w:sz w:val="24"/>
          <w:highlight w:val="none"/>
        </w:rPr>
        <w:t>建设项目基本情况：</w:t>
      </w:r>
    </w:p>
    <w:p w14:paraId="710A57B0">
      <w:pPr>
        <w:spacing w:line="360" w:lineRule="auto"/>
        <w:ind w:firstLine="480" w:firstLineChars="200"/>
        <w:rPr>
          <w:rFonts w:hint="eastAsia" w:ascii="Times New Roman" w:hAnsi="Times New Roman"/>
          <w:color w:val="auto"/>
          <w:sz w:val="24"/>
          <w:highlight w:val="none"/>
          <w:lang w:val="en-US" w:eastAsia="zh-CN"/>
        </w:rPr>
      </w:pPr>
      <w:r>
        <w:rPr>
          <w:rFonts w:hint="eastAsia" w:ascii="Times New Roman" w:hAnsi="Times New Roman"/>
          <w:color w:val="auto"/>
          <w:sz w:val="24"/>
          <w:highlight w:val="none"/>
          <w:lang w:val="en-US" w:eastAsia="zh-CN"/>
        </w:rPr>
        <w:t>浙江未智环绿环保科技有限公司成立于2018年10月30日，注册地位于浙江省湖州市安吉县递铺街道半岛中路198号2幢2层69号，法定代表人为赵畅，主要从事新材料板材的销售。通过充分的市场调研，企业租赁安吉县递铺街道乐平路（浙北汽配产业园5号地块）智能制造产业园西区4号部分厂房，利用1.4亩土地约953.49平方米，新增热压产线设备并配套环保设备等，项目完成后预计新增年产1万平方米新材料板材的生产能力。为严格履行环境影响评价制度，企业于2025年12月，委托浙江仕远环境科技有限公司编制完成了《浙江未智环绿环保科技有限公司年产1万平方米新材料板材项目环境影响登记表》，并于2025年12月5日通过了湖州市生态环境局安吉分局的备案，备案号为33052320250109。企业已完成固定污染源排污许可登记，登记编号为91330681MA2BG2L15M001W。</w:t>
      </w:r>
    </w:p>
    <w:p w14:paraId="44E4F14E">
      <w:pPr>
        <w:spacing w:line="360" w:lineRule="auto"/>
        <w:ind w:firstLine="472" w:firstLineChars="200"/>
        <w:rPr>
          <w:rFonts w:hint="eastAsia" w:ascii="Times New Roman" w:hAnsi="Times New Roman"/>
          <w:color w:val="auto"/>
          <w:spacing w:val="-2"/>
          <w:sz w:val="24"/>
          <w:lang w:val="en-US" w:eastAsia="zh-CN"/>
        </w:rPr>
      </w:pPr>
      <w:r>
        <w:rPr>
          <w:rFonts w:hint="eastAsia" w:ascii="Times New Roman" w:hAnsi="Times New Roman"/>
          <w:color w:val="auto"/>
          <w:spacing w:val="-2"/>
          <w:sz w:val="24"/>
          <w:lang w:val="en-US" w:eastAsia="zh-CN"/>
        </w:rPr>
        <w:t>本项目于2025年12月8日开工建设进行设备安装，2025年12月31日竣工，竣工后于2026年1月-2026年5月进入试运行。本项目实际总投资300万元，其中环保投资10万元，约占项目总投资的3.3％。</w:t>
      </w:r>
      <w:bookmarkStart w:id="4" w:name="_GoBack"/>
      <w:bookmarkEnd w:id="4"/>
    </w:p>
    <w:p w14:paraId="3FE6995D">
      <w:pPr>
        <w:spacing w:line="360" w:lineRule="auto"/>
        <w:ind w:firstLine="480" w:firstLineChars="200"/>
        <w:rPr>
          <w:rFonts w:hint="default" w:ascii="Times New Roman" w:hAnsi="Times New Roman" w:eastAsia="宋体"/>
          <w:color w:val="auto"/>
          <w:sz w:val="24"/>
          <w:highlight w:val="none"/>
          <w:lang w:val="en-US" w:eastAsia="zh-CN"/>
        </w:rPr>
      </w:pPr>
      <w:r>
        <w:rPr>
          <w:rFonts w:hint="default" w:ascii="Times New Roman" w:hAnsi="Times New Roman" w:eastAsia="宋体" w:cs="Times New Roman"/>
          <w:color w:val="auto"/>
          <w:kern w:val="0"/>
          <w:sz w:val="24"/>
          <w:highlight w:val="none"/>
          <w:lang w:val="en-US" w:eastAsia="zh-CN"/>
        </w:rPr>
        <w:t>企业</w:t>
      </w:r>
      <w:r>
        <w:rPr>
          <w:rFonts w:hint="default" w:ascii="Times New Roman" w:hAnsi="Times New Roman" w:eastAsia="宋体" w:cs="Times New Roman"/>
          <w:color w:val="auto"/>
          <w:kern w:val="0"/>
          <w:sz w:val="24"/>
          <w:highlight w:val="none"/>
        </w:rPr>
        <w:t>于202</w:t>
      </w:r>
      <w:r>
        <w:rPr>
          <w:rFonts w:hint="eastAsia" w:ascii="Times New Roman" w:hAnsi="Times New Roman"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月组织验收工作事宜，企业委托</w:t>
      </w:r>
      <w:r>
        <w:rPr>
          <w:rFonts w:hint="eastAsia" w:ascii="Times New Roman" w:hAnsi="Times New Roman" w:eastAsia="宋体" w:cs="Times New Roman"/>
          <w:color w:val="auto"/>
          <w:sz w:val="24"/>
          <w:szCs w:val="24"/>
          <w:highlight w:val="none"/>
          <w:lang w:val="en-US" w:eastAsia="zh-CN"/>
        </w:rPr>
        <w:t>中昱（浙江）环境监测股份有限公司于2026年5月8日-2026年5月9日</w:t>
      </w:r>
      <w:r>
        <w:rPr>
          <w:rFonts w:hint="default" w:ascii="Times New Roman" w:hAnsi="Times New Roman" w:eastAsia="宋体" w:cs="Times New Roman"/>
          <w:color w:val="auto"/>
          <w:kern w:val="0"/>
          <w:sz w:val="24"/>
          <w:highlight w:val="none"/>
        </w:rPr>
        <w:t>对本项目进行了环境保护设施验收监测，</w:t>
      </w:r>
      <w:r>
        <w:rPr>
          <w:rFonts w:hint="default" w:ascii="Times New Roman" w:hAnsi="Times New Roman" w:eastAsia="宋体"/>
          <w:color w:val="auto"/>
          <w:sz w:val="24"/>
          <w:highlight w:val="none"/>
          <w:lang w:val="en-US" w:eastAsia="zh-CN"/>
        </w:rPr>
        <w:t>通过对该工程</w:t>
      </w:r>
      <w:r>
        <w:rPr>
          <w:rFonts w:hint="eastAsia" w:ascii="Times New Roman" w:hAnsi="Times New Roman"/>
          <w:color w:val="auto"/>
          <w:sz w:val="24"/>
          <w:highlight w:val="none"/>
          <w:lang w:val="en-US" w:eastAsia="zh-CN"/>
        </w:rPr>
        <w:t>“</w:t>
      </w:r>
      <w:r>
        <w:rPr>
          <w:rFonts w:hint="default" w:ascii="Times New Roman" w:hAnsi="Times New Roman" w:eastAsia="宋体"/>
          <w:color w:val="auto"/>
          <w:sz w:val="24"/>
          <w:highlight w:val="none"/>
          <w:lang w:val="en-US" w:eastAsia="zh-CN"/>
        </w:rPr>
        <w:t>三同时</w:t>
      </w:r>
      <w:r>
        <w:rPr>
          <w:rFonts w:hint="eastAsia" w:ascii="Times New Roman" w:hAnsi="Times New Roman"/>
          <w:color w:val="auto"/>
          <w:sz w:val="24"/>
          <w:highlight w:val="none"/>
          <w:lang w:val="en-US" w:eastAsia="zh-CN"/>
        </w:rPr>
        <w:t>”</w:t>
      </w:r>
      <w:r>
        <w:rPr>
          <w:rFonts w:hint="default" w:ascii="Times New Roman" w:hAnsi="Times New Roman" w:eastAsia="宋体"/>
          <w:color w:val="auto"/>
          <w:sz w:val="24"/>
          <w:highlight w:val="none"/>
          <w:lang w:val="en-US" w:eastAsia="zh-CN"/>
        </w:rPr>
        <w:t>执行情况和效果的检查并依据监测结果及相应的国家有关环境标准，</w:t>
      </w:r>
      <w:r>
        <w:rPr>
          <w:rFonts w:hint="eastAsia" w:ascii="Times New Roman" w:hAnsi="Times New Roman"/>
          <w:color w:val="auto"/>
          <w:sz w:val="24"/>
          <w:highlight w:val="none"/>
          <w:lang w:val="en-US" w:eastAsia="zh-CN"/>
        </w:rPr>
        <w:t>于2026年5月</w:t>
      </w:r>
      <w:r>
        <w:rPr>
          <w:rFonts w:hint="default" w:ascii="Times New Roman" w:hAnsi="Times New Roman" w:eastAsia="宋体"/>
          <w:color w:val="auto"/>
          <w:sz w:val="24"/>
          <w:highlight w:val="none"/>
          <w:lang w:val="en-US" w:eastAsia="zh-CN"/>
        </w:rPr>
        <w:t>编制了本项目竣工环境保护验收监测报告</w:t>
      </w:r>
      <w:r>
        <w:rPr>
          <w:rFonts w:hint="eastAsia" w:ascii="Times New Roman" w:hAnsi="Times New Roman" w:eastAsia="宋体"/>
          <w:color w:val="auto"/>
          <w:sz w:val="24"/>
          <w:highlight w:val="none"/>
          <w:lang w:val="en-US" w:eastAsia="zh-CN"/>
        </w:rPr>
        <w:t>表</w:t>
      </w:r>
      <w:r>
        <w:rPr>
          <w:rFonts w:hint="default" w:ascii="Times New Roman" w:hAnsi="Times New Roman" w:eastAsia="宋体"/>
          <w:color w:val="auto"/>
          <w:sz w:val="24"/>
          <w:highlight w:val="none"/>
          <w:lang w:val="en-US" w:eastAsia="zh-CN"/>
        </w:rPr>
        <w:t>。</w:t>
      </w:r>
    </w:p>
    <w:p w14:paraId="5B95DE4A">
      <w:pPr>
        <w:spacing w:line="360" w:lineRule="auto"/>
        <w:ind w:firstLine="480" w:firstLineChars="200"/>
        <w:outlineLvl w:val="0"/>
        <w:rPr>
          <w:rFonts w:hint="eastAsia" w:ascii="Times New Roman" w:hAnsi="Times New Roman"/>
          <w:color w:val="auto"/>
          <w:sz w:val="24"/>
          <w:highlight w:val="none"/>
          <w:lang w:val="en-US" w:eastAsia="zh-CN"/>
        </w:rPr>
      </w:pPr>
      <w:bookmarkStart w:id="0" w:name="OLE_LINK16"/>
      <w:bookmarkStart w:id="1" w:name="_Toc498700049"/>
      <w:bookmarkStart w:id="2" w:name="_Toc498351802"/>
      <w:bookmarkStart w:id="3" w:name="_Toc498412723"/>
      <w:r>
        <w:rPr>
          <w:rFonts w:hint="eastAsia" w:ascii="Times New Roman" w:hAnsi="Times New Roman"/>
          <w:color w:val="auto"/>
          <w:sz w:val="24"/>
          <w:highlight w:val="none"/>
          <w:lang w:val="en-US" w:eastAsia="zh-CN"/>
        </w:rPr>
        <w:t>本次针对企业在产的年产1万平方米新材料板材及其配套工程、环保工程进行竣工环境保护“三同时”验收。</w:t>
      </w:r>
    </w:p>
    <w:p w14:paraId="18C3FC71">
      <w:pPr>
        <w:spacing w:line="360" w:lineRule="auto"/>
        <w:ind w:firstLine="482" w:firstLineChars="200"/>
        <w:outlineLvl w:val="0"/>
        <w:rPr>
          <w:rFonts w:hint="default" w:ascii="Times New Roman" w:hAnsi="Times New Roman" w:eastAsia="宋体" w:cs="Times New Roman"/>
          <w:b w:val="0"/>
          <w:bCs/>
          <w:color w:val="auto"/>
          <w:kern w:val="0"/>
          <w:sz w:val="24"/>
          <w:highlight w:val="none"/>
        </w:rPr>
      </w:pPr>
      <w:r>
        <w:rPr>
          <w:rFonts w:hint="default" w:ascii="Times New Roman" w:hAnsi="Times New Roman" w:eastAsia="宋体" w:cs="Times New Roman"/>
          <w:b/>
          <w:color w:val="auto"/>
          <w:kern w:val="0"/>
          <w:sz w:val="24"/>
          <w:highlight w:val="none"/>
        </w:rPr>
        <w:t>二、工程变动情况</w:t>
      </w:r>
    </w:p>
    <w:p w14:paraId="25F64717">
      <w:pPr>
        <w:spacing w:line="360" w:lineRule="auto"/>
        <w:ind w:firstLine="480" w:firstLineChars="200"/>
        <w:outlineLvl w:val="0"/>
        <w:rPr>
          <w:rFonts w:hint="eastAsia" w:ascii="Times New Roman" w:hAnsi="Times New Roman" w:eastAsia="宋体" w:cs="Times New Roman"/>
          <w:b w:val="0"/>
          <w:bCs/>
          <w:color w:val="auto"/>
          <w:kern w:val="0"/>
          <w:sz w:val="24"/>
          <w:szCs w:val="24"/>
          <w:highlight w:val="none"/>
          <w:lang w:eastAsia="zh-CN"/>
        </w:rPr>
      </w:pPr>
      <w:r>
        <w:rPr>
          <w:rFonts w:ascii="Times New Roman" w:hAnsi="Times New Roman" w:eastAsia="宋体" w:cs="Times New Roman"/>
          <w:b w:val="0"/>
          <w:bCs/>
          <w:color w:val="auto"/>
          <w:kern w:val="0"/>
          <w:sz w:val="24"/>
          <w:szCs w:val="24"/>
          <w:highlight w:val="none"/>
        </w:rPr>
        <w:t>经现场踏勘并对照环评文件</w:t>
      </w:r>
      <w:r>
        <w:rPr>
          <w:rFonts w:hint="eastAsia" w:ascii="Times New Roman" w:hAnsi="Times New Roman" w:cs="Times New Roman"/>
          <w:b w:val="0"/>
          <w:bCs/>
          <w:color w:val="auto"/>
          <w:kern w:val="0"/>
          <w:sz w:val="24"/>
          <w:szCs w:val="24"/>
          <w:highlight w:val="none"/>
          <w:lang w:eastAsia="zh-CN"/>
        </w:rPr>
        <w:t>，</w:t>
      </w:r>
      <w:r>
        <w:rPr>
          <w:rFonts w:hint="eastAsia" w:ascii="Times New Roman" w:hAnsi="Times New Roman" w:cs="Times New Roman"/>
          <w:b w:val="0"/>
          <w:bCs/>
          <w:color w:val="auto"/>
          <w:kern w:val="0"/>
          <w:sz w:val="24"/>
          <w:szCs w:val="24"/>
          <w:highlight w:val="none"/>
          <w:lang w:val="en-US" w:eastAsia="zh-CN"/>
        </w:rPr>
        <w:t>主要变动情况如下</w:t>
      </w:r>
      <w:r>
        <w:rPr>
          <w:rFonts w:hint="eastAsia" w:ascii="Times New Roman" w:hAnsi="Times New Roman" w:eastAsia="宋体" w:cs="Times New Roman"/>
          <w:b w:val="0"/>
          <w:bCs/>
          <w:color w:val="auto"/>
          <w:kern w:val="0"/>
          <w:sz w:val="24"/>
          <w:szCs w:val="24"/>
          <w:highlight w:val="none"/>
          <w:lang w:eastAsia="zh-CN"/>
        </w:rPr>
        <w:t>：</w:t>
      </w:r>
    </w:p>
    <w:bookmarkEnd w:id="0"/>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3921"/>
        <w:gridCol w:w="2097"/>
        <w:gridCol w:w="2098"/>
        <w:gridCol w:w="1193"/>
      </w:tblGrid>
      <w:tr w14:paraId="0248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noWrap w:val="0"/>
            <w:vAlign w:val="center"/>
          </w:tcPr>
          <w:p w14:paraId="1619E1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项目</w:t>
            </w:r>
          </w:p>
        </w:tc>
        <w:tc>
          <w:tcPr>
            <w:tcW w:w="1989" w:type="pct"/>
            <w:noWrap w:val="0"/>
            <w:vAlign w:val="center"/>
          </w:tcPr>
          <w:p w14:paraId="3A3A2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变动清单要求</w:t>
            </w:r>
          </w:p>
        </w:tc>
        <w:tc>
          <w:tcPr>
            <w:tcW w:w="2128" w:type="pct"/>
            <w:gridSpan w:val="2"/>
            <w:noWrap w:val="0"/>
            <w:vAlign w:val="center"/>
          </w:tcPr>
          <w:p w14:paraId="3F15B2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变化情况</w:t>
            </w:r>
          </w:p>
        </w:tc>
        <w:tc>
          <w:tcPr>
            <w:tcW w:w="605" w:type="pct"/>
            <w:noWrap w:val="0"/>
            <w:vAlign w:val="center"/>
          </w:tcPr>
          <w:p w14:paraId="3723B7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是否属于重大变动</w:t>
            </w:r>
          </w:p>
        </w:tc>
      </w:tr>
      <w:tr w14:paraId="1B60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noWrap w:val="0"/>
            <w:vAlign w:val="center"/>
          </w:tcPr>
          <w:p w14:paraId="32132A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性质</w:t>
            </w:r>
          </w:p>
        </w:tc>
        <w:tc>
          <w:tcPr>
            <w:tcW w:w="1989" w:type="pct"/>
            <w:noWrap w:val="0"/>
            <w:vAlign w:val="center"/>
          </w:tcPr>
          <w:p w14:paraId="34209A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1、建设项目开发、使用功能发生变化的。</w:t>
            </w:r>
          </w:p>
        </w:tc>
        <w:tc>
          <w:tcPr>
            <w:tcW w:w="2128" w:type="pct"/>
            <w:gridSpan w:val="2"/>
            <w:noWrap w:val="0"/>
            <w:vAlign w:val="center"/>
          </w:tcPr>
          <w:p w14:paraId="34CFD3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建设项目开发、使用功能未发生变化。</w:t>
            </w:r>
          </w:p>
        </w:tc>
        <w:tc>
          <w:tcPr>
            <w:tcW w:w="605" w:type="pct"/>
            <w:noWrap w:val="0"/>
            <w:vAlign w:val="center"/>
          </w:tcPr>
          <w:p w14:paraId="3AA1E2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否</w:t>
            </w:r>
          </w:p>
        </w:tc>
      </w:tr>
      <w:tr w14:paraId="57FF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vMerge w:val="restart"/>
            <w:noWrap w:val="0"/>
            <w:vAlign w:val="center"/>
          </w:tcPr>
          <w:p w14:paraId="77020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规模</w:t>
            </w:r>
          </w:p>
        </w:tc>
        <w:tc>
          <w:tcPr>
            <w:tcW w:w="1989" w:type="pct"/>
            <w:noWrap w:val="0"/>
            <w:vAlign w:val="center"/>
          </w:tcPr>
          <w:p w14:paraId="1FA881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2、生产、处置或储存能力增大30%及以上的。</w:t>
            </w:r>
          </w:p>
        </w:tc>
        <w:tc>
          <w:tcPr>
            <w:tcW w:w="2128" w:type="pct"/>
            <w:gridSpan w:val="2"/>
            <w:noWrap w:val="0"/>
            <w:vAlign w:val="center"/>
          </w:tcPr>
          <w:p w14:paraId="73F90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企业</w:t>
            </w:r>
            <w:r>
              <w:rPr>
                <w:rFonts w:hint="default" w:ascii="Times New Roman" w:hAnsi="Times New Roman" w:eastAsia="宋体" w:cs="Times New Roman"/>
                <w:color w:val="auto"/>
                <w:sz w:val="21"/>
                <w:szCs w:val="21"/>
                <w:lang w:val="en-US" w:eastAsia="zh-CN"/>
              </w:rPr>
              <w:t>生产、处置或储存能力未发生变化。</w:t>
            </w:r>
          </w:p>
        </w:tc>
        <w:tc>
          <w:tcPr>
            <w:tcW w:w="605" w:type="pct"/>
            <w:noWrap w:val="0"/>
            <w:vAlign w:val="center"/>
          </w:tcPr>
          <w:p w14:paraId="06DC42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否</w:t>
            </w:r>
          </w:p>
        </w:tc>
      </w:tr>
      <w:tr w14:paraId="0E74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vMerge w:val="continue"/>
            <w:noWrap w:val="0"/>
            <w:vAlign w:val="center"/>
          </w:tcPr>
          <w:p w14:paraId="22C74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p>
        </w:tc>
        <w:tc>
          <w:tcPr>
            <w:tcW w:w="1989" w:type="pct"/>
            <w:noWrap w:val="0"/>
            <w:vAlign w:val="center"/>
          </w:tcPr>
          <w:p w14:paraId="772B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3、生产、处置或储存，导致废水第一类污染物排放量增加的。</w:t>
            </w:r>
          </w:p>
        </w:tc>
        <w:tc>
          <w:tcPr>
            <w:tcW w:w="2128" w:type="pct"/>
            <w:gridSpan w:val="2"/>
            <w:noWrap w:val="0"/>
            <w:vAlign w:val="center"/>
          </w:tcPr>
          <w:p w14:paraId="641D7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企业不涉及</w:t>
            </w:r>
            <w:r>
              <w:rPr>
                <w:rFonts w:hint="default" w:ascii="Times New Roman" w:hAnsi="Times New Roman" w:eastAsia="宋体" w:cs="Times New Roman"/>
                <w:color w:val="auto"/>
                <w:sz w:val="21"/>
                <w:szCs w:val="21"/>
                <w:lang w:val="en-US" w:eastAsia="zh-CN"/>
              </w:rPr>
              <w:t>废水第一类污染物</w:t>
            </w:r>
            <w:r>
              <w:rPr>
                <w:rFonts w:hint="eastAsia" w:ascii="Times New Roman" w:hAnsi="Times New Roman" w:eastAsia="宋体" w:cs="Times New Roman"/>
                <w:color w:val="auto"/>
                <w:sz w:val="21"/>
                <w:szCs w:val="21"/>
                <w:lang w:val="en-US" w:eastAsia="zh-CN"/>
              </w:rPr>
              <w:t>排放</w:t>
            </w:r>
            <w:r>
              <w:rPr>
                <w:rFonts w:hint="default" w:ascii="Times New Roman" w:hAnsi="Times New Roman" w:eastAsia="宋体" w:cs="Times New Roman"/>
                <w:color w:val="auto"/>
                <w:sz w:val="21"/>
                <w:szCs w:val="21"/>
                <w:lang w:val="en-US" w:eastAsia="zh-CN"/>
              </w:rPr>
              <w:t>。</w:t>
            </w:r>
          </w:p>
        </w:tc>
        <w:tc>
          <w:tcPr>
            <w:tcW w:w="605" w:type="pct"/>
            <w:noWrap w:val="0"/>
            <w:vAlign w:val="center"/>
          </w:tcPr>
          <w:p w14:paraId="531ECE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否</w:t>
            </w:r>
          </w:p>
        </w:tc>
      </w:tr>
      <w:tr w14:paraId="3732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vMerge w:val="continue"/>
            <w:noWrap w:val="0"/>
            <w:vAlign w:val="center"/>
          </w:tcPr>
          <w:p w14:paraId="67286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p>
        </w:tc>
        <w:tc>
          <w:tcPr>
            <w:tcW w:w="1989" w:type="pct"/>
            <w:noWrap w:val="0"/>
            <w:vAlign w:val="center"/>
          </w:tcPr>
          <w:p w14:paraId="1C5560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2128" w:type="pct"/>
            <w:gridSpan w:val="2"/>
            <w:noWrap w:val="0"/>
            <w:vAlign w:val="center"/>
          </w:tcPr>
          <w:p w14:paraId="446F55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企业生产、处置或储存能力未发生变化。</w:t>
            </w:r>
          </w:p>
        </w:tc>
        <w:tc>
          <w:tcPr>
            <w:tcW w:w="605" w:type="pct"/>
            <w:noWrap w:val="0"/>
            <w:vAlign w:val="center"/>
          </w:tcPr>
          <w:p w14:paraId="3B46A7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否</w:t>
            </w:r>
          </w:p>
        </w:tc>
      </w:tr>
      <w:tr w14:paraId="48FE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vMerge w:val="restart"/>
            <w:noWrap w:val="0"/>
            <w:vAlign w:val="center"/>
          </w:tcPr>
          <w:p w14:paraId="25671A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地点</w:t>
            </w:r>
          </w:p>
        </w:tc>
        <w:tc>
          <w:tcPr>
            <w:tcW w:w="1989" w:type="pct"/>
            <w:vMerge w:val="restart"/>
            <w:noWrap w:val="0"/>
            <w:vAlign w:val="center"/>
          </w:tcPr>
          <w:p w14:paraId="1364C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5、重新选址；在原厂址附近调整（包括总平面布置变化）导致环境防护距离范围变化且新增敏感点的。</w:t>
            </w:r>
          </w:p>
        </w:tc>
        <w:tc>
          <w:tcPr>
            <w:tcW w:w="2128" w:type="pct"/>
            <w:gridSpan w:val="2"/>
            <w:noWrap w:val="0"/>
            <w:vAlign w:val="center"/>
          </w:tcPr>
          <w:p w14:paraId="4B2354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建设地点与环评审批一致；总平面布置与环评审批部分不一致，主要变化如下。总建筑面积与环评审批一致。上述变化未导致环境防护距离范围变化且新增敏感点的情况。</w:t>
            </w:r>
          </w:p>
        </w:tc>
        <w:tc>
          <w:tcPr>
            <w:tcW w:w="605" w:type="pct"/>
            <w:vMerge w:val="restart"/>
            <w:noWrap w:val="0"/>
            <w:vAlign w:val="center"/>
          </w:tcPr>
          <w:p w14:paraId="26628A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否</w:t>
            </w:r>
          </w:p>
        </w:tc>
      </w:tr>
      <w:tr w14:paraId="5205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vMerge w:val="continue"/>
            <w:noWrap w:val="0"/>
            <w:vAlign w:val="center"/>
          </w:tcPr>
          <w:p w14:paraId="6E5954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s="Times New Roman"/>
                <w:color w:val="auto"/>
              </w:rPr>
            </w:pPr>
          </w:p>
        </w:tc>
        <w:tc>
          <w:tcPr>
            <w:tcW w:w="1989" w:type="pct"/>
            <w:vMerge w:val="continue"/>
            <w:noWrap w:val="0"/>
            <w:vAlign w:val="center"/>
          </w:tcPr>
          <w:p w14:paraId="4E5EF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s="Times New Roman"/>
                <w:color w:val="auto"/>
              </w:rPr>
            </w:pPr>
          </w:p>
        </w:tc>
        <w:tc>
          <w:tcPr>
            <w:tcW w:w="1063" w:type="pct"/>
            <w:noWrap w:val="0"/>
            <w:vAlign w:val="center"/>
          </w:tcPr>
          <w:p w14:paraId="6EC8D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环评审批：</w:t>
            </w:r>
            <w:r>
              <w:rPr>
                <w:rFonts w:hint="default" w:ascii="Times New Roman" w:hAnsi="Times New Roman" w:eastAsia="宋体" w:cs="Times New Roman"/>
                <w:color w:val="auto"/>
                <w:sz w:val="21"/>
                <w:szCs w:val="21"/>
                <w:highlight w:val="none"/>
                <w:lang w:val="en-US" w:eastAsia="zh-CN"/>
              </w:rPr>
              <w:t>车间主要分为混料、修边、表面处理（铣面）、热压、冷压、覆膜等生产区域，以及原材料仓库、板材仓库、一般固废仓库、危废仓库等储存区域。</w:t>
            </w:r>
          </w:p>
        </w:tc>
        <w:tc>
          <w:tcPr>
            <w:tcW w:w="1064" w:type="pct"/>
            <w:noWrap w:val="0"/>
            <w:vAlign w:val="center"/>
          </w:tcPr>
          <w:p w14:paraId="5D0E20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实际：</w:t>
            </w:r>
            <w:r>
              <w:rPr>
                <w:rFonts w:hint="default" w:ascii="Times New Roman" w:hAnsi="Times New Roman" w:eastAsia="宋体" w:cs="Times New Roman"/>
                <w:color w:val="auto"/>
                <w:sz w:val="21"/>
                <w:szCs w:val="21"/>
                <w:highlight w:val="none"/>
                <w:lang w:val="en-US" w:eastAsia="zh-CN"/>
              </w:rPr>
              <w:t>车间主要分为混料、修边、表面处理（铣面）、热压、冷压等生产区域，以及原材料仓库、成品仓库、一般固废暂存区、危废仓库等储存区域。</w:t>
            </w:r>
          </w:p>
        </w:tc>
        <w:tc>
          <w:tcPr>
            <w:tcW w:w="605" w:type="pct"/>
            <w:vMerge w:val="continue"/>
            <w:noWrap w:val="0"/>
            <w:vAlign w:val="center"/>
          </w:tcPr>
          <w:p w14:paraId="27FCD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FF0000"/>
                <w:sz w:val="21"/>
                <w:szCs w:val="21"/>
                <w:highlight w:val="none"/>
                <w:lang w:val="en-US" w:eastAsia="zh-CN"/>
              </w:rPr>
            </w:pPr>
          </w:p>
        </w:tc>
      </w:tr>
      <w:tr w14:paraId="57FB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vMerge w:val="restart"/>
            <w:noWrap w:val="0"/>
            <w:vAlign w:val="center"/>
          </w:tcPr>
          <w:p w14:paraId="50D6A0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生产工艺</w:t>
            </w:r>
          </w:p>
        </w:tc>
        <w:tc>
          <w:tcPr>
            <w:tcW w:w="1989" w:type="pct"/>
            <w:noWrap w:val="0"/>
            <w:vAlign w:val="center"/>
          </w:tcPr>
          <w:p w14:paraId="51002EA0">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新增产品品种或生产工艺（含主要生产装置、设备及配套设施）、主要原辅材料、燃料变化，导致以下情形之一</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（1）新增排放污染物种类的（毒性、挥发性降低的除外）；（2）位于环境质量不达标区的建设项目相应污染物排放量增加的；（3）废水第一类污染物排放量增加的；（4）其他污染物排放量增加10%及以上的。</w:t>
            </w:r>
          </w:p>
        </w:tc>
        <w:tc>
          <w:tcPr>
            <w:tcW w:w="2128" w:type="pct"/>
            <w:gridSpan w:val="2"/>
            <w:noWrap w:val="0"/>
            <w:vAlign w:val="center"/>
          </w:tcPr>
          <w:p w14:paraId="4CDF87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本项目新增产品品种或生产工艺。主要原辅材料</w:t>
            </w:r>
            <w:r>
              <w:rPr>
                <w:rFonts w:hint="eastAsia" w:ascii="Times New Roman" w:hAnsi="Times New Roman" w:eastAsia="宋体" w:cs="Times New Roman"/>
                <w:color w:val="auto"/>
                <w:sz w:val="21"/>
                <w:szCs w:val="21"/>
                <w:highlight w:val="none"/>
                <w:lang w:val="en-US" w:eastAsia="zh-CN"/>
              </w:rPr>
              <w:t>未发生变化</w:t>
            </w:r>
            <w:r>
              <w:rPr>
                <w:rFonts w:hint="default" w:ascii="Times New Roman" w:hAnsi="Times New Roman" w:eastAsia="宋体" w:cs="Times New Roman"/>
                <w:color w:val="auto"/>
                <w:sz w:val="21"/>
                <w:szCs w:val="21"/>
                <w:highlight w:val="none"/>
                <w:lang w:val="en-US" w:eastAsia="zh-CN"/>
              </w:rPr>
              <w:t>。</w:t>
            </w:r>
          </w:p>
        </w:tc>
        <w:tc>
          <w:tcPr>
            <w:tcW w:w="605" w:type="pct"/>
            <w:noWrap w:val="0"/>
            <w:vAlign w:val="center"/>
          </w:tcPr>
          <w:p w14:paraId="4D3879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否</w:t>
            </w:r>
          </w:p>
          <w:p w14:paraId="490327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p>
        </w:tc>
      </w:tr>
      <w:tr w14:paraId="19D4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76" w:type="pct"/>
            <w:vMerge w:val="continue"/>
            <w:noWrap w:val="0"/>
            <w:vAlign w:val="center"/>
          </w:tcPr>
          <w:p w14:paraId="367CC4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p>
        </w:tc>
        <w:tc>
          <w:tcPr>
            <w:tcW w:w="1989" w:type="pct"/>
            <w:noWrap w:val="0"/>
            <w:vAlign w:val="center"/>
          </w:tcPr>
          <w:p w14:paraId="1E525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7、物料运输、装卸、贮存方式变化，导致大气污染物无组织排放量增加10%及以上的。</w:t>
            </w:r>
          </w:p>
        </w:tc>
        <w:tc>
          <w:tcPr>
            <w:tcW w:w="2128" w:type="pct"/>
            <w:gridSpan w:val="2"/>
            <w:noWrap w:val="0"/>
            <w:vAlign w:val="center"/>
          </w:tcPr>
          <w:p w14:paraId="17321A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物料运输、装卸、贮存方式未发生变化。</w:t>
            </w:r>
          </w:p>
        </w:tc>
        <w:tc>
          <w:tcPr>
            <w:tcW w:w="605" w:type="pct"/>
            <w:noWrap w:val="0"/>
            <w:vAlign w:val="center"/>
          </w:tcPr>
          <w:p w14:paraId="076C6E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否</w:t>
            </w:r>
          </w:p>
        </w:tc>
      </w:tr>
      <w:tr w14:paraId="4314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vMerge w:val="restart"/>
            <w:noWrap w:val="0"/>
            <w:vAlign w:val="center"/>
          </w:tcPr>
          <w:p w14:paraId="34B025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环境保护措施</w:t>
            </w:r>
          </w:p>
        </w:tc>
        <w:tc>
          <w:tcPr>
            <w:tcW w:w="1989" w:type="pct"/>
            <w:noWrap w:val="0"/>
            <w:vAlign w:val="center"/>
          </w:tcPr>
          <w:p w14:paraId="6D75A4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8、废气、废水污染防治变化，导致第6条中所列情形之一（废气无组织排放改为有组织排放、污染防治措施强化或改进的除外）或大气污染物无组织排放量增加10%及以上的。</w:t>
            </w:r>
          </w:p>
        </w:tc>
        <w:tc>
          <w:tcPr>
            <w:tcW w:w="2128" w:type="pct"/>
            <w:gridSpan w:val="2"/>
            <w:noWrap w:val="0"/>
            <w:vAlign w:val="center"/>
          </w:tcPr>
          <w:p w14:paraId="50A9691B">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企业废水污染防治未发生变化。挥发废气防治措施由二级活性炭吸附装置变为过滤棉吸附+二级活性炭吸附装置，属于污染防治措施强化。</w:t>
            </w:r>
          </w:p>
        </w:tc>
        <w:tc>
          <w:tcPr>
            <w:tcW w:w="605" w:type="pct"/>
            <w:noWrap w:val="0"/>
            <w:vAlign w:val="center"/>
          </w:tcPr>
          <w:p w14:paraId="16A551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否</w:t>
            </w:r>
          </w:p>
        </w:tc>
      </w:tr>
      <w:tr w14:paraId="2CBB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vMerge w:val="continue"/>
            <w:noWrap w:val="0"/>
            <w:vAlign w:val="center"/>
          </w:tcPr>
          <w:p w14:paraId="104FBA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p>
        </w:tc>
        <w:tc>
          <w:tcPr>
            <w:tcW w:w="1989" w:type="pct"/>
            <w:noWrap w:val="0"/>
            <w:vAlign w:val="center"/>
          </w:tcPr>
          <w:p w14:paraId="3D8805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9、新增废水直接排放口；废水由间接排放改为直接排放；废水直接排放口位置变化，导致不利环境影响加重的。</w:t>
            </w:r>
          </w:p>
        </w:tc>
        <w:tc>
          <w:tcPr>
            <w:tcW w:w="2128" w:type="pct"/>
            <w:gridSpan w:val="2"/>
            <w:noWrap w:val="0"/>
            <w:vAlign w:val="center"/>
          </w:tcPr>
          <w:p w14:paraId="2EC70D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企业不涉及废水直接排放口。</w:t>
            </w:r>
          </w:p>
        </w:tc>
        <w:tc>
          <w:tcPr>
            <w:tcW w:w="605" w:type="pct"/>
            <w:noWrap w:val="0"/>
            <w:vAlign w:val="center"/>
          </w:tcPr>
          <w:p w14:paraId="48587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否</w:t>
            </w:r>
          </w:p>
        </w:tc>
      </w:tr>
      <w:tr w14:paraId="63BC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vMerge w:val="continue"/>
            <w:noWrap w:val="0"/>
            <w:vAlign w:val="center"/>
          </w:tcPr>
          <w:p w14:paraId="5AD0E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p>
        </w:tc>
        <w:tc>
          <w:tcPr>
            <w:tcW w:w="1989" w:type="pct"/>
            <w:noWrap w:val="0"/>
            <w:vAlign w:val="center"/>
          </w:tcPr>
          <w:p w14:paraId="12B270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10、新增废气主要排放口（废气无组织排放改为有组织排放的除外）；主要排放口排气筒高度降低10%及以上的。</w:t>
            </w:r>
          </w:p>
        </w:tc>
        <w:tc>
          <w:tcPr>
            <w:tcW w:w="2128" w:type="pct"/>
            <w:gridSpan w:val="2"/>
            <w:noWrap w:val="0"/>
            <w:vAlign w:val="center"/>
          </w:tcPr>
          <w:p w14:paraId="43E303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根据《固定污染源排污许可分类管理名录（2019年版）》判断，企业属于登记管理，不涉及废气主要排放口。</w:t>
            </w:r>
          </w:p>
        </w:tc>
        <w:tc>
          <w:tcPr>
            <w:tcW w:w="605" w:type="pct"/>
            <w:noWrap w:val="0"/>
            <w:vAlign w:val="center"/>
          </w:tcPr>
          <w:p w14:paraId="0DFCD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否</w:t>
            </w:r>
          </w:p>
        </w:tc>
      </w:tr>
      <w:tr w14:paraId="39F5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vMerge w:val="continue"/>
            <w:noWrap w:val="0"/>
            <w:vAlign w:val="center"/>
          </w:tcPr>
          <w:p w14:paraId="536B88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p>
        </w:tc>
        <w:tc>
          <w:tcPr>
            <w:tcW w:w="1989" w:type="pct"/>
            <w:noWrap w:val="0"/>
            <w:vAlign w:val="center"/>
          </w:tcPr>
          <w:p w14:paraId="71BC4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11、噪声、土壤或地下水污染防治措施变化，导致不利环境影响加重的。</w:t>
            </w:r>
          </w:p>
        </w:tc>
        <w:tc>
          <w:tcPr>
            <w:tcW w:w="2128" w:type="pct"/>
            <w:gridSpan w:val="2"/>
            <w:noWrap w:val="0"/>
            <w:vAlign w:val="center"/>
          </w:tcPr>
          <w:p w14:paraId="5EE0EC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项目噪声污染防治措施未变化，大气及废水污染防治合理，对土壤或地下水基本无影响。</w:t>
            </w:r>
          </w:p>
        </w:tc>
        <w:tc>
          <w:tcPr>
            <w:tcW w:w="605" w:type="pct"/>
            <w:noWrap w:val="0"/>
            <w:vAlign w:val="center"/>
          </w:tcPr>
          <w:p w14:paraId="2948C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否</w:t>
            </w:r>
          </w:p>
        </w:tc>
      </w:tr>
      <w:tr w14:paraId="7FA4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vMerge w:val="continue"/>
            <w:noWrap w:val="0"/>
            <w:vAlign w:val="center"/>
          </w:tcPr>
          <w:p w14:paraId="36F7D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p>
        </w:tc>
        <w:tc>
          <w:tcPr>
            <w:tcW w:w="1989" w:type="pct"/>
            <w:noWrap w:val="0"/>
            <w:vAlign w:val="center"/>
          </w:tcPr>
          <w:p w14:paraId="37112A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12、固体废物利用处置方式由委托外单位利用处置改为自行利用处置的（自行利用处置设施单独开展环境影响评价的除外）；固体废物自行处置方式变化，导致不利环境影响加重的。</w:t>
            </w:r>
          </w:p>
        </w:tc>
        <w:tc>
          <w:tcPr>
            <w:tcW w:w="2128" w:type="pct"/>
            <w:gridSpan w:val="2"/>
            <w:noWrap w:val="0"/>
            <w:vAlign w:val="center"/>
          </w:tcPr>
          <w:p w14:paraId="19EA7D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固体废物自行处置方式未发生变化。</w:t>
            </w:r>
          </w:p>
        </w:tc>
        <w:tc>
          <w:tcPr>
            <w:tcW w:w="605" w:type="pct"/>
            <w:noWrap w:val="0"/>
            <w:vAlign w:val="center"/>
          </w:tcPr>
          <w:p w14:paraId="27FFDB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否</w:t>
            </w:r>
          </w:p>
        </w:tc>
      </w:tr>
      <w:tr w14:paraId="3426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 w:type="pct"/>
            <w:vMerge w:val="continue"/>
            <w:noWrap w:val="0"/>
            <w:vAlign w:val="center"/>
          </w:tcPr>
          <w:p w14:paraId="673BE1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p>
        </w:tc>
        <w:tc>
          <w:tcPr>
            <w:tcW w:w="1989" w:type="pct"/>
            <w:noWrap w:val="0"/>
            <w:vAlign w:val="center"/>
          </w:tcPr>
          <w:p w14:paraId="382F8E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13、事故废水暂存能力或拦截设施变化，导致环境风险防范能力弱化或降低的。</w:t>
            </w:r>
          </w:p>
        </w:tc>
        <w:tc>
          <w:tcPr>
            <w:tcW w:w="2128" w:type="pct"/>
            <w:gridSpan w:val="2"/>
            <w:noWrap w:val="0"/>
            <w:vAlign w:val="center"/>
          </w:tcPr>
          <w:p w14:paraId="387BE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生活污水采取化粪池措施后通过市政污水管网排放至安吉净源污水处理有限公司城北污水处理厂。冷却水经冷却塔冷却后循环使用，不排放，需添加损耗。环境风险防范能力无变化。</w:t>
            </w:r>
          </w:p>
        </w:tc>
        <w:tc>
          <w:tcPr>
            <w:tcW w:w="605" w:type="pct"/>
            <w:noWrap w:val="0"/>
            <w:vAlign w:val="center"/>
          </w:tcPr>
          <w:p w14:paraId="64D67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否</w:t>
            </w:r>
          </w:p>
        </w:tc>
      </w:tr>
    </w:tbl>
    <w:p w14:paraId="6D169C2F">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hint="eastAsia" w:ascii="Times New Roman" w:hAnsi="Times New Roman"/>
          <w:color w:val="auto"/>
          <w:kern w:val="0"/>
          <w:sz w:val="24"/>
          <w:szCs w:val="24"/>
          <w:highlight w:val="none"/>
          <w:lang w:val="en-US" w:eastAsia="zh-CN"/>
        </w:rPr>
        <w:t>综上所述，</w:t>
      </w:r>
      <w:r>
        <w:rPr>
          <w:rFonts w:ascii="Times New Roman" w:hAnsi="Times New Roman" w:eastAsia="宋体"/>
          <w:color w:val="auto"/>
          <w:kern w:val="0"/>
          <w:sz w:val="24"/>
          <w:szCs w:val="24"/>
          <w:highlight w:val="none"/>
        </w:rPr>
        <w:t>对照生态环境部 环办环评函〔2020〕688号关于印发《污染影响类建设项目重大变动清单</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试行</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》的通知相关内容，</w:t>
      </w:r>
      <w:r>
        <w:rPr>
          <w:rFonts w:hint="eastAsia" w:ascii="Times New Roman" w:hAnsi="Times New Roman" w:eastAsia="宋体"/>
          <w:color w:val="auto"/>
          <w:kern w:val="0"/>
          <w:sz w:val="24"/>
          <w:szCs w:val="24"/>
          <w:highlight w:val="none"/>
          <w:lang w:val="en-US" w:eastAsia="zh-CN"/>
        </w:rPr>
        <w:t>企业</w:t>
      </w:r>
      <w:r>
        <w:rPr>
          <w:rFonts w:ascii="Times New Roman" w:hAnsi="Times New Roman" w:eastAsia="宋体"/>
          <w:color w:val="auto"/>
          <w:kern w:val="0"/>
          <w:sz w:val="24"/>
          <w:szCs w:val="24"/>
          <w:highlight w:val="none"/>
        </w:rPr>
        <w:t>不属于重大变动。</w:t>
      </w:r>
      <w:bookmarkEnd w:id="1"/>
      <w:bookmarkEnd w:id="2"/>
      <w:bookmarkEnd w:id="3"/>
    </w:p>
    <w:p w14:paraId="5571469F">
      <w:pPr>
        <w:spacing w:line="360" w:lineRule="auto"/>
        <w:ind w:firstLine="602" w:firstLineChars="25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三、环境保护设施建设情况</w:t>
      </w:r>
    </w:p>
    <w:p w14:paraId="5949626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0"/>
          <w:sz w:val="24"/>
          <w:highlight w:val="none"/>
        </w:rPr>
        <w:t>（一）</w:t>
      </w:r>
      <w:r>
        <w:rPr>
          <w:rStyle w:val="14"/>
          <w:rFonts w:hint="default" w:ascii="Times New Roman" w:hAnsi="Times New Roman" w:eastAsia="宋体" w:cs="Times New Roman"/>
          <w:b w:val="0"/>
          <w:color w:val="auto"/>
          <w:sz w:val="24"/>
          <w:szCs w:val="24"/>
          <w:highlight w:val="none"/>
          <w:vertAlign w:val="baseline"/>
          <w:lang w:val="en-US" w:eastAsia="zh-CN"/>
        </w:rPr>
        <w:t>废水：</w:t>
      </w:r>
      <w:r>
        <w:rPr>
          <w:rFonts w:hint="default" w:ascii="Times New Roman" w:hAnsi="Times New Roman" w:eastAsia="宋体" w:cs="Times New Roman"/>
          <w:color w:val="auto"/>
          <w:sz w:val="24"/>
          <w:szCs w:val="24"/>
          <w:lang w:val="en-US" w:eastAsia="zh-CN"/>
        </w:rPr>
        <w:t>本项目试生产期间产生的废水主要是生活污水和冷却水。</w:t>
      </w:r>
    </w:p>
    <w:p w14:paraId="6A6CA58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生活污水：生活污水采取化粪池措施后通过市政污水管网排放至安吉净源污水处理有限公司城北污水处理厂。</w:t>
      </w:r>
    </w:p>
    <w:p w14:paraId="34A33F8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冷却水：冷却水经冷却塔冷却后循环使用，不排放，需添加损耗。</w:t>
      </w:r>
    </w:p>
    <w:p w14:paraId="19AE750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（二）废气：本项目试生产期间产生的废气主要是挥发废气。</w:t>
      </w:r>
    </w:p>
    <w:p w14:paraId="1364FAA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挥发废气通过集气罩+软帘收集，通过一套二级活性炭吸附装置处理，尾气由一根15m高的排气筒DA001排放。</w:t>
      </w:r>
    </w:p>
    <w:p w14:paraId="5E98A7B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Style w:val="14"/>
          <w:rFonts w:hint="default" w:ascii="Times New Roman" w:hAnsi="Times New Roman" w:eastAsia="宋体" w:cs="Times New Roman"/>
          <w:b w:val="0"/>
          <w:color w:val="auto"/>
          <w:sz w:val="24"/>
          <w:szCs w:val="24"/>
          <w:highlight w:val="none"/>
          <w:vertAlign w:val="baseline"/>
          <w:lang w:val="en-US" w:eastAsia="zh-CN"/>
        </w:rPr>
      </w:pPr>
      <w:r>
        <w:rPr>
          <w:rFonts w:hint="eastAsia" w:ascii="Times New Roman" w:hAnsi="Times New Roman" w:eastAsia="宋体" w:cs="Times New Roman"/>
          <w:b w:val="0"/>
          <w:color w:val="auto"/>
          <w:kern w:val="2"/>
          <w:sz w:val="24"/>
          <w:szCs w:val="24"/>
          <w:vertAlign w:val="baseline"/>
          <w:lang w:val="en-US" w:eastAsia="zh-CN" w:bidi="ar-SA"/>
        </w:rPr>
        <w:t>（</w:t>
      </w:r>
      <w:r>
        <w:rPr>
          <w:rFonts w:hint="eastAsia" w:ascii="Times New Roman" w:hAnsi="Times New Roman" w:cs="Times New Roman"/>
          <w:b w:val="0"/>
          <w:color w:val="auto"/>
          <w:kern w:val="2"/>
          <w:sz w:val="24"/>
          <w:szCs w:val="24"/>
          <w:vertAlign w:val="baseline"/>
          <w:lang w:val="en-US" w:eastAsia="zh-CN" w:bidi="ar-SA"/>
        </w:rPr>
        <w:t>三</w:t>
      </w:r>
      <w:r>
        <w:rPr>
          <w:rFonts w:hint="eastAsia" w:ascii="Times New Roman" w:hAnsi="Times New Roman" w:eastAsia="宋体" w:cs="Times New Roman"/>
          <w:b w:val="0"/>
          <w:color w:val="auto"/>
          <w:kern w:val="2"/>
          <w:sz w:val="24"/>
          <w:szCs w:val="24"/>
          <w:vertAlign w:val="baseline"/>
          <w:lang w:val="en-US" w:eastAsia="zh-CN" w:bidi="ar-SA"/>
        </w:rPr>
        <w:t>）</w:t>
      </w:r>
      <w:r>
        <w:rPr>
          <w:rFonts w:hint="default" w:ascii="Times New Roman" w:hAnsi="Times New Roman" w:eastAsia="宋体" w:cs="Times New Roman"/>
          <w:color w:val="auto"/>
          <w:kern w:val="0"/>
          <w:sz w:val="24"/>
          <w:highlight w:val="none"/>
        </w:rPr>
        <w:t>噪声：</w:t>
      </w:r>
      <w:r>
        <w:rPr>
          <w:rFonts w:hint="eastAsia" w:ascii="Times New Roman" w:hAnsi="Times New Roman" w:cs="Times New Roman"/>
          <w:color w:val="auto"/>
          <w:kern w:val="0"/>
          <w:sz w:val="24"/>
          <w:highlight w:val="none"/>
          <w:lang w:val="en-US" w:eastAsia="zh-CN"/>
        </w:rPr>
        <w:t>本</w:t>
      </w:r>
      <w:r>
        <w:rPr>
          <w:rFonts w:hint="eastAsia"/>
          <w:color w:val="auto"/>
          <w:sz w:val="24"/>
          <w:highlight w:val="none"/>
        </w:rPr>
        <w:t>项目主要噪声为各种生产设备运行产生的噪声</w:t>
      </w:r>
      <w:r>
        <w:rPr>
          <w:rFonts w:hint="eastAsia"/>
          <w:color w:val="auto"/>
          <w:sz w:val="24"/>
          <w:highlight w:val="none"/>
          <w:lang w:eastAsia="zh-CN"/>
        </w:rPr>
        <w:t>。</w:t>
      </w:r>
    </w:p>
    <w:p w14:paraId="6A44ED5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olor w:val="auto"/>
          <w:sz w:val="24"/>
          <w:szCs w:val="32"/>
          <w:highlight w:val="none"/>
          <w:lang w:val="en-US" w:eastAsia="zh-CN"/>
        </w:rPr>
        <w:t>本项目实行</w:t>
      </w:r>
      <w:r>
        <w:rPr>
          <w:rFonts w:hint="eastAsia" w:ascii="Times New Roman" w:hAnsi="Times New Roman"/>
          <w:color w:val="auto"/>
          <w:sz w:val="24"/>
          <w:szCs w:val="32"/>
          <w:highlight w:val="none"/>
          <w:lang w:val="en-US" w:eastAsia="zh-CN"/>
        </w:rPr>
        <w:t>两</w:t>
      </w:r>
      <w:r>
        <w:rPr>
          <w:rFonts w:hint="default" w:ascii="Times New Roman" w:hAnsi="Times New Roman" w:eastAsia="宋体"/>
          <w:color w:val="auto"/>
          <w:sz w:val="24"/>
          <w:szCs w:val="32"/>
          <w:highlight w:val="none"/>
          <w:lang w:val="en-US" w:eastAsia="zh-CN"/>
        </w:rPr>
        <w:t>班制生产</w:t>
      </w:r>
      <w:r>
        <w:rPr>
          <w:rFonts w:hint="eastAsia" w:ascii="Times New Roman" w:hAnsi="Times New Roman"/>
          <w:color w:val="auto"/>
          <w:sz w:val="24"/>
          <w:szCs w:val="32"/>
          <w:highlight w:val="none"/>
          <w:lang w:val="en-US" w:eastAsia="zh-CN"/>
        </w:rPr>
        <w:t>，每班8h</w:t>
      </w:r>
      <w:r>
        <w:rPr>
          <w:rFonts w:hint="default" w:ascii="Times New Roman" w:hAnsi="Times New Roman" w:eastAsia="宋体"/>
          <w:color w:val="auto"/>
          <w:sz w:val="24"/>
          <w:szCs w:val="32"/>
          <w:highlight w:val="none"/>
          <w:lang w:val="en-US" w:eastAsia="zh-CN"/>
        </w:rPr>
        <w:t>，厂区噪声源主要为生产设备及辅助设施运行噪声，通过选用噪声低、振动小的设备；对风机等高噪声设备加设减振垫；合理布置设备位置；车间安装隔声门窗，生产时关闭门窗；加强生产现场管理和设备养护，减少或降低人为噪声。</w:t>
      </w:r>
    </w:p>
    <w:p w14:paraId="7AE76E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szCs w:val="24"/>
          <w:lang w:val="en-US" w:eastAsia="zh-CN" w:bidi="ar-SA"/>
        </w:rPr>
        <w:t>（</w:t>
      </w:r>
      <w:r>
        <w:rPr>
          <w:rFonts w:hint="eastAsia" w:ascii="Times New Roman" w:hAnsi="Times New Roman" w:cs="Times New Roman"/>
          <w:color w:val="auto"/>
          <w:kern w:val="0"/>
          <w:sz w:val="24"/>
          <w:szCs w:val="24"/>
          <w:lang w:val="en-US" w:eastAsia="zh-CN" w:bidi="ar-SA"/>
        </w:rPr>
        <w:t>四</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highlight w:val="none"/>
          <w:lang w:val="en-US" w:eastAsia="zh-CN"/>
        </w:rPr>
        <w:t>固废：本项目营运过程产生的固体废物可分为生活垃圾、一般固废和危险废物。</w:t>
      </w:r>
    </w:p>
    <w:p w14:paraId="7FB69D5B">
      <w:pPr>
        <w:keepNext w:val="0"/>
        <w:keepLines w:val="0"/>
        <w:widowControl w:val="0"/>
        <w:suppressLineNumbers w:val="0"/>
        <w:autoSpaceDE w:val="0"/>
        <w:autoSpaceDN/>
        <w:spacing w:before="0" w:beforeAutospacing="0" w:after="0" w:afterLines="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宋体"/>
          <w:color w:val="auto"/>
          <w:kern w:val="2"/>
          <w:sz w:val="24"/>
          <w:szCs w:val="24"/>
          <w:lang w:val="en-US" w:eastAsia="zh-CN" w:bidi="ar"/>
        </w:rPr>
        <w:t>本项目一般固废仓库位于</w:t>
      </w:r>
      <w:r>
        <w:rPr>
          <w:rFonts w:hint="eastAsia" w:ascii="Times New Roman" w:hAnsi="Times New Roman" w:cs="宋体"/>
          <w:color w:val="auto"/>
          <w:kern w:val="2"/>
          <w:sz w:val="24"/>
          <w:szCs w:val="24"/>
          <w:lang w:val="en-US" w:eastAsia="zh-CN" w:bidi="ar"/>
        </w:rPr>
        <w:t>车间东侧区域</w:t>
      </w:r>
      <w:r>
        <w:rPr>
          <w:rFonts w:hint="eastAsia" w:ascii="Times New Roman" w:hAnsi="Times New Roman" w:eastAsia="宋体" w:cs="宋体"/>
          <w:color w:val="auto"/>
          <w:kern w:val="2"/>
          <w:sz w:val="24"/>
          <w:szCs w:val="24"/>
          <w:lang w:val="en-US" w:eastAsia="zh-CN" w:bidi="ar"/>
        </w:rPr>
        <w:t>，存放废包装材料，</w:t>
      </w:r>
      <w:r>
        <w:rPr>
          <w:rFonts w:hint="default" w:ascii="Times New Roman" w:hAnsi="Times New Roman" w:eastAsia="宋体" w:cs="Times New Roman"/>
          <w:color w:val="auto"/>
          <w:kern w:val="2"/>
          <w:sz w:val="24"/>
          <w:szCs w:val="24"/>
          <w:lang w:val="en-US" w:eastAsia="zh-CN" w:bidi="ar"/>
        </w:rPr>
        <w:t>暂存点为水泥地面，能做到防扬散、防流失、防止雨水的冲刷及防渗漏等相关要求，各类一般废物定置分类存放；</w:t>
      </w:r>
    </w:p>
    <w:p w14:paraId="2087458E">
      <w:pPr>
        <w:keepNext w:val="0"/>
        <w:keepLines w:val="0"/>
        <w:widowControl w:val="0"/>
        <w:suppressLineNumbers w:val="0"/>
        <w:autoSpaceDE w:val="0"/>
        <w:autoSpaceDN/>
        <w:spacing w:before="0" w:beforeAutospacing="0" w:after="0" w:afterLines="0" w:afterAutospacing="0" w:line="360" w:lineRule="auto"/>
        <w:ind w:left="0" w:leftChars="0" w:right="0" w:firstLine="480" w:firstLineChars="200"/>
        <w:jc w:val="both"/>
        <w:rPr>
          <w:rFonts w:hint="eastAsia" w:ascii="Times New Roman" w:hAnsi="Times New Roman" w:eastAsia="宋体" w:cs="宋体"/>
          <w:color w:val="auto"/>
          <w:kern w:val="2"/>
          <w:sz w:val="24"/>
          <w:szCs w:val="24"/>
          <w:lang w:val="en-US" w:eastAsia="zh-CN" w:bidi="ar"/>
        </w:rPr>
      </w:pPr>
      <w:r>
        <w:rPr>
          <w:rFonts w:hint="default" w:ascii="Times New Roman" w:hAnsi="Times New Roman" w:eastAsia="宋体" w:cs="Times New Roman"/>
          <w:color w:val="auto"/>
          <w:sz w:val="24"/>
          <w:szCs w:val="24"/>
          <w:lang w:val="en-US" w:eastAsia="zh-CN"/>
        </w:rPr>
        <w:t>本项目危废仓库设置于车间二楼单独房间，存放</w:t>
      </w:r>
      <w:r>
        <w:rPr>
          <w:rFonts w:hint="default" w:ascii="Times New Roman" w:hAnsi="Times New Roman" w:eastAsia="宋体" w:cs="Times New Roman"/>
          <w:color w:val="auto"/>
          <w:spacing w:val="9"/>
          <w:sz w:val="24"/>
          <w:szCs w:val="24"/>
          <w:lang w:val="en-US" w:eastAsia="zh-CN"/>
        </w:rPr>
        <w:t>废抹布</w:t>
      </w:r>
      <w:r>
        <w:rPr>
          <w:rFonts w:hint="eastAsia" w:ascii="Times New Roman" w:hAnsi="Times New Roman" w:cs="Times New Roman"/>
          <w:color w:val="auto"/>
          <w:spacing w:val="9"/>
          <w:sz w:val="24"/>
          <w:szCs w:val="24"/>
          <w:lang w:val="en-US" w:eastAsia="zh-CN"/>
        </w:rPr>
        <w:t>、废油桶</w:t>
      </w:r>
      <w:r>
        <w:rPr>
          <w:rFonts w:hint="default" w:ascii="Times New Roman" w:hAnsi="Times New Roman" w:eastAsia="宋体" w:cs="Times New Roman"/>
          <w:color w:val="auto"/>
          <w:spacing w:val="9"/>
          <w:sz w:val="24"/>
          <w:szCs w:val="24"/>
          <w:lang w:val="en-US" w:eastAsia="zh-CN"/>
        </w:rPr>
        <w:t>、废活性炭、</w:t>
      </w:r>
      <w:r>
        <w:rPr>
          <w:rFonts w:hint="eastAsia" w:ascii="Times New Roman" w:hAnsi="Times New Roman" w:cs="Times New Roman"/>
          <w:color w:val="auto"/>
          <w:spacing w:val="9"/>
          <w:sz w:val="24"/>
          <w:szCs w:val="24"/>
          <w:lang w:val="en-US" w:eastAsia="zh-CN"/>
        </w:rPr>
        <w:t>废过滤棉</w:t>
      </w:r>
      <w:r>
        <w:rPr>
          <w:rFonts w:hint="default" w:ascii="Times New Roman" w:hAnsi="Times New Roman" w:eastAsia="宋体" w:cs="Times New Roman"/>
          <w:color w:val="auto"/>
          <w:sz w:val="24"/>
          <w:szCs w:val="24"/>
          <w:lang w:val="en-US" w:eastAsia="zh-CN"/>
        </w:rPr>
        <w:t>。危险废物集中收集后在危废仓库暂存，定期交由浙江悦胜环境科技有限公司等资质单位安全处置。危废库具备防腐防渗、防雨淋等措施，可以有效防止二次污染，规范建立了危废台账。</w:t>
      </w:r>
    </w:p>
    <w:p w14:paraId="7F677352">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五）环境风险防范措施：企业于2026年5月份编制完成了《浙江未智环绿环保科技有限公司突发环境事件应急预案》，并于2026年5月6日通过了安吉县环境应急与事故调查中心备案，备案号为330523-2026-065-L。针对可能产生的环境风险，企业设立了事故应急指挥领导小组，并定期开展演练，同时配备了相应的应急物资，包括灭火器，急救箱等。</w:t>
      </w:r>
    </w:p>
    <w:p w14:paraId="151FDEE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四、环境保护设施调试监测结果</w:t>
      </w:r>
    </w:p>
    <w:p w14:paraId="1C193513">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hint="eastAsia" w:ascii="Times New Roman" w:hAnsi="Times New Roman" w:cs="Times New Roman"/>
          <w:color w:val="auto"/>
          <w:kern w:val="0"/>
          <w:sz w:val="24"/>
          <w:highlight w:val="none"/>
          <w:lang w:val="en-US" w:eastAsia="zh-CN"/>
        </w:rPr>
        <w:t>中昱（浙江）环境监测股份有限公司</w:t>
      </w:r>
      <w:r>
        <w:rPr>
          <w:rFonts w:hint="default" w:ascii="Times New Roman" w:hAnsi="Times New Roman" w:eastAsia="宋体" w:cs="Times New Roman"/>
          <w:color w:val="auto"/>
          <w:kern w:val="0"/>
          <w:sz w:val="24"/>
          <w:highlight w:val="none"/>
        </w:rPr>
        <w:t>对</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项目进行了验收监测（报告编号：</w:t>
      </w:r>
      <w:r>
        <w:rPr>
          <w:rFonts w:hint="default" w:ascii="Times New Roman" w:hAnsi="Times New Roman" w:eastAsia="宋体" w:cs="Times New Roman"/>
          <w:snapToGrid/>
          <w:color w:val="auto"/>
          <w:spacing w:val="-3"/>
          <w:kern w:val="2"/>
          <w:sz w:val="24"/>
          <w:szCs w:val="24"/>
          <w:highlight w:val="none"/>
          <w:lang w:val="en-US" w:eastAsia="zh-CN" w:bidi="ar-SA"/>
        </w:rPr>
        <w:t>中昱环境（2026）检05-005号</w:t>
      </w:r>
      <w:r>
        <w:rPr>
          <w:rFonts w:hint="default" w:ascii="Times New Roman" w:hAnsi="Times New Roman" w:eastAsia="宋体" w:cs="Times New Roman"/>
          <w:color w:val="auto"/>
          <w:kern w:val="0"/>
          <w:sz w:val="24"/>
          <w:highlight w:val="none"/>
        </w:rPr>
        <w:t>）。监测期间，验收</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w:t>
      </w:r>
      <w:r>
        <w:rPr>
          <w:rFonts w:hint="eastAsia" w:ascii="Times New Roman" w:hAnsi="Times New Roman" w:cs="Times New Roman"/>
          <w:color w:val="auto"/>
          <w:kern w:val="0"/>
          <w:sz w:val="24"/>
          <w:highlight w:val="none"/>
          <w:lang w:val="en-US" w:eastAsia="zh-CN"/>
        </w:rPr>
        <w:t>时</w:t>
      </w:r>
      <w:r>
        <w:rPr>
          <w:rFonts w:hint="default" w:ascii="Times New Roman" w:hAnsi="Times New Roman" w:eastAsia="宋体" w:cs="Times New Roman"/>
          <w:color w:val="auto"/>
          <w:kern w:val="0"/>
          <w:sz w:val="24"/>
          <w:highlight w:val="none"/>
        </w:rPr>
        <w:t>生产工况正常，符合竣工验收工况负荷要求。</w:t>
      </w:r>
    </w:p>
    <w:p w14:paraId="4D65052A">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（一）环保设施处理效率</w:t>
      </w:r>
    </w:p>
    <w:p w14:paraId="283DC1D5">
      <w:pPr>
        <w:pStyle w:val="8"/>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（1）废水处理设施</w:t>
      </w:r>
    </w:p>
    <w:p w14:paraId="58CE7796">
      <w:pPr>
        <w:pStyle w:val="8"/>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cs="Times New Roman"/>
          <w:color w:val="auto"/>
          <w:sz w:val="24"/>
          <w:highlight w:val="none"/>
          <w:lang w:val="en-US" w:eastAsia="zh-CN"/>
        </w:rPr>
        <w:t>本</w:t>
      </w:r>
      <w:r>
        <w:rPr>
          <w:rFonts w:ascii="Times New Roman" w:hAnsi="Times New Roman" w:eastAsia="宋体" w:cs="Times New Roman"/>
          <w:color w:val="auto"/>
          <w:sz w:val="24"/>
          <w:highlight w:val="none"/>
        </w:rPr>
        <w:t>项目</w:t>
      </w:r>
      <w:r>
        <w:rPr>
          <w:rFonts w:hint="eastAsia" w:ascii="Times New Roman" w:hAnsi="Times New Roman" w:cs="Times New Roman"/>
          <w:color w:val="auto"/>
          <w:sz w:val="24"/>
          <w:highlight w:val="none"/>
          <w:lang w:val="en-US" w:eastAsia="zh-CN"/>
        </w:rPr>
        <w:t>无</w:t>
      </w:r>
      <w:r>
        <w:rPr>
          <w:rFonts w:ascii="Times New Roman" w:hAnsi="Times New Roman" w:eastAsia="宋体" w:cs="Times New Roman"/>
          <w:color w:val="auto"/>
          <w:sz w:val="24"/>
          <w:highlight w:val="none"/>
        </w:rPr>
        <w:t>生产废水</w:t>
      </w:r>
      <w:r>
        <w:rPr>
          <w:rFonts w:hint="eastAsia" w:ascii="Times New Roman" w:hAnsi="Times New Roman" w:cs="Times New Roman"/>
          <w:color w:val="auto"/>
          <w:sz w:val="24"/>
          <w:highlight w:val="none"/>
          <w:lang w:val="en-US" w:eastAsia="zh-CN"/>
        </w:rPr>
        <w:t>排放，不涉及</w:t>
      </w:r>
      <w:r>
        <w:rPr>
          <w:rFonts w:ascii="Times New Roman" w:hAnsi="Times New Roman" w:eastAsia="宋体" w:cs="Times New Roman"/>
          <w:color w:val="auto"/>
          <w:sz w:val="24"/>
          <w:highlight w:val="none"/>
        </w:rPr>
        <w:t>废水处理设施处理效率问题。</w:t>
      </w:r>
    </w:p>
    <w:p w14:paraId="19F9BD2E">
      <w:pPr>
        <w:pStyle w:val="8"/>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（2）废气处理设施</w:t>
      </w:r>
    </w:p>
    <w:p w14:paraId="76E4E01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污染物去除效率根据废气处理设施进出口检测数据计算，得到项目配备废气处理设施对排气筒污染物的去除效率，具体见下表。</w:t>
      </w:r>
    </w:p>
    <w:p w14:paraId="243C2E9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Lines="0" w:afterAutospacing="0" w:line="240" w:lineRule="auto"/>
        <w:ind w:left="0" w:right="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w:t>
      </w:r>
      <w:r>
        <w:rPr>
          <w:rFonts w:hint="eastAsia" w:ascii="Times New Roman" w:hAnsi="Times New Roman" w:eastAsia="宋体" w:cs="Times New Roman"/>
          <w:b/>
          <w:bCs/>
          <w:color w:val="auto"/>
          <w:kern w:val="2"/>
          <w:sz w:val="21"/>
          <w:szCs w:val="21"/>
          <w:highlight w:val="none"/>
          <w:lang w:val="en-US" w:eastAsia="zh-CN" w:bidi="ar-SA"/>
        </w:rPr>
        <w:t xml:space="preserve">1  </w:t>
      </w:r>
      <w:r>
        <w:rPr>
          <w:rFonts w:hint="default" w:ascii="Times New Roman" w:hAnsi="Times New Roman" w:eastAsia="宋体" w:cs="Times New Roman"/>
          <w:b/>
          <w:bCs/>
          <w:color w:val="auto"/>
          <w:kern w:val="2"/>
          <w:sz w:val="21"/>
          <w:szCs w:val="21"/>
          <w:highlight w:val="none"/>
          <w:lang w:val="en-US" w:eastAsia="zh-CN" w:bidi="ar-SA"/>
        </w:rPr>
        <w:t>废气处理效果一览表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46"/>
        <w:gridCol w:w="2024"/>
        <w:gridCol w:w="1983"/>
        <w:gridCol w:w="1985"/>
        <w:gridCol w:w="1816"/>
      </w:tblGrid>
      <w:tr w14:paraId="5D7C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8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4453A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废气处理设施</w:t>
            </w:r>
          </w:p>
        </w:tc>
        <w:tc>
          <w:tcPr>
            <w:tcW w:w="18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5869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污染物</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14:paraId="06BE648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进口</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tcPr>
          <w:p w14:paraId="42760D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出口</w:t>
            </w:r>
          </w:p>
        </w:tc>
        <w:tc>
          <w:tcPr>
            <w:tcW w:w="16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5199A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去除效率</w:t>
            </w:r>
            <w:r>
              <w:rPr>
                <w:rFonts w:hint="eastAsia" w:ascii="Times New Roman" w:hAnsi="Times New Roman" w:eastAsia="宋体" w:cs="Times New Roman"/>
                <w:b/>
                <w:bCs/>
                <w:color w:val="auto"/>
                <w:kern w:val="2"/>
                <w:sz w:val="21"/>
                <w:szCs w:val="21"/>
                <w:lang w:val="en-US" w:eastAsia="zh-CN" w:bidi="ar"/>
              </w:rPr>
              <w:t>（%）</w:t>
            </w:r>
          </w:p>
        </w:tc>
      </w:tr>
      <w:tr w14:paraId="0567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8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528E0">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0"/>
                <w:szCs w:val="20"/>
              </w:rPr>
            </w:pPr>
          </w:p>
        </w:tc>
        <w:tc>
          <w:tcPr>
            <w:tcW w:w="18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3FBD22">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0"/>
                <w:szCs w:val="20"/>
              </w:rPr>
            </w:pP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14:paraId="31EDCBB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平均速率（kg/h）</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tcPr>
          <w:p w14:paraId="7E7153A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平均速率（kg/h）</w:t>
            </w:r>
          </w:p>
        </w:tc>
        <w:tc>
          <w:tcPr>
            <w:tcW w:w="16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C9C93">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0"/>
                <w:szCs w:val="20"/>
              </w:rPr>
            </w:pPr>
          </w:p>
        </w:tc>
      </w:tr>
      <w:tr w14:paraId="64F8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882" w:type="dxa"/>
            <w:vMerge w:val="restart"/>
            <w:tcBorders>
              <w:top w:val="nil"/>
              <w:left w:val="single" w:color="auto" w:sz="4" w:space="0"/>
              <w:right w:val="single" w:color="auto" w:sz="4" w:space="0"/>
            </w:tcBorders>
            <w:shd w:val="clear" w:color="auto" w:fill="auto"/>
            <w:vAlign w:val="center"/>
          </w:tcPr>
          <w:p w14:paraId="31753A1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过滤棉吸附+二级活性炭吸附</w:t>
            </w:r>
          </w:p>
        </w:tc>
        <w:tc>
          <w:tcPr>
            <w:tcW w:w="1861" w:type="dxa"/>
            <w:tcBorders>
              <w:top w:val="nil"/>
              <w:left w:val="single" w:color="auto" w:sz="4" w:space="0"/>
              <w:right w:val="single" w:color="auto" w:sz="4" w:space="0"/>
            </w:tcBorders>
            <w:shd w:val="clear" w:color="auto" w:fill="auto"/>
            <w:vAlign w:val="center"/>
          </w:tcPr>
          <w:p w14:paraId="5CF9070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非甲烷总烃</w:t>
            </w:r>
          </w:p>
          <w:p w14:paraId="0656E5C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2026.5.8</w:t>
            </w:r>
            <w:r>
              <w:rPr>
                <w:rFonts w:hint="default" w:ascii="Times New Roman" w:hAnsi="Times New Roman" w:eastAsia="宋体" w:cs="Times New Roman"/>
                <w:color w:val="auto"/>
                <w:lang w:val="en-US" w:eastAsia="zh-CN"/>
              </w:rPr>
              <w:t>）</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14:paraId="7C220A0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0.022</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tcPr>
          <w:p w14:paraId="7D6252E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5.4*10</w:t>
            </w:r>
            <w:r>
              <w:rPr>
                <w:rFonts w:hint="eastAsia" w:ascii="Times New Roman" w:hAnsi="Times New Roman" w:eastAsia="宋体" w:cs="Times New Roman"/>
                <w:color w:val="auto"/>
                <w:kern w:val="2"/>
                <w:sz w:val="21"/>
                <w:szCs w:val="21"/>
                <w:vertAlign w:val="superscript"/>
                <w:lang w:val="en-US" w:eastAsia="zh-CN" w:bidi="ar"/>
              </w:rPr>
              <w:t>-3</w:t>
            </w:r>
          </w:p>
        </w:tc>
        <w:tc>
          <w:tcPr>
            <w:tcW w:w="1670" w:type="dxa"/>
            <w:tcBorders>
              <w:top w:val="single" w:color="auto" w:sz="4" w:space="0"/>
              <w:left w:val="single" w:color="auto" w:sz="4" w:space="0"/>
              <w:right w:val="single" w:color="auto" w:sz="4" w:space="0"/>
            </w:tcBorders>
            <w:shd w:val="clear" w:color="auto" w:fill="auto"/>
            <w:vAlign w:val="center"/>
          </w:tcPr>
          <w:p w14:paraId="3EAEC2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75.5</w:t>
            </w:r>
          </w:p>
        </w:tc>
      </w:tr>
      <w:tr w14:paraId="687E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882" w:type="dxa"/>
            <w:vMerge w:val="continue"/>
            <w:tcBorders>
              <w:left w:val="single" w:color="auto" w:sz="4" w:space="0"/>
              <w:right w:val="single" w:color="auto" w:sz="4" w:space="0"/>
            </w:tcBorders>
            <w:shd w:val="clear" w:color="auto" w:fill="auto"/>
            <w:vAlign w:val="center"/>
          </w:tcPr>
          <w:p w14:paraId="6C0A6DE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
              </w:rPr>
            </w:pPr>
          </w:p>
        </w:tc>
        <w:tc>
          <w:tcPr>
            <w:tcW w:w="1861" w:type="dxa"/>
            <w:tcBorders>
              <w:left w:val="single" w:color="auto" w:sz="4" w:space="0"/>
              <w:right w:val="single" w:color="auto" w:sz="4" w:space="0"/>
            </w:tcBorders>
            <w:shd w:val="clear" w:color="auto" w:fill="auto"/>
            <w:vAlign w:val="center"/>
          </w:tcPr>
          <w:p w14:paraId="53DB798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非甲烷总烃（202</w:t>
            </w:r>
            <w:r>
              <w:rPr>
                <w:rFonts w:hint="eastAsia" w:ascii="Times New Roman" w:hAnsi="Times New Roman" w:eastAsia="宋体" w:cs="Times New Roman"/>
                <w:color w:val="auto"/>
                <w:kern w:val="2"/>
                <w:sz w:val="21"/>
                <w:szCs w:val="21"/>
                <w:lang w:val="en-US" w:eastAsia="zh-CN" w:bidi="ar"/>
              </w:rPr>
              <w:t>6.5.9</w:t>
            </w:r>
            <w:r>
              <w:rPr>
                <w:rFonts w:hint="default" w:ascii="Times New Roman" w:hAnsi="Times New Roman" w:eastAsia="宋体" w:cs="Times New Roman"/>
                <w:color w:val="auto"/>
                <w:kern w:val="2"/>
                <w:sz w:val="21"/>
                <w:szCs w:val="21"/>
                <w:lang w:val="en-US" w:eastAsia="zh-CN" w:bidi="ar"/>
              </w:rPr>
              <w:t>）</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14:paraId="70F4729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0.0294</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tcPr>
          <w:p w14:paraId="30DDC57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9.81*10</w:t>
            </w:r>
            <w:r>
              <w:rPr>
                <w:rFonts w:hint="eastAsia" w:ascii="Times New Roman" w:hAnsi="Times New Roman" w:eastAsia="宋体" w:cs="Times New Roman"/>
                <w:color w:val="auto"/>
                <w:kern w:val="2"/>
                <w:sz w:val="21"/>
                <w:szCs w:val="21"/>
                <w:vertAlign w:val="superscript"/>
                <w:lang w:val="en-US" w:eastAsia="zh-CN" w:bidi="ar"/>
              </w:rPr>
              <w:t>-3</w:t>
            </w:r>
          </w:p>
        </w:tc>
        <w:tc>
          <w:tcPr>
            <w:tcW w:w="1670" w:type="dxa"/>
            <w:tcBorders>
              <w:left w:val="single" w:color="auto" w:sz="4" w:space="0"/>
              <w:right w:val="single" w:color="auto" w:sz="4" w:space="0"/>
            </w:tcBorders>
            <w:shd w:val="clear" w:color="auto" w:fill="auto"/>
            <w:vAlign w:val="center"/>
          </w:tcPr>
          <w:p w14:paraId="49FBD8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66.6</w:t>
            </w:r>
          </w:p>
        </w:tc>
      </w:tr>
      <w:tr w14:paraId="063F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62" w:type="dxa"/>
            <w:gridSpan w:val="5"/>
            <w:tcBorders>
              <w:left w:val="single" w:color="auto" w:sz="4" w:space="0"/>
              <w:right w:val="single" w:color="auto" w:sz="4" w:space="0"/>
            </w:tcBorders>
            <w:shd w:val="clear" w:color="auto" w:fill="auto"/>
            <w:vAlign w:val="center"/>
          </w:tcPr>
          <w:p w14:paraId="302276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注：*根据《二级活性炭吸附法在小微企业VOCs末端治理中的应用研究》（夏兆昌，曹梦如.安徽化工.2021,6:93~94）中的“二级活性炭吸附法的处理效率跟进口浓度成正比例关系，处理效率随着进口浓度的增加而升高。VOCs浓度越高，气体分子活性越高，与活性炭接触越充分，从而处理效率越高”；企业实际验收监测期间污染物产生浓度较小，低于环评审批污染物产生浓度，故去除效率也略低于环评审批，但排放口非甲烷总烃的排放浓度、排放速率和排放量均在环评及环评审批范围内。</w:t>
            </w:r>
          </w:p>
        </w:tc>
      </w:tr>
    </w:tbl>
    <w:p w14:paraId="12FBA25C">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3</w:t>
      </w:r>
      <w:r>
        <w:rPr>
          <w:rFonts w:ascii="Times New Roman" w:hAnsi="Times New Roman" w:eastAsia="宋体" w:cs="Times New Roman"/>
          <w:color w:val="auto"/>
          <w:sz w:val="24"/>
          <w:szCs w:val="32"/>
          <w:highlight w:val="none"/>
        </w:rPr>
        <w:t>）厂界噪声治理设施</w:t>
      </w:r>
    </w:p>
    <w:p w14:paraId="66E9EE7B">
      <w:pPr>
        <w:pStyle w:val="8"/>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lang w:bidi="ar"/>
        </w:rPr>
        <w:t>监测结果显示：</w:t>
      </w:r>
      <w:r>
        <w:rPr>
          <w:rFonts w:hint="eastAsia" w:ascii="Times New Roman" w:hAnsi="Times New Roman" w:cs="Times New Roman"/>
          <w:color w:val="auto"/>
          <w:sz w:val="24"/>
          <w:highlight w:val="none"/>
          <w:lang w:val="en-US" w:eastAsia="zh-CN" w:bidi="ar"/>
        </w:rPr>
        <w:t>本</w:t>
      </w:r>
      <w:r>
        <w:rPr>
          <w:rFonts w:ascii="Times New Roman" w:hAnsi="Times New Roman" w:eastAsia="宋体" w:cs="Times New Roman"/>
          <w:color w:val="auto"/>
          <w:sz w:val="24"/>
          <w:highlight w:val="none"/>
        </w:rPr>
        <w:t>项目</w:t>
      </w:r>
      <w:r>
        <w:rPr>
          <w:rFonts w:hint="eastAsia" w:ascii="Times New Roman" w:hAnsi="Times New Roman" w:cs="Times New Roman"/>
          <w:color w:val="auto"/>
          <w:sz w:val="24"/>
          <w:highlight w:val="none"/>
          <w:lang w:val="en-US" w:eastAsia="zh-CN"/>
        </w:rPr>
        <w:t>东</w:t>
      </w:r>
      <w:r>
        <w:rPr>
          <w:rFonts w:hint="default" w:ascii="Times New Roman" w:hAnsi="Times New Roman" w:eastAsia="宋体" w:cs="Times New Roman"/>
          <w:color w:val="auto"/>
          <w:sz w:val="24"/>
          <w:highlight w:val="none"/>
          <w:lang w:val="en-US" w:eastAsia="zh-CN"/>
        </w:rPr>
        <w:t>侧厂界昼间噪声排放满足《工业企业厂界环境噪声排放标准》（GB12348-2008）中的4类标准，其余厂界昼间噪声排放满足《工业企业厂界环境噪声排放标准》（GB12348-2008）中的3类标准</w:t>
      </w:r>
      <w:r>
        <w:rPr>
          <w:rFonts w:hint="eastAsia" w:ascii="Times New Roman" w:hAnsi="Times New Roman" w:cs="Times New Roman"/>
          <w:color w:val="auto"/>
          <w:sz w:val="24"/>
          <w:highlight w:val="none"/>
          <w:lang w:val="en-US" w:eastAsia="zh-CN"/>
        </w:rPr>
        <w:t>，说明本项目采取的噪声防治措施合理。</w:t>
      </w:r>
    </w:p>
    <w:p w14:paraId="3CC088B7">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4</w:t>
      </w:r>
      <w:r>
        <w:rPr>
          <w:rFonts w:ascii="Times New Roman" w:hAnsi="Times New Roman" w:eastAsia="宋体" w:cs="Times New Roman"/>
          <w:color w:val="auto"/>
          <w:sz w:val="24"/>
          <w:szCs w:val="32"/>
          <w:highlight w:val="none"/>
        </w:rPr>
        <w:t>）固体废物治理设施</w:t>
      </w:r>
    </w:p>
    <w:p w14:paraId="4B937A03">
      <w:pPr>
        <w:pStyle w:val="8"/>
        <w:spacing w:line="360" w:lineRule="auto"/>
        <w:ind w:firstLine="360" w:firstLineChars="150"/>
        <w:rPr>
          <w:rFonts w:hint="default" w:ascii="Times New Roman" w:hAnsi="Times New Roman" w:cs="Times New Roman"/>
          <w:color w:val="auto"/>
          <w:kern w:val="0"/>
          <w:sz w:val="24"/>
          <w:highlight w:val="none"/>
          <w:lang w:val="en-US" w:eastAsia="zh-CN"/>
        </w:rPr>
      </w:pPr>
      <w:r>
        <w:rPr>
          <w:rFonts w:hint="eastAsia" w:ascii="Times New Roman" w:hAnsi="Times New Roman" w:cs="Times New Roman"/>
          <w:color w:val="auto"/>
          <w:sz w:val="24"/>
          <w:szCs w:val="32"/>
          <w:highlight w:val="none"/>
          <w:lang w:val="en-US" w:eastAsia="zh-CN"/>
        </w:rPr>
        <w:t>本</w:t>
      </w:r>
      <w:r>
        <w:rPr>
          <w:rFonts w:ascii="Times New Roman" w:hAnsi="Times New Roman" w:eastAsia="宋体" w:cs="Times New Roman"/>
          <w:color w:val="auto"/>
          <w:sz w:val="24"/>
          <w:szCs w:val="32"/>
          <w:highlight w:val="none"/>
        </w:rPr>
        <w:t>项目固废均委托外单位进行处置，自身不配备</w:t>
      </w:r>
      <w:r>
        <w:rPr>
          <w:rFonts w:hint="eastAsia" w:ascii="Times New Roman" w:hAnsi="Times New Roman" w:cs="Times New Roman"/>
          <w:color w:val="auto"/>
          <w:sz w:val="24"/>
          <w:szCs w:val="32"/>
          <w:highlight w:val="none"/>
          <w:lang w:eastAsia="zh-CN"/>
        </w:rPr>
        <w:t>固体废物处理</w:t>
      </w:r>
      <w:r>
        <w:rPr>
          <w:rFonts w:ascii="Times New Roman" w:hAnsi="Times New Roman" w:eastAsia="宋体" w:cs="Times New Roman"/>
          <w:color w:val="auto"/>
          <w:sz w:val="24"/>
          <w:szCs w:val="32"/>
          <w:highlight w:val="none"/>
        </w:rPr>
        <w:t>设施。</w:t>
      </w:r>
      <w:r>
        <w:rPr>
          <w:rFonts w:hint="eastAsia" w:ascii="Times New Roman" w:hAnsi="Times New Roman" w:cs="Times New Roman"/>
          <w:color w:val="auto"/>
          <w:kern w:val="0"/>
          <w:sz w:val="24"/>
          <w:highlight w:val="none"/>
          <w:lang w:val="en-US" w:eastAsia="zh-CN"/>
        </w:rPr>
        <w:t>生活垃圾集中收集后委托当地环卫部门清运处理；边角料及次品、收集的粉尘收集后回用于生产；一般固体废物收集后出售给废旧物资回收公司；危险废物集中收集后委托浙江悦胜环境科技有限公司等资质单位安全处置。</w:t>
      </w:r>
    </w:p>
    <w:p w14:paraId="15FBFDA3">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（二）污染物排放情况</w:t>
      </w:r>
    </w:p>
    <w:p w14:paraId="4796FA7A">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（1）噪声污染物排放评价</w:t>
      </w:r>
    </w:p>
    <w:p w14:paraId="32CDB706">
      <w:pPr>
        <w:spacing w:line="360" w:lineRule="auto"/>
        <w:ind w:firstLine="360" w:firstLineChars="150"/>
        <w:rPr>
          <w:rFonts w:hint="default" w:ascii="Times New Roman" w:hAnsi="Times New Roman" w:eastAsia="宋体"/>
          <w:color w:val="auto"/>
          <w:kern w:val="0"/>
          <w:sz w:val="24"/>
          <w:highlight w:val="none"/>
          <w:lang w:val="en-US" w:eastAsia="zh-CN"/>
        </w:rPr>
      </w:pPr>
      <w:r>
        <w:rPr>
          <w:rFonts w:hint="default" w:ascii="Times New Roman" w:hAnsi="Times New Roman" w:eastAsia="宋体"/>
          <w:color w:val="auto"/>
          <w:kern w:val="0"/>
          <w:sz w:val="24"/>
          <w:highlight w:val="none"/>
          <w:lang w:val="en-US" w:eastAsia="zh-CN"/>
        </w:rPr>
        <w:t>由检测结果可知，本项目东侧厂界昼间噪声排放满足《工业企业厂界环境噪声排放标准》（GB12348-2008）中的4类标准，其余厂界昼间噪声排放满足《工业企业厂界环境噪声排放标准》（GB12348-2008）中的3类标准。</w:t>
      </w:r>
    </w:p>
    <w:p w14:paraId="68798927">
      <w:pPr>
        <w:spacing w:line="360" w:lineRule="auto"/>
        <w:ind w:firstLine="360" w:firstLineChars="150"/>
        <w:rPr>
          <w:rFonts w:ascii="Times New Roman" w:hAnsi="Times New Roman" w:eastAsia="宋体"/>
          <w:color w:val="auto"/>
          <w:kern w:val="0"/>
          <w:sz w:val="24"/>
          <w:highlight w:val="none"/>
        </w:rPr>
      </w:pPr>
      <w:r>
        <w:rPr>
          <w:rFonts w:ascii="Times New Roman" w:hAnsi="Times New Roman" w:eastAsia="宋体"/>
          <w:color w:val="auto"/>
          <w:sz w:val="24"/>
          <w:szCs w:val="32"/>
          <w:highlight w:val="none"/>
        </w:rPr>
        <w:t>（</w:t>
      </w:r>
      <w:r>
        <w:rPr>
          <w:rFonts w:ascii="Times New Roman" w:hAnsi="Times New Roman" w:eastAsia="宋体"/>
          <w:color w:val="auto"/>
          <w:kern w:val="0"/>
          <w:sz w:val="24"/>
          <w:highlight w:val="none"/>
        </w:rPr>
        <w:t>2）废气污染物排放评价</w:t>
      </w:r>
    </w:p>
    <w:p w14:paraId="13D2ED23">
      <w:pPr>
        <w:spacing w:line="360" w:lineRule="auto"/>
        <w:ind w:firstLine="360" w:firstLineChars="15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由检测结果可知，本项目挥发废气中非甲烷总烃有组织排放浓度满足《合成树脂工业污染物排放标准》（GB31572-2015，含2024年修改单）表5中大气污染物特别排放限值；臭气浓度有组织排放满足《恶臭污染物排放标准》（GB14554-93）表2中的恶臭污染物排放标准值。</w:t>
      </w:r>
    </w:p>
    <w:p w14:paraId="0F6AEA6B">
      <w:pPr>
        <w:spacing w:line="360" w:lineRule="auto"/>
        <w:ind w:firstLine="360" w:firstLineChars="15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由检测结果可知，本项目厂界臭气浓度无组织排放浓度满足《恶臭污染物排放标准》（GB14554-93）表1中的厂界标准值；非甲烷总烃、颗粒物无组织排放浓度满足</w:t>
      </w:r>
      <w:r>
        <w:rPr>
          <w:rFonts w:hint="default" w:ascii="Times New Roman" w:hAnsi="Times New Roman" w:eastAsia="宋体" w:cs="Times New Roman"/>
          <w:b w:val="0"/>
          <w:bCs w:val="0"/>
          <w:color w:val="auto"/>
          <w:kern w:val="2"/>
          <w:sz w:val="24"/>
          <w:szCs w:val="24"/>
          <w:lang w:val="en-US" w:eastAsia="zh-CN" w:bidi="ar-SA"/>
        </w:rPr>
        <w:t>《合成树脂工业污染物排放标准》（GB31572-2015，含2024年修改单）</w:t>
      </w:r>
      <w:r>
        <w:rPr>
          <w:rFonts w:hint="default" w:ascii="Times New Roman" w:hAnsi="Times New Roman" w:eastAsia="宋体" w:cs="Times New Roman"/>
          <w:color w:val="auto"/>
          <w:kern w:val="2"/>
          <w:sz w:val="24"/>
          <w:szCs w:val="24"/>
          <w:lang w:val="en-US" w:eastAsia="zh-CN" w:bidi="ar-SA"/>
        </w:rPr>
        <w:t>表9中企业边界大气污染物浓度限值；非甲烷总烃厂区内无组织排放浓度满足《挥发性有机物无组织排放控制标准》（GB37822-2019）表A.1中的特别排放限值。</w:t>
      </w:r>
    </w:p>
    <w:p w14:paraId="5A37792A">
      <w:pPr>
        <w:spacing w:line="360" w:lineRule="auto"/>
        <w:ind w:firstLine="360" w:firstLineChars="150"/>
        <w:rPr>
          <w:rFonts w:ascii="Times New Roman" w:hAnsi="Times New Roman" w:eastAsia="宋体"/>
          <w:color w:val="auto"/>
          <w:kern w:val="0"/>
          <w:sz w:val="24"/>
          <w:highlight w:val="none"/>
        </w:rPr>
      </w:pPr>
      <w:r>
        <w:rPr>
          <w:rFonts w:ascii="Times New Roman" w:hAnsi="Times New Roman" w:eastAsia="宋体"/>
          <w:color w:val="auto"/>
          <w:sz w:val="24"/>
          <w:szCs w:val="32"/>
          <w:highlight w:val="none"/>
        </w:rPr>
        <w:t>（</w:t>
      </w:r>
      <w:r>
        <w:rPr>
          <w:rFonts w:ascii="Times New Roman" w:hAnsi="Times New Roman" w:eastAsia="宋体"/>
          <w:color w:val="auto"/>
          <w:kern w:val="0"/>
          <w:sz w:val="24"/>
          <w:highlight w:val="none"/>
        </w:rPr>
        <w:t>3）废水污染物排放评价</w:t>
      </w:r>
    </w:p>
    <w:p w14:paraId="2448F553">
      <w:pPr>
        <w:spacing w:line="360" w:lineRule="auto"/>
        <w:ind w:firstLine="360" w:firstLineChars="15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由检测结果可知，本项目污水总排口中pH值、化学需氧量、氨氮、悬浮物、五日生化需氧量排放浓度满足安吉净源污水处理有限公司城北污水处理厂的纳管进水标准。</w:t>
      </w:r>
    </w:p>
    <w:p w14:paraId="614C9BF1">
      <w:pPr>
        <w:spacing w:line="360" w:lineRule="auto"/>
        <w:ind w:firstLine="360" w:firstLineChars="150"/>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（4）污染物排放总量</w:t>
      </w:r>
    </w:p>
    <w:p w14:paraId="494143A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根据</w:t>
      </w:r>
      <w:r>
        <w:rPr>
          <w:rFonts w:hint="eastAsia" w:ascii="Times New Roman" w:hAnsi="Times New Roman" w:eastAsia="宋体" w:cs="Times New Roman"/>
          <w:color w:val="auto"/>
          <w:kern w:val="2"/>
          <w:sz w:val="24"/>
          <w:szCs w:val="24"/>
          <w:highlight w:val="none"/>
          <w:lang w:val="en-US" w:eastAsia="zh-CN" w:bidi="ar"/>
        </w:rPr>
        <w:t>企业</w:t>
      </w:r>
      <w:r>
        <w:rPr>
          <w:rFonts w:hint="default" w:ascii="Times New Roman" w:hAnsi="Times New Roman" w:eastAsia="宋体" w:cs="Times New Roman"/>
          <w:color w:val="auto"/>
          <w:kern w:val="2"/>
          <w:sz w:val="24"/>
          <w:szCs w:val="24"/>
          <w:highlight w:val="none"/>
          <w:lang w:val="en-US" w:eastAsia="zh-CN" w:bidi="ar"/>
        </w:rPr>
        <w:t>的生产情况和验收监测结果，核算实际主要污染物排放总量控制指标COD</w:t>
      </w:r>
      <w:r>
        <w:rPr>
          <w:rFonts w:hint="default" w:ascii="Times New Roman" w:hAnsi="Times New Roman" w:eastAsia="宋体" w:cs="Times New Roman"/>
          <w:color w:val="auto"/>
          <w:kern w:val="2"/>
          <w:sz w:val="24"/>
          <w:szCs w:val="24"/>
          <w:highlight w:val="none"/>
          <w:vertAlign w:val="subscript"/>
          <w:lang w:val="en-US" w:eastAsia="zh-CN" w:bidi="ar"/>
        </w:rPr>
        <w:t>Cr</w:t>
      </w:r>
      <w:r>
        <w:rPr>
          <w:rFonts w:hint="default" w:ascii="Times New Roman" w:hAnsi="Times New Roman" w:eastAsia="宋体" w:cs="Times New Roman"/>
          <w:color w:val="auto"/>
          <w:kern w:val="2"/>
          <w:sz w:val="24"/>
          <w:szCs w:val="24"/>
          <w:highlight w:val="none"/>
          <w:lang w:val="en-US" w:eastAsia="zh-CN" w:bidi="ar"/>
        </w:rPr>
        <w:t>、NH</w:t>
      </w:r>
      <w:r>
        <w:rPr>
          <w:rFonts w:hint="default" w:ascii="Times New Roman" w:hAnsi="Times New Roman" w:eastAsia="宋体" w:cs="Times New Roman"/>
          <w:color w:val="auto"/>
          <w:kern w:val="2"/>
          <w:sz w:val="24"/>
          <w:szCs w:val="24"/>
          <w:highlight w:val="none"/>
          <w:vertAlign w:val="sub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-N</w:t>
      </w:r>
      <w:r>
        <w:rPr>
          <w:rFonts w:hint="eastAsia" w:ascii="Times New Roman" w:hAnsi="Times New Roman" w:eastAsia="宋体" w:cs="Times New Roman"/>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挥发性有机物（VOCs）</w:t>
      </w:r>
      <w:r>
        <w:rPr>
          <w:rFonts w:hint="eastAsia" w:ascii="Times New Roman" w:hAnsi="Times New Roman" w:cs="Times New Roman"/>
          <w:color w:val="auto"/>
          <w:kern w:val="2"/>
          <w:sz w:val="24"/>
          <w:szCs w:val="24"/>
          <w:highlight w:val="none"/>
          <w:lang w:val="en-US" w:eastAsia="zh-CN" w:bidi="ar"/>
        </w:rPr>
        <w:t>、颗粒物</w:t>
      </w:r>
      <w:r>
        <w:rPr>
          <w:rFonts w:hint="default" w:ascii="Times New Roman" w:hAnsi="Times New Roman" w:eastAsia="宋体" w:cs="Times New Roman"/>
          <w:color w:val="auto"/>
          <w:kern w:val="2"/>
          <w:sz w:val="24"/>
          <w:szCs w:val="24"/>
          <w:highlight w:val="none"/>
          <w:lang w:val="en-US" w:eastAsia="zh-CN" w:bidi="ar"/>
        </w:rPr>
        <w:t>排放总量，具体见下表。</w:t>
      </w:r>
    </w:p>
    <w:p w14:paraId="1376E93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Lines="0" w:afterAutospacing="0" w:line="240" w:lineRule="auto"/>
        <w:ind w:left="0" w:right="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w:t>
      </w:r>
      <w:r>
        <w:rPr>
          <w:rFonts w:hint="eastAsia" w:ascii="Times New Roman" w:hAnsi="Times New Roman" w:eastAsia="宋体" w:cs="Times New Roman"/>
          <w:b/>
          <w:bCs/>
          <w:color w:val="auto"/>
          <w:kern w:val="2"/>
          <w:sz w:val="21"/>
          <w:szCs w:val="21"/>
          <w:highlight w:val="none"/>
          <w:lang w:val="en-US" w:eastAsia="zh-CN" w:bidi="ar-SA"/>
        </w:rPr>
        <w:t>2</w:t>
      </w:r>
      <w:r>
        <w:rPr>
          <w:rFonts w:hint="default" w:ascii="Times New Roman" w:hAnsi="Times New Roman" w:eastAsia="宋体" w:cs="Times New Roman"/>
          <w:b/>
          <w:bCs/>
          <w:color w:val="auto"/>
          <w:kern w:val="2"/>
          <w:sz w:val="21"/>
          <w:szCs w:val="21"/>
          <w:highlight w:val="none"/>
          <w:lang w:val="en-US" w:eastAsia="zh-CN" w:bidi="ar-SA"/>
        </w:rPr>
        <w:t xml:space="preserve">  实际污染物排放总量控制指标核算表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644"/>
        <w:gridCol w:w="1451"/>
        <w:gridCol w:w="1446"/>
        <w:gridCol w:w="1458"/>
        <w:gridCol w:w="2948"/>
      </w:tblGrid>
      <w:tr w14:paraId="6A83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noWrap w:val="0"/>
            <w:vAlign w:val="center"/>
          </w:tcPr>
          <w:p w14:paraId="0C3FFD7E">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类别</w:t>
            </w:r>
          </w:p>
        </w:tc>
        <w:tc>
          <w:tcPr>
            <w:tcW w:w="1570" w:type="pct"/>
            <w:gridSpan w:val="2"/>
            <w:noWrap w:val="0"/>
            <w:vAlign w:val="center"/>
          </w:tcPr>
          <w:p w14:paraId="5EFF6899">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总量控制指标名称</w:t>
            </w:r>
          </w:p>
        </w:tc>
        <w:tc>
          <w:tcPr>
            <w:tcW w:w="1473" w:type="pct"/>
            <w:gridSpan w:val="2"/>
            <w:noWrap w:val="0"/>
            <w:vAlign w:val="center"/>
          </w:tcPr>
          <w:p w14:paraId="63B5133F">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审批排放量</w:t>
            </w:r>
            <w:r>
              <w:rPr>
                <w:rFonts w:hint="default" w:ascii="Times New Roman" w:hAnsi="Times New Roman" w:eastAsia="宋体" w:cs="Times New Roman"/>
                <w:b/>
                <w:bCs w:val="0"/>
                <w:color w:val="auto"/>
                <w:sz w:val="21"/>
                <w:szCs w:val="21"/>
                <w:highlight w:val="none"/>
              </w:rPr>
              <w:t>（t/a）</w:t>
            </w:r>
          </w:p>
        </w:tc>
        <w:tc>
          <w:tcPr>
            <w:tcW w:w="1495" w:type="pct"/>
            <w:noWrap w:val="0"/>
            <w:vAlign w:val="center"/>
          </w:tcPr>
          <w:p w14:paraId="3297E6A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实际排放量（t/a）</w:t>
            </w:r>
          </w:p>
        </w:tc>
      </w:tr>
      <w:tr w14:paraId="442D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restart"/>
            <w:noWrap w:val="0"/>
            <w:vAlign w:val="center"/>
          </w:tcPr>
          <w:p w14:paraId="6683FA66">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废水</w:t>
            </w:r>
          </w:p>
        </w:tc>
        <w:tc>
          <w:tcPr>
            <w:tcW w:w="1570" w:type="pct"/>
            <w:gridSpan w:val="2"/>
            <w:noWrap w:val="0"/>
            <w:vAlign w:val="center"/>
          </w:tcPr>
          <w:p w14:paraId="5B47DAF8">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eastAsia="zh-CN"/>
              </w:rPr>
              <w:t>水量</w:t>
            </w:r>
          </w:p>
        </w:tc>
        <w:tc>
          <w:tcPr>
            <w:tcW w:w="1473" w:type="pct"/>
            <w:gridSpan w:val="2"/>
            <w:shd w:val="clear" w:color="auto" w:fill="auto"/>
            <w:noWrap w:val="0"/>
            <w:vAlign w:val="center"/>
          </w:tcPr>
          <w:p w14:paraId="421B71A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300</w:t>
            </w:r>
          </w:p>
        </w:tc>
        <w:tc>
          <w:tcPr>
            <w:tcW w:w="1495" w:type="pct"/>
            <w:shd w:val="clear" w:color="auto" w:fill="auto"/>
            <w:noWrap w:val="0"/>
            <w:vAlign w:val="center"/>
          </w:tcPr>
          <w:p w14:paraId="6D40E66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300</w:t>
            </w:r>
          </w:p>
        </w:tc>
      </w:tr>
      <w:tr w14:paraId="0FE0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noWrap w:val="0"/>
            <w:vAlign w:val="center"/>
          </w:tcPr>
          <w:p w14:paraId="7B52EAE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p>
        </w:tc>
        <w:tc>
          <w:tcPr>
            <w:tcW w:w="1570" w:type="pct"/>
            <w:gridSpan w:val="2"/>
            <w:noWrap w:val="0"/>
            <w:vAlign w:val="center"/>
          </w:tcPr>
          <w:p w14:paraId="6BD0DB3C">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COD</w:t>
            </w:r>
            <w:r>
              <w:rPr>
                <w:rFonts w:hint="default" w:ascii="Times New Roman" w:hAnsi="Times New Roman" w:eastAsia="宋体" w:cs="Times New Roman"/>
                <w:b w:val="0"/>
                <w:bCs w:val="0"/>
                <w:color w:val="auto"/>
                <w:sz w:val="21"/>
                <w:szCs w:val="21"/>
                <w:highlight w:val="none"/>
                <w:vertAlign w:val="subscript"/>
              </w:rPr>
              <w:t>Cr</w:t>
            </w:r>
          </w:p>
        </w:tc>
        <w:tc>
          <w:tcPr>
            <w:tcW w:w="1473" w:type="pct"/>
            <w:gridSpan w:val="2"/>
            <w:shd w:val="clear" w:color="auto" w:fill="auto"/>
            <w:noWrap w:val="0"/>
            <w:vAlign w:val="center"/>
          </w:tcPr>
          <w:p w14:paraId="2064604D">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0.012</w:t>
            </w:r>
          </w:p>
        </w:tc>
        <w:tc>
          <w:tcPr>
            <w:tcW w:w="1495" w:type="pct"/>
            <w:shd w:val="clear" w:color="auto" w:fill="auto"/>
            <w:noWrap w:val="0"/>
            <w:vAlign w:val="center"/>
          </w:tcPr>
          <w:p w14:paraId="11DCA49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0.012</w:t>
            </w:r>
          </w:p>
        </w:tc>
      </w:tr>
      <w:tr w14:paraId="6B60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noWrap w:val="0"/>
            <w:vAlign w:val="center"/>
          </w:tcPr>
          <w:p w14:paraId="4745BBC3">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p>
        </w:tc>
        <w:tc>
          <w:tcPr>
            <w:tcW w:w="1570" w:type="pct"/>
            <w:gridSpan w:val="2"/>
            <w:noWrap w:val="0"/>
            <w:vAlign w:val="center"/>
          </w:tcPr>
          <w:p w14:paraId="00310103">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NH</w:t>
            </w:r>
            <w:r>
              <w:rPr>
                <w:rFonts w:hint="default" w:ascii="Times New Roman" w:hAnsi="Times New Roman" w:eastAsia="宋体" w:cs="Times New Roman"/>
                <w:b w:val="0"/>
                <w:bCs w:val="0"/>
                <w:color w:val="auto"/>
                <w:sz w:val="21"/>
                <w:szCs w:val="21"/>
                <w:highlight w:val="none"/>
                <w:vertAlign w:val="subscript"/>
              </w:rPr>
              <w:t>3</w:t>
            </w:r>
            <w:r>
              <w:rPr>
                <w:rFonts w:hint="default" w:ascii="Times New Roman" w:hAnsi="Times New Roman" w:eastAsia="宋体" w:cs="Times New Roman"/>
                <w:b w:val="0"/>
                <w:bCs w:val="0"/>
                <w:color w:val="auto"/>
                <w:sz w:val="21"/>
                <w:szCs w:val="21"/>
                <w:highlight w:val="none"/>
              </w:rPr>
              <w:t>-N</w:t>
            </w:r>
          </w:p>
        </w:tc>
        <w:tc>
          <w:tcPr>
            <w:tcW w:w="1473" w:type="pct"/>
            <w:gridSpan w:val="2"/>
            <w:shd w:val="clear" w:color="auto" w:fill="auto"/>
            <w:noWrap w:val="0"/>
            <w:vAlign w:val="center"/>
          </w:tcPr>
          <w:p w14:paraId="0FCB22BD">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0.001</w:t>
            </w:r>
          </w:p>
        </w:tc>
        <w:tc>
          <w:tcPr>
            <w:tcW w:w="1495" w:type="pct"/>
            <w:shd w:val="clear" w:color="auto" w:fill="auto"/>
            <w:noWrap w:val="0"/>
            <w:vAlign w:val="center"/>
          </w:tcPr>
          <w:p w14:paraId="4BE2AB10">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aps w:val="0"/>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0.001</w:t>
            </w:r>
          </w:p>
        </w:tc>
      </w:tr>
      <w:tr w14:paraId="1A5B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restart"/>
            <w:noWrap w:val="0"/>
            <w:vAlign w:val="center"/>
          </w:tcPr>
          <w:p w14:paraId="46EBB515">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废气</w:t>
            </w:r>
          </w:p>
        </w:tc>
        <w:tc>
          <w:tcPr>
            <w:tcW w:w="834" w:type="pct"/>
            <w:vMerge w:val="restart"/>
            <w:noWrap w:val="0"/>
            <w:vAlign w:val="center"/>
          </w:tcPr>
          <w:p w14:paraId="36FDB9E6">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挥发性有机物（VOCs）</w:t>
            </w:r>
          </w:p>
        </w:tc>
        <w:tc>
          <w:tcPr>
            <w:tcW w:w="736" w:type="pct"/>
            <w:noWrap w:val="0"/>
            <w:vAlign w:val="center"/>
          </w:tcPr>
          <w:p w14:paraId="2FB23D0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有组织</w:t>
            </w:r>
          </w:p>
        </w:tc>
        <w:tc>
          <w:tcPr>
            <w:tcW w:w="733" w:type="pct"/>
            <w:shd w:val="clear" w:color="auto" w:fill="auto"/>
            <w:noWrap w:val="0"/>
            <w:vAlign w:val="center"/>
          </w:tcPr>
          <w:p w14:paraId="5705761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0.030</w:t>
            </w:r>
          </w:p>
        </w:tc>
        <w:tc>
          <w:tcPr>
            <w:tcW w:w="739" w:type="pct"/>
            <w:vMerge w:val="restart"/>
            <w:noWrap w:val="0"/>
            <w:vAlign w:val="center"/>
          </w:tcPr>
          <w:p w14:paraId="583D856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0.047</w:t>
            </w:r>
          </w:p>
        </w:tc>
        <w:tc>
          <w:tcPr>
            <w:tcW w:w="1495" w:type="pct"/>
            <w:vMerge w:val="restart"/>
            <w:noWrap w:val="0"/>
            <w:vAlign w:val="center"/>
          </w:tcPr>
          <w:p w14:paraId="342FBBD5">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0.040</w:t>
            </w:r>
          </w:p>
        </w:tc>
      </w:tr>
      <w:tr w14:paraId="69F7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noWrap w:val="0"/>
            <w:vAlign w:val="center"/>
          </w:tcPr>
          <w:p w14:paraId="391B779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834" w:type="pct"/>
            <w:vMerge w:val="continue"/>
            <w:noWrap w:val="0"/>
            <w:vAlign w:val="center"/>
          </w:tcPr>
          <w:p w14:paraId="3DE014B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736" w:type="pct"/>
            <w:noWrap w:val="0"/>
            <w:vAlign w:val="center"/>
          </w:tcPr>
          <w:p w14:paraId="3BAD664D">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无组织</w:t>
            </w:r>
          </w:p>
        </w:tc>
        <w:tc>
          <w:tcPr>
            <w:tcW w:w="733" w:type="pct"/>
            <w:shd w:val="clear" w:color="auto" w:fill="auto"/>
            <w:noWrap w:val="0"/>
            <w:vAlign w:val="center"/>
          </w:tcPr>
          <w:p w14:paraId="049C476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0.017</w:t>
            </w:r>
          </w:p>
        </w:tc>
        <w:tc>
          <w:tcPr>
            <w:tcW w:w="739" w:type="pct"/>
            <w:vMerge w:val="continue"/>
            <w:noWrap w:val="0"/>
            <w:vAlign w:val="center"/>
          </w:tcPr>
          <w:p w14:paraId="3F5BABF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
              </w:rPr>
            </w:pPr>
          </w:p>
        </w:tc>
        <w:tc>
          <w:tcPr>
            <w:tcW w:w="1495" w:type="pct"/>
            <w:vMerge w:val="continue"/>
            <w:noWrap w:val="0"/>
            <w:vAlign w:val="center"/>
          </w:tcPr>
          <w:p w14:paraId="6794A39E">
            <w:pPr>
              <w:keepNext w:val="0"/>
              <w:keepLines w:val="0"/>
              <w:suppressLineNumbers w:val="0"/>
              <w:spacing w:before="0" w:beforeAutospacing="0" w:after="0" w:afterAutospacing="0" w:line="240" w:lineRule="auto"/>
              <w:ind w:left="0" w:right="0"/>
              <w:jc w:val="center"/>
              <w:rPr>
                <w:rFonts w:hint="eastAsia" w:ascii="Times New Roman" w:hAnsi="Times New Roman" w:eastAsia="宋体" w:cs="Times New Roman"/>
                <w:b w:val="0"/>
                <w:bCs w:val="0"/>
                <w:color w:val="auto"/>
                <w:sz w:val="21"/>
                <w:szCs w:val="21"/>
                <w:highlight w:val="none"/>
                <w:lang w:val="en-US" w:eastAsia="zh-CN"/>
              </w:rPr>
            </w:pPr>
          </w:p>
        </w:tc>
      </w:tr>
      <w:tr w14:paraId="1182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noWrap w:val="0"/>
            <w:vAlign w:val="center"/>
          </w:tcPr>
          <w:p w14:paraId="18B8CA5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834" w:type="pct"/>
            <w:vMerge w:val="restart"/>
            <w:noWrap w:val="0"/>
            <w:vAlign w:val="center"/>
          </w:tcPr>
          <w:p w14:paraId="39B4D784">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颗粒物</w:t>
            </w:r>
          </w:p>
        </w:tc>
        <w:tc>
          <w:tcPr>
            <w:tcW w:w="736" w:type="pct"/>
            <w:shd w:val="clear" w:color="auto" w:fill="auto"/>
            <w:noWrap w:val="0"/>
            <w:vAlign w:val="center"/>
          </w:tcPr>
          <w:p w14:paraId="0543067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有组织</w:t>
            </w:r>
          </w:p>
        </w:tc>
        <w:tc>
          <w:tcPr>
            <w:tcW w:w="733" w:type="pct"/>
            <w:shd w:val="clear" w:color="auto" w:fill="auto"/>
            <w:noWrap w:val="0"/>
            <w:vAlign w:val="center"/>
          </w:tcPr>
          <w:p w14:paraId="092CBFD1">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t>
            </w:r>
          </w:p>
        </w:tc>
        <w:tc>
          <w:tcPr>
            <w:tcW w:w="739" w:type="pct"/>
            <w:vMerge w:val="restart"/>
            <w:noWrap w:val="0"/>
            <w:vAlign w:val="center"/>
          </w:tcPr>
          <w:p w14:paraId="3227921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0.306</w:t>
            </w:r>
          </w:p>
        </w:tc>
        <w:tc>
          <w:tcPr>
            <w:tcW w:w="1495" w:type="pct"/>
            <w:vMerge w:val="restart"/>
            <w:noWrap w:val="0"/>
            <w:vAlign w:val="center"/>
          </w:tcPr>
          <w:p w14:paraId="3E341B9B">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0.306</w:t>
            </w:r>
          </w:p>
        </w:tc>
      </w:tr>
      <w:tr w14:paraId="4C72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noWrap w:val="0"/>
            <w:vAlign w:val="center"/>
          </w:tcPr>
          <w:p w14:paraId="45B94521">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834" w:type="pct"/>
            <w:vMerge w:val="continue"/>
            <w:noWrap w:val="0"/>
            <w:vAlign w:val="center"/>
          </w:tcPr>
          <w:p w14:paraId="55715D1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736" w:type="pct"/>
            <w:shd w:val="clear" w:color="auto" w:fill="auto"/>
            <w:noWrap w:val="0"/>
            <w:vAlign w:val="center"/>
          </w:tcPr>
          <w:p w14:paraId="7690290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无组织</w:t>
            </w:r>
          </w:p>
        </w:tc>
        <w:tc>
          <w:tcPr>
            <w:tcW w:w="733" w:type="pct"/>
            <w:shd w:val="clear" w:color="auto" w:fill="auto"/>
            <w:noWrap w:val="0"/>
            <w:vAlign w:val="center"/>
          </w:tcPr>
          <w:p w14:paraId="0EC95DAB">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0.306</w:t>
            </w:r>
          </w:p>
        </w:tc>
        <w:tc>
          <w:tcPr>
            <w:tcW w:w="739" w:type="pct"/>
            <w:vMerge w:val="continue"/>
            <w:noWrap w:val="0"/>
            <w:vAlign w:val="center"/>
          </w:tcPr>
          <w:p w14:paraId="48A5896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
              </w:rPr>
            </w:pPr>
          </w:p>
        </w:tc>
        <w:tc>
          <w:tcPr>
            <w:tcW w:w="1495" w:type="pct"/>
            <w:vMerge w:val="continue"/>
            <w:noWrap w:val="0"/>
            <w:vAlign w:val="center"/>
          </w:tcPr>
          <w:p w14:paraId="133A52CE">
            <w:pPr>
              <w:keepNext w:val="0"/>
              <w:keepLines w:val="0"/>
              <w:suppressLineNumbers w:val="0"/>
              <w:spacing w:before="0" w:beforeAutospacing="0" w:after="0" w:afterAutospacing="0" w:line="240" w:lineRule="auto"/>
              <w:ind w:left="0" w:right="0"/>
              <w:jc w:val="center"/>
              <w:rPr>
                <w:rFonts w:hint="eastAsia" w:ascii="Times New Roman" w:hAnsi="Times New Roman" w:eastAsia="宋体" w:cs="Times New Roman"/>
                <w:b w:val="0"/>
                <w:bCs w:val="0"/>
                <w:color w:val="auto"/>
                <w:sz w:val="21"/>
                <w:szCs w:val="21"/>
                <w:highlight w:val="none"/>
                <w:lang w:val="en-US" w:eastAsia="zh-CN"/>
              </w:rPr>
            </w:pPr>
          </w:p>
        </w:tc>
      </w:tr>
      <w:tr w14:paraId="25DB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noWrap w:val="0"/>
            <w:vAlign w:val="center"/>
          </w:tcPr>
          <w:p w14:paraId="3BE60586">
            <w:pPr>
              <w:keepNext w:val="0"/>
              <w:keepLines w:val="0"/>
              <w:suppressLineNumbers w:val="0"/>
              <w:spacing w:before="0" w:beforeAutospacing="0" w:after="0" w:afterAutospacing="0" w:line="240" w:lineRule="auto"/>
              <w:ind w:left="0" w:right="0"/>
              <w:jc w:val="both"/>
              <w:rPr>
                <w:rFonts w:hint="eastAsia"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注</w:t>
            </w:r>
            <w:r>
              <w:rPr>
                <w:rFonts w:hint="eastAsia" w:ascii="Times New Roman" w:hAns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spacing w:val="0"/>
                <w:position w:val="0"/>
                <w:sz w:val="21"/>
                <w:szCs w:val="21"/>
                <w:highlight w:val="none"/>
                <w:lang w:val="en-US" w:eastAsia="zh-CN"/>
              </w:rPr>
              <w:t>1、挥发性有机物（VOCs）有组织0.023t/a，实际排放量=0.023+0.017=0.040t/a；</w:t>
            </w:r>
          </w:p>
          <w:p w14:paraId="79F2C4BE">
            <w:pPr>
              <w:keepNext w:val="0"/>
              <w:keepLines w:val="0"/>
              <w:numPr>
                <w:ilvl w:val="0"/>
                <w:numId w:val="0"/>
              </w:numPr>
              <w:suppressLineNumbers w:val="0"/>
              <w:spacing w:before="0" w:beforeAutospacing="0" w:after="0" w:afterAutospacing="0" w:line="240" w:lineRule="auto"/>
              <w:ind w:left="0" w:right="0" w:rightChars="0" w:firstLine="420" w:firstLineChars="200"/>
              <w:jc w:val="both"/>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2、</w:t>
            </w:r>
            <w:r>
              <w:rPr>
                <w:rFonts w:hint="default" w:ascii="Times New Roman" w:hAnsi="Times New Roman" w:eastAsia="宋体" w:cs="Times New Roman"/>
                <w:b w:val="0"/>
                <w:bCs w:val="0"/>
                <w:color w:val="auto"/>
                <w:spacing w:val="0"/>
                <w:position w:val="0"/>
                <w:sz w:val="21"/>
                <w:szCs w:val="21"/>
                <w:highlight w:val="none"/>
                <w:lang w:val="en-US" w:eastAsia="zh-CN"/>
              </w:rPr>
              <w:t>验收监测期间，生产负荷为</w:t>
            </w:r>
            <w:r>
              <w:rPr>
                <w:rFonts w:hint="eastAsia" w:ascii="Times New Roman" w:hAnsi="Times New Roman" w:eastAsia="宋体" w:cs="Times New Roman"/>
                <w:b w:val="0"/>
                <w:bCs w:val="0"/>
                <w:color w:val="auto"/>
                <w:spacing w:val="0"/>
                <w:position w:val="0"/>
                <w:sz w:val="21"/>
                <w:szCs w:val="21"/>
                <w:highlight w:val="none"/>
                <w:lang w:val="en-US" w:eastAsia="zh-CN"/>
              </w:rPr>
              <w:t>100</w:t>
            </w:r>
            <w:r>
              <w:rPr>
                <w:rFonts w:hint="default" w:ascii="Times New Roman" w:hAnsi="Times New Roman" w:eastAsia="宋体" w:cs="Times New Roman"/>
                <w:b w:val="0"/>
                <w:bCs w:val="0"/>
                <w:color w:val="auto"/>
                <w:spacing w:val="0"/>
                <w:position w:val="0"/>
                <w:sz w:val="21"/>
                <w:szCs w:val="21"/>
                <w:highlight w:val="none"/>
                <w:lang w:val="en-US" w:eastAsia="zh-CN"/>
              </w:rPr>
              <w:t>%</w:t>
            </w:r>
            <w:r>
              <w:rPr>
                <w:rFonts w:hint="eastAsia" w:ascii="Times New Roman" w:hAnsi="Times New Roman" w:eastAsia="宋体" w:cs="Times New Roman"/>
                <w:b w:val="0"/>
                <w:bCs w:val="0"/>
                <w:color w:val="auto"/>
                <w:spacing w:val="0"/>
                <w:position w:val="0"/>
                <w:sz w:val="21"/>
                <w:szCs w:val="21"/>
                <w:highlight w:val="none"/>
                <w:lang w:val="en-US" w:eastAsia="zh-CN"/>
              </w:rPr>
              <w:t>。</w:t>
            </w:r>
          </w:p>
        </w:tc>
      </w:tr>
    </w:tbl>
    <w:p w14:paraId="0519B26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根据上表可知，实际主要污染物排放总量控制指标COD</w:t>
      </w:r>
      <w:r>
        <w:rPr>
          <w:rFonts w:hint="default" w:ascii="Times New Roman" w:hAnsi="Times New Roman" w:eastAsia="宋体" w:cs="Times New Roman"/>
          <w:color w:val="auto"/>
          <w:kern w:val="2"/>
          <w:sz w:val="24"/>
          <w:szCs w:val="24"/>
          <w:highlight w:val="none"/>
          <w:vertAlign w:val="subscript"/>
          <w:lang w:val="en-US" w:eastAsia="zh-CN" w:bidi="ar"/>
        </w:rPr>
        <w:t>Cr</w:t>
      </w:r>
      <w:r>
        <w:rPr>
          <w:rFonts w:hint="default" w:ascii="Times New Roman" w:hAnsi="Times New Roman" w:eastAsia="宋体" w:cs="Times New Roman"/>
          <w:color w:val="auto"/>
          <w:kern w:val="2"/>
          <w:sz w:val="24"/>
          <w:szCs w:val="24"/>
          <w:highlight w:val="none"/>
          <w:lang w:val="en-US" w:eastAsia="zh-CN" w:bidi="ar"/>
        </w:rPr>
        <w:t>、NH</w:t>
      </w:r>
      <w:r>
        <w:rPr>
          <w:rFonts w:hint="default" w:ascii="Times New Roman" w:hAnsi="Times New Roman" w:eastAsia="宋体" w:cs="Times New Roman"/>
          <w:color w:val="auto"/>
          <w:kern w:val="2"/>
          <w:sz w:val="24"/>
          <w:szCs w:val="24"/>
          <w:highlight w:val="none"/>
          <w:vertAlign w:val="sub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-N</w:t>
      </w:r>
      <w:r>
        <w:rPr>
          <w:rFonts w:hint="eastAsia" w:ascii="Times New Roman" w:hAnsi="Times New Roman" w:eastAsia="宋体" w:cs="Times New Roman"/>
          <w:color w:val="auto"/>
          <w:kern w:val="2"/>
          <w:sz w:val="24"/>
          <w:szCs w:val="21"/>
          <w:highlight w:val="none"/>
          <w:lang w:val="en-US" w:eastAsia="zh-CN" w:bidi="ar"/>
        </w:rPr>
        <w:t>、挥发性有机物（VOCs）</w:t>
      </w:r>
      <w:r>
        <w:rPr>
          <w:rFonts w:hint="eastAsia" w:ascii="Times New Roman" w:hAnsi="Times New Roman" w:cs="Times New Roman"/>
          <w:color w:val="auto"/>
          <w:kern w:val="2"/>
          <w:sz w:val="24"/>
          <w:szCs w:val="21"/>
          <w:highlight w:val="none"/>
          <w:lang w:val="en-US" w:eastAsia="zh-CN" w:bidi="ar"/>
        </w:rPr>
        <w:t>、颗粒物</w:t>
      </w:r>
      <w:r>
        <w:rPr>
          <w:rFonts w:hint="default" w:ascii="Times New Roman" w:hAnsi="Times New Roman" w:eastAsia="宋体" w:cs="Times New Roman"/>
          <w:color w:val="auto"/>
          <w:kern w:val="2"/>
          <w:sz w:val="24"/>
          <w:szCs w:val="24"/>
          <w:highlight w:val="none"/>
          <w:lang w:val="en-US" w:eastAsia="zh-CN" w:bidi="ar"/>
        </w:rPr>
        <w:t>均在环评审批的总量控制指标范围内</w:t>
      </w:r>
      <w:r>
        <w:rPr>
          <w:rFonts w:hint="eastAsia" w:ascii="Times New Roman" w:hAnsi="Times New Roman" w:eastAsia="宋体" w:cs="Times New Roman"/>
          <w:color w:val="auto"/>
          <w:kern w:val="2"/>
          <w:sz w:val="24"/>
          <w:szCs w:val="24"/>
          <w:highlight w:val="none"/>
          <w:lang w:val="en-US" w:eastAsia="zh-CN" w:bidi="ar"/>
        </w:rPr>
        <w:t>。</w:t>
      </w:r>
    </w:p>
    <w:p w14:paraId="7AC24D1B">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五、工程建设对环境的影响</w:t>
      </w:r>
    </w:p>
    <w:p w14:paraId="3ABE0D76">
      <w:pPr>
        <w:spacing w:line="360" w:lineRule="auto"/>
        <w:ind w:firstLine="480" w:firstLineChars="200"/>
        <w:rPr>
          <w:rFonts w:hint="default" w:ascii="Times New Roman" w:hAnsi="Times New Roman" w:eastAsia="宋体" w:cs="Times New Roman"/>
          <w:color w:val="auto"/>
          <w:kern w:val="0"/>
          <w:sz w:val="24"/>
          <w:highlight w:val="none"/>
        </w:rPr>
      </w:pPr>
      <w:r>
        <w:rPr>
          <w:rFonts w:ascii="Times New Roman" w:hAnsi="Times New Roman" w:eastAsia="宋体"/>
          <w:color w:val="auto"/>
          <w:kern w:val="0"/>
          <w:sz w:val="24"/>
          <w:szCs w:val="24"/>
          <w:highlight w:val="none"/>
        </w:rPr>
        <w:t>依据《建设项目竣工环境保护验收暂行办法</w:t>
      </w:r>
      <w:r>
        <w:rPr>
          <w:rFonts w:hint="eastAsia" w:ascii="Times New Roman" w:hAnsi="Times New Roman"/>
          <w:color w:val="auto"/>
          <w:kern w:val="0"/>
          <w:sz w:val="24"/>
          <w:szCs w:val="24"/>
          <w:highlight w:val="none"/>
          <w:lang w:eastAsia="zh-CN"/>
        </w:rPr>
        <w:t>》《</w:t>
      </w:r>
      <w:r>
        <w:rPr>
          <w:rFonts w:hint="eastAsia" w:ascii="Times New Roman" w:hAnsi="Times New Roman"/>
          <w:color w:val="auto"/>
          <w:kern w:val="0"/>
          <w:sz w:val="24"/>
          <w:szCs w:val="24"/>
          <w:highlight w:val="none"/>
          <w:lang w:val="en-US" w:eastAsia="zh-CN"/>
        </w:rPr>
        <w:t>浙江未智环绿环保科技有限公司年产1万平方米新材料板材项目竣工环境保护</w:t>
      </w:r>
      <w:r>
        <w:rPr>
          <w:rFonts w:ascii="Times New Roman" w:hAnsi="Times New Roman" w:eastAsia="宋体"/>
          <w:color w:val="auto"/>
          <w:kern w:val="0"/>
          <w:sz w:val="24"/>
          <w:szCs w:val="24"/>
          <w:highlight w:val="none"/>
        </w:rPr>
        <w:t>验收监测报告表》等资料及环境保护设施现场检查情况，</w:t>
      </w:r>
      <w:r>
        <w:rPr>
          <w:rFonts w:hint="eastAsia" w:ascii="Times New Roman" w:hAnsi="Times New Roman" w:cs="Times New Roman"/>
          <w:color w:val="auto"/>
          <w:kern w:val="0"/>
          <w:sz w:val="24"/>
          <w:highlight w:val="none"/>
          <w:lang w:val="en-US" w:eastAsia="zh-CN"/>
        </w:rPr>
        <w:t>本项目</w:t>
      </w:r>
      <w:r>
        <w:rPr>
          <w:rFonts w:ascii="Times New Roman" w:hAnsi="Times New Roman" w:eastAsia="宋体"/>
          <w:color w:val="auto"/>
          <w:kern w:val="0"/>
          <w:sz w:val="24"/>
          <w:szCs w:val="24"/>
          <w:highlight w:val="none"/>
        </w:rPr>
        <w:t>环保手续齐全，污染防治措施基本按照环评及批复要求落实；经验收监测</w:t>
      </w:r>
      <w:r>
        <w:rPr>
          <w:rFonts w:hint="eastAsia" w:ascii="Times New Roman" w:hAnsi="Times New Roman"/>
          <w:color w:val="auto"/>
          <w:kern w:val="0"/>
          <w:sz w:val="24"/>
          <w:szCs w:val="24"/>
          <w:highlight w:val="none"/>
          <w:lang w:val="en-US" w:eastAsia="zh-CN"/>
        </w:rPr>
        <w:t>可知</w:t>
      </w:r>
      <w:r>
        <w:rPr>
          <w:rFonts w:ascii="Times New Roman" w:hAnsi="Times New Roman" w:eastAsia="宋体"/>
          <w:color w:val="auto"/>
          <w:kern w:val="0"/>
          <w:sz w:val="24"/>
          <w:szCs w:val="24"/>
          <w:highlight w:val="none"/>
        </w:rPr>
        <w:t>，废气、废水、噪声</w:t>
      </w:r>
      <w:r>
        <w:rPr>
          <w:rFonts w:hint="eastAsia" w:ascii="Times New Roman" w:hAnsi="Times New Roman"/>
          <w:color w:val="auto"/>
          <w:kern w:val="0"/>
          <w:sz w:val="24"/>
          <w:szCs w:val="24"/>
          <w:highlight w:val="none"/>
          <w:lang w:val="en-US" w:eastAsia="zh-CN"/>
        </w:rPr>
        <w:t>数据均能</w:t>
      </w:r>
      <w:r>
        <w:rPr>
          <w:rFonts w:ascii="Times New Roman" w:hAnsi="Times New Roman" w:eastAsia="宋体"/>
          <w:color w:val="auto"/>
          <w:kern w:val="0"/>
          <w:sz w:val="24"/>
          <w:szCs w:val="24"/>
          <w:highlight w:val="none"/>
        </w:rPr>
        <w:t>达标，固体废物能得到妥善处置，因此该</w:t>
      </w:r>
      <w:r>
        <w:rPr>
          <w:rFonts w:hint="eastAsia" w:ascii="Times New Roman" w:hAnsi="Times New Roman"/>
          <w:color w:val="auto"/>
          <w:kern w:val="0"/>
          <w:sz w:val="24"/>
          <w:szCs w:val="24"/>
          <w:highlight w:val="none"/>
          <w:lang w:val="en-US" w:eastAsia="zh-CN"/>
        </w:rPr>
        <w:t>本</w:t>
      </w:r>
      <w:r>
        <w:rPr>
          <w:rFonts w:ascii="Times New Roman" w:hAnsi="Times New Roman" w:eastAsia="宋体"/>
          <w:color w:val="auto"/>
          <w:kern w:val="0"/>
          <w:sz w:val="24"/>
          <w:szCs w:val="24"/>
          <w:highlight w:val="none"/>
        </w:rPr>
        <w:t>项目符合申请建设项目竣工环境保护自主验收条件项目，不存在《建设项目竣工环境保护验收暂行办法》第八条中所列验收不合格的情形，符合竣工环境保护验收条件，验收结论为合格。</w:t>
      </w:r>
    </w:p>
    <w:p w14:paraId="7092F482">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eastAsia" w:ascii="Times New Roman" w:hAnsi="Times New Roman" w:cs="Times New Roman"/>
          <w:b/>
          <w:color w:val="auto"/>
          <w:kern w:val="0"/>
          <w:sz w:val="24"/>
          <w:highlight w:val="none"/>
          <w:lang w:val="en-US" w:eastAsia="zh-CN"/>
        </w:rPr>
        <w:t>六</w:t>
      </w:r>
      <w:r>
        <w:rPr>
          <w:rFonts w:hint="default" w:ascii="Times New Roman" w:hAnsi="Times New Roman" w:eastAsia="宋体" w:cs="Times New Roman"/>
          <w:b/>
          <w:color w:val="auto"/>
          <w:kern w:val="0"/>
          <w:sz w:val="24"/>
          <w:highlight w:val="none"/>
        </w:rPr>
        <w:t>、后续要求</w:t>
      </w:r>
    </w:p>
    <w:p w14:paraId="06ED413F">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（一）完善生产设施和环保设施标识标牌，完善企业环保管理制度，完善各类台账建设。</w:t>
      </w:r>
    </w:p>
    <w:p w14:paraId="38A099E1">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（二）进一步加强对有机废气处理设施的日常管理和维护，定期更换活性炭，并足量填充高碘值活性炭，确保长期稳定达标排放。</w:t>
      </w:r>
    </w:p>
    <w:p w14:paraId="17B8A91D">
      <w:pPr>
        <w:pStyle w:val="4"/>
        <w:spacing w:line="360" w:lineRule="auto"/>
        <w:ind w:left="0" w:firstLine="405" w:firstLineChars="169"/>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w:t>
      </w:r>
      <w:r>
        <w:rPr>
          <w:rFonts w:hint="eastAsia" w:ascii="Times New Roman" w:hAnsi="Times New Roman"/>
          <w:color w:val="auto"/>
          <w:kern w:val="0"/>
          <w:sz w:val="24"/>
          <w:highlight w:val="none"/>
          <w:lang w:val="en-US" w:eastAsia="zh-CN"/>
        </w:rPr>
        <w:t>三</w:t>
      </w:r>
      <w:r>
        <w:rPr>
          <w:rFonts w:ascii="Times New Roman" w:hAnsi="Times New Roman" w:eastAsia="宋体"/>
          <w:color w:val="auto"/>
          <w:kern w:val="0"/>
          <w:sz w:val="24"/>
          <w:highlight w:val="none"/>
        </w:rPr>
        <w:t>）建议企业加强日常环保管理和环境风险防范与应急事件处置能力，并开展演练。</w:t>
      </w:r>
    </w:p>
    <w:p w14:paraId="05925D51">
      <w:pPr>
        <w:spacing w:line="360" w:lineRule="auto"/>
        <w:ind w:firstLine="482" w:firstLineChars="200"/>
        <w:outlineLvl w:val="0"/>
        <w:rPr>
          <w:rFonts w:hint="eastAsia" w:ascii="Times New Roman" w:hAnsi="Times New Roman" w:eastAsia="宋体" w:cs="Times New Roman"/>
          <w:b/>
          <w:color w:val="auto"/>
          <w:kern w:val="0"/>
          <w:sz w:val="24"/>
          <w:highlight w:val="none"/>
          <w:lang w:val="en-US" w:eastAsia="zh-CN"/>
        </w:rPr>
      </w:pPr>
      <w:r>
        <w:rPr>
          <w:rFonts w:hint="eastAsia" w:ascii="Times New Roman" w:hAnsi="Times New Roman" w:cs="Times New Roman"/>
          <w:b/>
          <w:color w:val="auto"/>
          <w:kern w:val="0"/>
          <w:sz w:val="24"/>
          <w:highlight w:val="none"/>
          <w:lang w:val="en-US" w:eastAsia="zh-CN"/>
        </w:rPr>
        <w:t>七</w:t>
      </w:r>
      <w:r>
        <w:rPr>
          <w:rFonts w:hint="default" w:ascii="Times New Roman" w:hAnsi="Times New Roman" w:eastAsia="宋体" w:cs="Times New Roman"/>
          <w:b/>
          <w:color w:val="auto"/>
          <w:kern w:val="0"/>
          <w:sz w:val="24"/>
          <w:highlight w:val="none"/>
        </w:rPr>
        <w:t>、验收人员</w:t>
      </w:r>
      <w:r>
        <w:rPr>
          <w:rFonts w:hint="eastAsia" w:ascii="Times New Roman" w:hAnsi="Times New Roman" w:cs="Times New Roman"/>
          <w:b/>
          <w:color w:val="auto"/>
          <w:kern w:val="0"/>
          <w:sz w:val="24"/>
          <w:highlight w:val="none"/>
          <w:lang w:val="en-US" w:eastAsia="zh-CN"/>
        </w:rPr>
        <w:t>信息</w:t>
      </w:r>
    </w:p>
    <w:p w14:paraId="21E5254D">
      <w:pPr>
        <w:spacing w:line="360" w:lineRule="auto"/>
        <w:ind w:firstLine="480" w:firstLineChars="200"/>
        <w:jc w:val="both"/>
        <w:rPr>
          <w:rFonts w:hint="eastAsia" w:ascii="Times New Roman" w:hAnsi="Times New Roman"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eastAsia="zh-CN"/>
        </w:rPr>
        <w:t>验收工作组成员名单及信息附后。</w:t>
      </w:r>
    </w:p>
    <w:p w14:paraId="5F8937AF">
      <w:pPr>
        <w:spacing w:line="360" w:lineRule="auto"/>
        <w:ind w:firstLine="480" w:firstLineChars="200"/>
        <w:jc w:val="right"/>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val="en-US" w:eastAsia="zh-CN"/>
        </w:rPr>
        <w:t>浙江未智环绿环保科技有限公司</w:t>
      </w:r>
    </w:p>
    <w:p w14:paraId="12C081F6">
      <w:pPr>
        <w:spacing w:line="360" w:lineRule="auto"/>
        <w:ind w:firstLine="480" w:firstLineChars="200"/>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28</w:t>
      </w:r>
      <w:r>
        <w:rPr>
          <w:rFonts w:hint="default" w:ascii="Times New Roman" w:hAnsi="Times New Roman" w:eastAsia="宋体" w:cs="Times New Roman"/>
          <w:color w:val="auto"/>
          <w:kern w:val="0"/>
          <w:sz w:val="24"/>
          <w:highlight w:val="none"/>
        </w:rPr>
        <w:t>日</w:t>
      </w:r>
    </w:p>
    <w:sectPr>
      <w:pgSz w:w="11906" w:h="16838"/>
      <w:pgMar w:top="1134" w:right="1134" w:bottom="1134" w:left="113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50D91"/>
    <w:multiLevelType w:val="singleLevel"/>
    <w:tmpl w:val="D9F50D91"/>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YzI1ZDAyMjM0MDY3NzAxYzYyNTNhZWNlOGZlODMifQ=="/>
  </w:docVars>
  <w:rsids>
    <w:rsidRoot w:val="00000000"/>
    <w:rsid w:val="006F44F3"/>
    <w:rsid w:val="00AE01F7"/>
    <w:rsid w:val="00B87A8B"/>
    <w:rsid w:val="00E15234"/>
    <w:rsid w:val="00EF7950"/>
    <w:rsid w:val="00FD2119"/>
    <w:rsid w:val="013B0DE8"/>
    <w:rsid w:val="01553993"/>
    <w:rsid w:val="01C012ED"/>
    <w:rsid w:val="01C77D80"/>
    <w:rsid w:val="01FD26C6"/>
    <w:rsid w:val="02306473"/>
    <w:rsid w:val="025263E9"/>
    <w:rsid w:val="02B12833"/>
    <w:rsid w:val="02D84414"/>
    <w:rsid w:val="02E828A9"/>
    <w:rsid w:val="031160F4"/>
    <w:rsid w:val="03566F57"/>
    <w:rsid w:val="0363238C"/>
    <w:rsid w:val="038D16A3"/>
    <w:rsid w:val="038F541B"/>
    <w:rsid w:val="03DB41BC"/>
    <w:rsid w:val="04096F7B"/>
    <w:rsid w:val="040F20B8"/>
    <w:rsid w:val="041D6583"/>
    <w:rsid w:val="04497378"/>
    <w:rsid w:val="045126D0"/>
    <w:rsid w:val="047A39D5"/>
    <w:rsid w:val="04F34A42"/>
    <w:rsid w:val="058C7E64"/>
    <w:rsid w:val="0597059F"/>
    <w:rsid w:val="05F31C91"/>
    <w:rsid w:val="06103038"/>
    <w:rsid w:val="063A5C43"/>
    <w:rsid w:val="064A73D7"/>
    <w:rsid w:val="065B7836"/>
    <w:rsid w:val="06EE09F3"/>
    <w:rsid w:val="072736DA"/>
    <w:rsid w:val="072B7687"/>
    <w:rsid w:val="072C3B31"/>
    <w:rsid w:val="073472B0"/>
    <w:rsid w:val="07373DFF"/>
    <w:rsid w:val="074F1149"/>
    <w:rsid w:val="075C73C2"/>
    <w:rsid w:val="077F5883"/>
    <w:rsid w:val="07A5520D"/>
    <w:rsid w:val="08406CE4"/>
    <w:rsid w:val="08456EEF"/>
    <w:rsid w:val="08762705"/>
    <w:rsid w:val="088968DD"/>
    <w:rsid w:val="08B651F8"/>
    <w:rsid w:val="08C07E24"/>
    <w:rsid w:val="09063A89"/>
    <w:rsid w:val="09153CCC"/>
    <w:rsid w:val="093B7E06"/>
    <w:rsid w:val="094D7C70"/>
    <w:rsid w:val="09594501"/>
    <w:rsid w:val="095A3DD5"/>
    <w:rsid w:val="098F4818"/>
    <w:rsid w:val="09D21442"/>
    <w:rsid w:val="09D8054F"/>
    <w:rsid w:val="0A0811DD"/>
    <w:rsid w:val="0A352E89"/>
    <w:rsid w:val="0A410AF1"/>
    <w:rsid w:val="0A420C4B"/>
    <w:rsid w:val="0A94770A"/>
    <w:rsid w:val="0AAC0EF8"/>
    <w:rsid w:val="0ABE325C"/>
    <w:rsid w:val="0AC62EBA"/>
    <w:rsid w:val="0AED5AFE"/>
    <w:rsid w:val="0AFA5870"/>
    <w:rsid w:val="0B097861"/>
    <w:rsid w:val="0B1A43F5"/>
    <w:rsid w:val="0B297F03"/>
    <w:rsid w:val="0B4602A1"/>
    <w:rsid w:val="0B4E5BBB"/>
    <w:rsid w:val="0B64718D"/>
    <w:rsid w:val="0B753148"/>
    <w:rsid w:val="0B8E420A"/>
    <w:rsid w:val="0BB51A45"/>
    <w:rsid w:val="0BDF6813"/>
    <w:rsid w:val="0BEF4CA9"/>
    <w:rsid w:val="0BF57DE5"/>
    <w:rsid w:val="0C542D5E"/>
    <w:rsid w:val="0CAF3B7D"/>
    <w:rsid w:val="0CBB2DDD"/>
    <w:rsid w:val="0CE20369"/>
    <w:rsid w:val="0CEC568C"/>
    <w:rsid w:val="0D0C378D"/>
    <w:rsid w:val="0D134413"/>
    <w:rsid w:val="0D2E7A52"/>
    <w:rsid w:val="0D4940E8"/>
    <w:rsid w:val="0D75673E"/>
    <w:rsid w:val="0DB3645F"/>
    <w:rsid w:val="0DE30506"/>
    <w:rsid w:val="0E4F5ED2"/>
    <w:rsid w:val="0E752FC5"/>
    <w:rsid w:val="0F2A5FF8"/>
    <w:rsid w:val="0F2B6C1B"/>
    <w:rsid w:val="0F803D94"/>
    <w:rsid w:val="10101691"/>
    <w:rsid w:val="10234F21"/>
    <w:rsid w:val="10596B94"/>
    <w:rsid w:val="10702130"/>
    <w:rsid w:val="108A4FA0"/>
    <w:rsid w:val="10F22B45"/>
    <w:rsid w:val="10F60887"/>
    <w:rsid w:val="115D26B4"/>
    <w:rsid w:val="118A6CA0"/>
    <w:rsid w:val="11D230A2"/>
    <w:rsid w:val="12130FC5"/>
    <w:rsid w:val="12575356"/>
    <w:rsid w:val="125F5E2E"/>
    <w:rsid w:val="126A598F"/>
    <w:rsid w:val="134C0770"/>
    <w:rsid w:val="13596EAB"/>
    <w:rsid w:val="135D042F"/>
    <w:rsid w:val="13957CB9"/>
    <w:rsid w:val="13C133CE"/>
    <w:rsid w:val="13D673F9"/>
    <w:rsid w:val="13DC6D4B"/>
    <w:rsid w:val="146E6986"/>
    <w:rsid w:val="14A800EA"/>
    <w:rsid w:val="14B120F6"/>
    <w:rsid w:val="14D07641"/>
    <w:rsid w:val="14D41776"/>
    <w:rsid w:val="150A66AF"/>
    <w:rsid w:val="150D2643"/>
    <w:rsid w:val="152534E9"/>
    <w:rsid w:val="152F0BBC"/>
    <w:rsid w:val="15870CEB"/>
    <w:rsid w:val="16287735"/>
    <w:rsid w:val="1683324F"/>
    <w:rsid w:val="16A42B33"/>
    <w:rsid w:val="16CA07EC"/>
    <w:rsid w:val="16D57191"/>
    <w:rsid w:val="16F45869"/>
    <w:rsid w:val="16F95920"/>
    <w:rsid w:val="16FC64CC"/>
    <w:rsid w:val="172B7D93"/>
    <w:rsid w:val="174B2FAF"/>
    <w:rsid w:val="17681DB3"/>
    <w:rsid w:val="17B429B6"/>
    <w:rsid w:val="17EB45EE"/>
    <w:rsid w:val="1853036D"/>
    <w:rsid w:val="1866284C"/>
    <w:rsid w:val="18932E60"/>
    <w:rsid w:val="189337CE"/>
    <w:rsid w:val="18C57A32"/>
    <w:rsid w:val="18E52319"/>
    <w:rsid w:val="19436634"/>
    <w:rsid w:val="19472921"/>
    <w:rsid w:val="19494A3E"/>
    <w:rsid w:val="19570331"/>
    <w:rsid w:val="196A273E"/>
    <w:rsid w:val="197131A1"/>
    <w:rsid w:val="19E576EB"/>
    <w:rsid w:val="19EF40C6"/>
    <w:rsid w:val="19F83716"/>
    <w:rsid w:val="1A197394"/>
    <w:rsid w:val="1A473F02"/>
    <w:rsid w:val="1A4F5002"/>
    <w:rsid w:val="1A974E89"/>
    <w:rsid w:val="1ABF0187"/>
    <w:rsid w:val="1AC8792A"/>
    <w:rsid w:val="1B015BDC"/>
    <w:rsid w:val="1B1D4C62"/>
    <w:rsid w:val="1B215A8A"/>
    <w:rsid w:val="1B6862D7"/>
    <w:rsid w:val="1B7F33D1"/>
    <w:rsid w:val="1B806455"/>
    <w:rsid w:val="1BA17641"/>
    <w:rsid w:val="1BB40EED"/>
    <w:rsid w:val="1BB46365"/>
    <w:rsid w:val="1BB479A2"/>
    <w:rsid w:val="1BD143CB"/>
    <w:rsid w:val="1BE0016A"/>
    <w:rsid w:val="1C085913"/>
    <w:rsid w:val="1C0C67A2"/>
    <w:rsid w:val="1C0F6CA1"/>
    <w:rsid w:val="1C313849"/>
    <w:rsid w:val="1C576A9C"/>
    <w:rsid w:val="1C6A7562"/>
    <w:rsid w:val="1C6D08DF"/>
    <w:rsid w:val="1C6D515A"/>
    <w:rsid w:val="1C760ACE"/>
    <w:rsid w:val="1C9E1AEA"/>
    <w:rsid w:val="1D043207"/>
    <w:rsid w:val="1D0936F0"/>
    <w:rsid w:val="1D352737"/>
    <w:rsid w:val="1D992CC6"/>
    <w:rsid w:val="1DB23D88"/>
    <w:rsid w:val="1DE55F0B"/>
    <w:rsid w:val="1DE71C83"/>
    <w:rsid w:val="1DF9228A"/>
    <w:rsid w:val="1E0A7720"/>
    <w:rsid w:val="1E116D00"/>
    <w:rsid w:val="1E401394"/>
    <w:rsid w:val="1E592A71"/>
    <w:rsid w:val="1E7948A6"/>
    <w:rsid w:val="1EC27FFB"/>
    <w:rsid w:val="1ED04016"/>
    <w:rsid w:val="1F525822"/>
    <w:rsid w:val="1FD955FC"/>
    <w:rsid w:val="1FFC6A34"/>
    <w:rsid w:val="200F54C2"/>
    <w:rsid w:val="201725C8"/>
    <w:rsid w:val="20605D1D"/>
    <w:rsid w:val="206C7B49"/>
    <w:rsid w:val="207120C3"/>
    <w:rsid w:val="20971013"/>
    <w:rsid w:val="209E7C51"/>
    <w:rsid w:val="20F67487"/>
    <w:rsid w:val="21115269"/>
    <w:rsid w:val="21225204"/>
    <w:rsid w:val="21294361"/>
    <w:rsid w:val="213541B2"/>
    <w:rsid w:val="216B2BCB"/>
    <w:rsid w:val="2184503B"/>
    <w:rsid w:val="21B17C21"/>
    <w:rsid w:val="22200FE5"/>
    <w:rsid w:val="22242A4E"/>
    <w:rsid w:val="222D1ACA"/>
    <w:rsid w:val="228527E6"/>
    <w:rsid w:val="228C4BA7"/>
    <w:rsid w:val="229B20FD"/>
    <w:rsid w:val="22B8599C"/>
    <w:rsid w:val="22D45DCA"/>
    <w:rsid w:val="232B4410"/>
    <w:rsid w:val="233F7E6C"/>
    <w:rsid w:val="23863CED"/>
    <w:rsid w:val="23B5012E"/>
    <w:rsid w:val="23BD07B1"/>
    <w:rsid w:val="23C62FBD"/>
    <w:rsid w:val="23EB492D"/>
    <w:rsid w:val="24A7216D"/>
    <w:rsid w:val="24BF3430"/>
    <w:rsid w:val="24D34D10"/>
    <w:rsid w:val="24EC5DD1"/>
    <w:rsid w:val="25227A45"/>
    <w:rsid w:val="25257535"/>
    <w:rsid w:val="252F5372"/>
    <w:rsid w:val="25330E57"/>
    <w:rsid w:val="254C0C39"/>
    <w:rsid w:val="2551032A"/>
    <w:rsid w:val="257150D5"/>
    <w:rsid w:val="25867FD4"/>
    <w:rsid w:val="25BE6335"/>
    <w:rsid w:val="25C805EC"/>
    <w:rsid w:val="25DD571A"/>
    <w:rsid w:val="25E371D4"/>
    <w:rsid w:val="26103D41"/>
    <w:rsid w:val="2612465B"/>
    <w:rsid w:val="261455E0"/>
    <w:rsid w:val="26C32B62"/>
    <w:rsid w:val="27421CD9"/>
    <w:rsid w:val="27D56FF1"/>
    <w:rsid w:val="280653FC"/>
    <w:rsid w:val="282E63AD"/>
    <w:rsid w:val="285D507A"/>
    <w:rsid w:val="28F65471"/>
    <w:rsid w:val="290F5367"/>
    <w:rsid w:val="29134EDD"/>
    <w:rsid w:val="29A749BD"/>
    <w:rsid w:val="29B13146"/>
    <w:rsid w:val="29BF1D06"/>
    <w:rsid w:val="2A557F75"/>
    <w:rsid w:val="2A5C7555"/>
    <w:rsid w:val="2A9E0161"/>
    <w:rsid w:val="2B285689"/>
    <w:rsid w:val="2B381D70"/>
    <w:rsid w:val="2B41609E"/>
    <w:rsid w:val="2B45623B"/>
    <w:rsid w:val="2B4B2AFB"/>
    <w:rsid w:val="2B764647"/>
    <w:rsid w:val="2B88437A"/>
    <w:rsid w:val="2B9D7E25"/>
    <w:rsid w:val="2BB33AB6"/>
    <w:rsid w:val="2BB40E5B"/>
    <w:rsid w:val="2C4E7372"/>
    <w:rsid w:val="2CDC497D"/>
    <w:rsid w:val="2CF0667B"/>
    <w:rsid w:val="2CF41CC7"/>
    <w:rsid w:val="2D0B1F79"/>
    <w:rsid w:val="2D77745E"/>
    <w:rsid w:val="2D7E3C87"/>
    <w:rsid w:val="2D864EB0"/>
    <w:rsid w:val="2E0200FB"/>
    <w:rsid w:val="2E4647A4"/>
    <w:rsid w:val="2E567191"/>
    <w:rsid w:val="2E6B37BB"/>
    <w:rsid w:val="2E82663A"/>
    <w:rsid w:val="2E905A1F"/>
    <w:rsid w:val="2E9D1104"/>
    <w:rsid w:val="2EB15996"/>
    <w:rsid w:val="2EBC6814"/>
    <w:rsid w:val="2EC3451F"/>
    <w:rsid w:val="2EF20488"/>
    <w:rsid w:val="2EF53AD4"/>
    <w:rsid w:val="2EFA558F"/>
    <w:rsid w:val="2F1B7324"/>
    <w:rsid w:val="2F527179"/>
    <w:rsid w:val="2F7215C9"/>
    <w:rsid w:val="2F7C41F6"/>
    <w:rsid w:val="2F8B61E7"/>
    <w:rsid w:val="2FA5288E"/>
    <w:rsid w:val="2FE83639"/>
    <w:rsid w:val="300541EB"/>
    <w:rsid w:val="303B19BB"/>
    <w:rsid w:val="303F598D"/>
    <w:rsid w:val="3058256D"/>
    <w:rsid w:val="306233EC"/>
    <w:rsid w:val="30782C0F"/>
    <w:rsid w:val="307920D8"/>
    <w:rsid w:val="308405B2"/>
    <w:rsid w:val="309003C3"/>
    <w:rsid w:val="30917605"/>
    <w:rsid w:val="30A532D8"/>
    <w:rsid w:val="30DB6CFA"/>
    <w:rsid w:val="30E90E7B"/>
    <w:rsid w:val="3126266B"/>
    <w:rsid w:val="31440D43"/>
    <w:rsid w:val="31480833"/>
    <w:rsid w:val="319C46DB"/>
    <w:rsid w:val="31B201DD"/>
    <w:rsid w:val="31B22151"/>
    <w:rsid w:val="31BD1DC4"/>
    <w:rsid w:val="31CD2AE7"/>
    <w:rsid w:val="32052280"/>
    <w:rsid w:val="32A25D21"/>
    <w:rsid w:val="32A27F10"/>
    <w:rsid w:val="32BE21C5"/>
    <w:rsid w:val="32D83E39"/>
    <w:rsid w:val="33152997"/>
    <w:rsid w:val="331621F9"/>
    <w:rsid w:val="331812CD"/>
    <w:rsid w:val="33291F9F"/>
    <w:rsid w:val="332E6808"/>
    <w:rsid w:val="33574D5E"/>
    <w:rsid w:val="33A01007"/>
    <w:rsid w:val="33BE4DDD"/>
    <w:rsid w:val="33D43DBD"/>
    <w:rsid w:val="33DC5263"/>
    <w:rsid w:val="340F388A"/>
    <w:rsid w:val="341E3ACD"/>
    <w:rsid w:val="343F4A14"/>
    <w:rsid w:val="349A75F8"/>
    <w:rsid w:val="34BD5094"/>
    <w:rsid w:val="34D50630"/>
    <w:rsid w:val="34EC4711"/>
    <w:rsid w:val="35011425"/>
    <w:rsid w:val="35170C48"/>
    <w:rsid w:val="351F3913"/>
    <w:rsid w:val="35337151"/>
    <w:rsid w:val="355A6D87"/>
    <w:rsid w:val="35642E36"/>
    <w:rsid w:val="35761ADF"/>
    <w:rsid w:val="35AB37D1"/>
    <w:rsid w:val="35CB558F"/>
    <w:rsid w:val="35ED19A9"/>
    <w:rsid w:val="361909F0"/>
    <w:rsid w:val="361E6007"/>
    <w:rsid w:val="36251143"/>
    <w:rsid w:val="36297C02"/>
    <w:rsid w:val="36511F38"/>
    <w:rsid w:val="36633A19"/>
    <w:rsid w:val="36877708"/>
    <w:rsid w:val="36941E25"/>
    <w:rsid w:val="36B349A1"/>
    <w:rsid w:val="36C721FA"/>
    <w:rsid w:val="36E20737"/>
    <w:rsid w:val="36F01751"/>
    <w:rsid w:val="375872F6"/>
    <w:rsid w:val="3784633D"/>
    <w:rsid w:val="379B74CF"/>
    <w:rsid w:val="37FB5F35"/>
    <w:rsid w:val="38030A86"/>
    <w:rsid w:val="382D3998"/>
    <w:rsid w:val="3867183D"/>
    <w:rsid w:val="38877E93"/>
    <w:rsid w:val="38972E1C"/>
    <w:rsid w:val="38CF1470"/>
    <w:rsid w:val="38E70932"/>
    <w:rsid w:val="38F17F19"/>
    <w:rsid w:val="3914549F"/>
    <w:rsid w:val="39287C1C"/>
    <w:rsid w:val="39763A64"/>
    <w:rsid w:val="39777F08"/>
    <w:rsid w:val="397D3044"/>
    <w:rsid w:val="39C3314D"/>
    <w:rsid w:val="39FE23D7"/>
    <w:rsid w:val="3A16319D"/>
    <w:rsid w:val="3A810912"/>
    <w:rsid w:val="3A914FF9"/>
    <w:rsid w:val="3AC80920"/>
    <w:rsid w:val="3AC90C3C"/>
    <w:rsid w:val="3AF45588"/>
    <w:rsid w:val="3B0319E9"/>
    <w:rsid w:val="3B385475"/>
    <w:rsid w:val="3B4E3612"/>
    <w:rsid w:val="3B590718"/>
    <w:rsid w:val="3B824942"/>
    <w:rsid w:val="3BC74A4B"/>
    <w:rsid w:val="3BFC2946"/>
    <w:rsid w:val="3C0C3CEF"/>
    <w:rsid w:val="3C320282"/>
    <w:rsid w:val="3C6F1EA0"/>
    <w:rsid w:val="3CEC49C0"/>
    <w:rsid w:val="3D437B38"/>
    <w:rsid w:val="3D566086"/>
    <w:rsid w:val="3DAE7C70"/>
    <w:rsid w:val="3DC70D32"/>
    <w:rsid w:val="3E2B7513"/>
    <w:rsid w:val="3E605959"/>
    <w:rsid w:val="3E7762B4"/>
    <w:rsid w:val="3EA177D5"/>
    <w:rsid w:val="3F0365C7"/>
    <w:rsid w:val="3F0D6C18"/>
    <w:rsid w:val="3F76656C"/>
    <w:rsid w:val="3F937B68"/>
    <w:rsid w:val="3F9C15BA"/>
    <w:rsid w:val="3FDA11F0"/>
    <w:rsid w:val="400C0C7E"/>
    <w:rsid w:val="40381A73"/>
    <w:rsid w:val="404E1296"/>
    <w:rsid w:val="405A7C3B"/>
    <w:rsid w:val="40AD2461"/>
    <w:rsid w:val="40E439A9"/>
    <w:rsid w:val="410D12F8"/>
    <w:rsid w:val="415029D9"/>
    <w:rsid w:val="41670862"/>
    <w:rsid w:val="41F93484"/>
    <w:rsid w:val="420F2CA7"/>
    <w:rsid w:val="4214206C"/>
    <w:rsid w:val="42722B78"/>
    <w:rsid w:val="431762B8"/>
    <w:rsid w:val="434D1CD9"/>
    <w:rsid w:val="43575F8F"/>
    <w:rsid w:val="43737CDA"/>
    <w:rsid w:val="43816ECE"/>
    <w:rsid w:val="43827BB1"/>
    <w:rsid w:val="43BB08DC"/>
    <w:rsid w:val="43C27FD1"/>
    <w:rsid w:val="43E02B4D"/>
    <w:rsid w:val="44182A93"/>
    <w:rsid w:val="442A13D9"/>
    <w:rsid w:val="444162D1"/>
    <w:rsid w:val="44AD6ED3"/>
    <w:rsid w:val="44B21CE6"/>
    <w:rsid w:val="44C25F0B"/>
    <w:rsid w:val="452D3B70"/>
    <w:rsid w:val="453365B0"/>
    <w:rsid w:val="45605CF4"/>
    <w:rsid w:val="45F34DBA"/>
    <w:rsid w:val="460365FF"/>
    <w:rsid w:val="460C5E7C"/>
    <w:rsid w:val="463D7DBF"/>
    <w:rsid w:val="46530312"/>
    <w:rsid w:val="46537607"/>
    <w:rsid w:val="46713811"/>
    <w:rsid w:val="468E4AE3"/>
    <w:rsid w:val="469814BD"/>
    <w:rsid w:val="475A49C5"/>
    <w:rsid w:val="475C698F"/>
    <w:rsid w:val="47727F60"/>
    <w:rsid w:val="477618A3"/>
    <w:rsid w:val="479510FE"/>
    <w:rsid w:val="47C3064B"/>
    <w:rsid w:val="47D62F59"/>
    <w:rsid w:val="481F0EAE"/>
    <w:rsid w:val="483A26D1"/>
    <w:rsid w:val="488429C0"/>
    <w:rsid w:val="48CE11C6"/>
    <w:rsid w:val="48E42798"/>
    <w:rsid w:val="48FC1291"/>
    <w:rsid w:val="49D56585"/>
    <w:rsid w:val="49D9587C"/>
    <w:rsid w:val="49E334F6"/>
    <w:rsid w:val="49EE6266"/>
    <w:rsid w:val="4A3239D7"/>
    <w:rsid w:val="4A5E042C"/>
    <w:rsid w:val="4A743FEF"/>
    <w:rsid w:val="4AA5064D"/>
    <w:rsid w:val="4ABD7744"/>
    <w:rsid w:val="4ACC160C"/>
    <w:rsid w:val="4AD36F68"/>
    <w:rsid w:val="4B427C4A"/>
    <w:rsid w:val="4B773D97"/>
    <w:rsid w:val="4BAD581D"/>
    <w:rsid w:val="4BF65E1D"/>
    <w:rsid w:val="4C09265D"/>
    <w:rsid w:val="4C1356A2"/>
    <w:rsid w:val="4CAB577D"/>
    <w:rsid w:val="4D0478AD"/>
    <w:rsid w:val="4D097DFF"/>
    <w:rsid w:val="4D3637DE"/>
    <w:rsid w:val="4D4001B9"/>
    <w:rsid w:val="4D4128AF"/>
    <w:rsid w:val="4D492AC2"/>
    <w:rsid w:val="4D5B24C8"/>
    <w:rsid w:val="4DBD7A5B"/>
    <w:rsid w:val="4DC66A12"/>
    <w:rsid w:val="4DDE00FE"/>
    <w:rsid w:val="4DF711BF"/>
    <w:rsid w:val="4E04104E"/>
    <w:rsid w:val="4E165AE9"/>
    <w:rsid w:val="4E2A3343"/>
    <w:rsid w:val="4E406DDB"/>
    <w:rsid w:val="4E6B025A"/>
    <w:rsid w:val="4E8A5B90"/>
    <w:rsid w:val="4E923725"/>
    <w:rsid w:val="4EA2112B"/>
    <w:rsid w:val="4EC15F85"/>
    <w:rsid w:val="4EC527A3"/>
    <w:rsid w:val="4EDB63EB"/>
    <w:rsid w:val="4F005E52"/>
    <w:rsid w:val="4F05790C"/>
    <w:rsid w:val="4F0911AA"/>
    <w:rsid w:val="4F641A86"/>
    <w:rsid w:val="4F760DAD"/>
    <w:rsid w:val="50231584"/>
    <w:rsid w:val="50724B2D"/>
    <w:rsid w:val="507C59AC"/>
    <w:rsid w:val="50AA42C7"/>
    <w:rsid w:val="50DE6667"/>
    <w:rsid w:val="510F0E13"/>
    <w:rsid w:val="514B4F78"/>
    <w:rsid w:val="516C5BA3"/>
    <w:rsid w:val="516E30C1"/>
    <w:rsid w:val="51E23F34"/>
    <w:rsid w:val="51ED7522"/>
    <w:rsid w:val="51FF7420"/>
    <w:rsid w:val="5245699D"/>
    <w:rsid w:val="525C3CE7"/>
    <w:rsid w:val="52755359"/>
    <w:rsid w:val="52923265"/>
    <w:rsid w:val="52990A97"/>
    <w:rsid w:val="52B72CCB"/>
    <w:rsid w:val="52C11D9C"/>
    <w:rsid w:val="52FB25DA"/>
    <w:rsid w:val="53475896"/>
    <w:rsid w:val="53582700"/>
    <w:rsid w:val="537329AF"/>
    <w:rsid w:val="53755060"/>
    <w:rsid w:val="539232B3"/>
    <w:rsid w:val="53B042EA"/>
    <w:rsid w:val="53D0673A"/>
    <w:rsid w:val="541624AE"/>
    <w:rsid w:val="54330CD9"/>
    <w:rsid w:val="544A6CFB"/>
    <w:rsid w:val="545207D2"/>
    <w:rsid w:val="545C3B2A"/>
    <w:rsid w:val="54684676"/>
    <w:rsid w:val="55254864"/>
    <w:rsid w:val="554967A4"/>
    <w:rsid w:val="554C1DF1"/>
    <w:rsid w:val="556E7FB9"/>
    <w:rsid w:val="557056B1"/>
    <w:rsid w:val="55823A64"/>
    <w:rsid w:val="55982572"/>
    <w:rsid w:val="559C6D1C"/>
    <w:rsid w:val="55AC7BBD"/>
    <w:rsid w:val="55F61D5C"/>
    <w:rsid w:val="561D378D"/>
    <w:rsid w:val="56225547"/>
    <w:rsid w:val="5625513D"/>
    <w:rsid w:val="563034C0"/>
    <w:rsid w:val="56504000"/>
    <w:rsid w:val="56B063AF"/>
    <w:rsid w:val="56BD287A"/>
    <w:rsid w:val="56EB388B"/>
    <w:rsid w:val="56F03D6C"/>
    <w:rsid w:val="56F944C6"/>
    <w:rsid w:val="57252A57"/>
    <w:rsid w:val="57340D8E"/>
    <w:rsid w:val="57571CBA"/>
    <w:rsid w:val="577B69BD"/>
    <w:rsid w:val="579E7882"/>
    <w:rsid w:val="57AA72A2"/>
    <w:rsid w:val="57EA4A45"/>
    <w:rsid w:val="57F1536A"/>
    <w:rsid w:val="58064C3C"/>
    <w:rsid w:val="580E5A83"/>
    <w:rsid w:val="58331046"/>
    <w:rsid w:val="58647451"/>
    <w:rsid w:val="586B3150"/>
    <w:rsid w:val="589C097F"/>
    <w:rsid w:val="59044790"/>
    <w:rsid w:val="59111F0A"/>
    <w:rsid w:val="592554A0"/>
    <w:rsid w:val="594554D5"/>
    <w:rsid w:val="59547B0C"/>
    <w:rsid w:val="59A06702"/>
    <w:rsid w:val="59A246D5"/>
    <w:rsid w:val="59D423B5"/>
    <w:rsid w:val="59FB3DE5"/>
    <w:rsid w:val="5A2055FA"/>
    <w:rsid w:val="5A2A6479"/>
    <w:rsid w:val="5A67147B"/>
    <w:rsid w:val="5A855CC9"/>
    <w:rsid w:val="5AB511FC"/>
    <w:rsid w:val="5AC23CD1"/>
    <w:rsid w:val="5B286E5C"/>
    <w:rsid w:val="5B5548D8"/>
    <w:rsid w:val="5B8322E4"/>
    <w:rsid w:val="5B94629C"/>
    <w:rsid w:val="5BE56AFB"/>
    <w:rsid w:val="5C2313D1"/>
    <w:rsid w:val="5C394FAE"/>
    <w:rsid w:val="5C677510"/>
    <w:rsid w:val="5C693288"/>
    <w:rsid w:val="5C795370"/>
    <w:rsid w:val="5C7B5ADE"/>
    <w:rsid w:val="5C7D31D8"/>
    <w:rsid w:val="5C982577"/>
    <w:rsid w:val="5CCB7A9F"/>
    <w:rsid w:val="5CD3198F"/>
    <w:rsid w:val="5CDB3A5A"/>
    <w:rsid w:val="5D1256CE"/>
    <w:rsid w:val="5D184CAE"/>
    <w:rsid w:val="5D320C20"/>
    <w:rsid w:val="5D46706C"/>
    <w:rsid w:val="5D605245"/>
    <w:rsid w:val="5D6472A3"/>
    <w:rsid w:val="5D8D2FA6"/>
    <w:rsid w:val="5DA42323"/>
    <w:rsid w:val="5DBC7D30"/>
    <w:rsid w:val="5DED1ED3"/>
    <w:rsid w:val="5E176D14"/>
    <w:rsid w:val="5E3C677A"/>
    <w:rsid w:val="5E714676"/>
    <w:rsid w:val="5E7F3237"/>
    <w:rsid w:val="5E9F11E3"/>
    <w:rsid w:val="5ED74E21"/>
    <w:rsid w:val="5EDA221B"/>
    <w:rsid w:val="5EE440EC"/>
    <w:rsid w:val="5F5D4BFA"/>
    <w:rsid w:val="5F797C86"/>
    <w:rsid w:val="5F9920D6"/>
    <w:rsid w:val="5FB409B1"/>
    <w:rsid w:val="5FB84027"/>
    <w:rsid w:val="5FC15189"/>
    <w:rsid w:val="600C4F8E"/>
    <w:rsid w:val="60160C30"/>
    <w:rsid w:val="60270C25"/>
    <w:rsid w:val="60425A2F"/>
    <w:rsid w:val="6062696C"/>
    <w:rsid w:val="60AC5E39"/>
    <w:rsid w:val="60C70EC5"/>
    <w:rsid w:val="60D55390"/>
    <w:rsid w:val="625C563D"/>
    <w:rsid w:val="627B506E"/>
    <w:rsid w:val="628C5F22"/>
    <w:rsid w:val="62B15989"/>
    <w:rsid w:val="630730C7"/>
    <w:rsid w:val="632C0FFC"/>
    <w:rsid w:val="635C2B47"/>
    <w:rsid w:val="639C3F43"/>
    <w:rsid w:val="63A762A6"/>
    <w:rsid w:val="63BB78A1"/>
    <w:rsid w:val="63BE035D"/>
    <w:rsid w:val="63E13A0B"/>
    <w:rsid w:val="63E22D97"/>
    <w:rsid w:val="63EE0517"/>
    <w:rsid w:val="63F54E11"/>
    <w:rsid w:val="6401024A"/>
    <w:rsid w:val="640A70BB"/>
    <w:rsid w:val="64177A6E"/>
    <w:rsid w:val="64550596"/>
    <w:rsid w:val="645C19DC"/>
    <w:rsid w:val="648C220A"/>
    <w:rsid w:val="649E30EE"/>
    <w:rsid w:val="64D55573"/>
    <w:rsid w:val="64F953C5"/>
    <w:rsid w:val="64FB5E91"/>
    <w:rsid w:val="653855DE"/>
    <w:rsid w:val="65430077"/>
    <w:rsid w:val="656E5DB3"/>
    <w:rsid w:val="65D715A9"/>
    <w:rsid w:val="661D72B3"/>
    <w:rsid w:val="662927B2"/>
    <w:rsid w:val="662C2F95"/>
    <w:rsid w:val="666F48B2"/>
    <w:rsid w:val="66812FCE"/>
    <w:rsid w:val="66845C6B"/>
    <w:rsid w:val="66897B56"/>
    <w:rsid w:val="669E446B"/>
    <w:rsid w:val="66B3027F"/>
    <w:rsid w:val="66CC2D91"/>
    <w:rsid w:val="676C6322"/>
    <w:rsid w:val="67E91721"/>
    <w:rsid w:val="684828EC"/>
    <w:rsid w:val="689E0B09"/>
    <w:rsid w:val="68AF64C7"/>
    <w:rsid w:val="68BA2E4A"/>
    <w:rsid w:val="68BF2482"/>
    <w:rsid w:val="68D57089"/>
    <w:rsid w:val="68D75A1D"/>
    <w:rsid w:val="69731BEA"/>
    <w:rsid w:val="69765236"/>
    <w:rsid w:val="697D4817"/>
    <w:rsid w:val="69D02B99"/>
    <w:rsid w:val="69F83E9D"/>
    <w:rsid w:val="6A042842"/>
    <w:rsid w:val="6A374E4B"/>
    <w:rsid w:val="6A5837C7"/>
    <w:rsid w:val="6A7E0847"/>
    <w:rsid w:val="6B00125C"/>
    <w:rsid w:val="6B1B2A5E"/>
    <w:rsid w:val="6B8E2D0B"/>
    <w:rsid w:val="6BBC10B2"/>
    <w:rsid w:val="6BC35730"/>
    <w:rsid w:val="6BCF0C2E"/>
    <w:rsid w:val="6BF012D0"/>
    <w:rsid w:val="6C541216"/>
    <w:rsid w:val="6C686766"/>
    <w:rsid w:val="6C9F6CBF"/>
    <w:rsid w:val="6CDE381E"/>
    <w:rsid w:val="6CFC20A6"/>
    <w:rsid w:val="6D3C6837"/>
    <w:rsid w:val="6D817112"/>
    <w:rsid w:val="6D8A47CA"/>
    <w:rsid w:val="6D9B526C"/>
    <w:rsid w:val="6E06488E"/>
    <w:rsid w:val="6E573888"/>
    <w:rsid w:val="6E6F421F"/>
    <w:rsid w:val="6E92623A"/>
    <w:rsid w:val="6EBA381B"/>
    <w:rsid w:val="6EC46A44"/>
    <w:rsid w:val="6F0D2199"/>
    <w:rsid w:val="6F2968A7"/>
    <w:rsid w:val="6F2F65B3"/>
    <w:rsid w:val="6F457B85"/>
    <w:rsid w:val="6F4638FD"/>
    <w:rsid w:val="6F9A2C72"/>
    <w:rsid w:val="6FB940CF"/>
    <w:rsid w:val="6FBD5FE1"/>
    <w:rsid w:val="6FCE7B7A"/>
    <w:rsid w:val="6FE70C3C"/>
    <w:rsid w:val="6FEF189F"/>
    <w:rsid w:val="6FF31971"/>
    <w:rsid w:val="6FFD3CB6"/>
    <w:rsid w:val="70141305"/>
    <w:rsid w:val="70207CAA"/>
    <w:rsid w:val="70221C74"/>
    <w:rsid w:val="7039323D"/>
    <w:rsid w:val="705B5186"/>
    <w:rsid w:val="70785D38"/>
    <w:rsid w:val="70826FF6"/>
    <w:rsid w:val="70D7072F"/>
    <w:rsid w:val="712351CC"/>
    <w:rsid w:val="71665B90"/>
    <w:rsid w:val="716A38D3"/>
    <w:rsid w:val="71704C61"/>
    <w:rsid w:val="71A779AA"/>
    <w:rsid w:val="71BE3C1E"/>
    <w:rsid w:val="71E17B50"/>
    <w:rsid w:val="72612407"/>
    <w:rsid w:val="72BC100D"/>
    <w:rsid w:val="72D37256"/>
    <w:rsid w:val="72E15E16"/>
    <w:rsid w:val="72EE0533"/>
    <w:rsid w:val="73540F98"/>
    <w:rsid w:val="736507F6"/>
    <w:rsid w:val="73AC0640"/>
    <w:rsid w:val="73B2330F"/>
    <w:rsid w:val="73EF6311"/>
    <w:rsid w:val="73FE0302"/>
    <w:rsid w:val="740D4E17"/>
    <w:rsid w:val="74220495"/>
    <w:rsid w:val="74A569D0"/>
    <w:rsid w:val="74BC09A1"/>
    <w:rsid w:val="7501454E"/>
    <w:rsid w:val="75093403"/>
    <w:rsid w:val="7521074C"/>
    <w:rsid w:val="75385A96"/>
    <w:rsid w:val="757840E4"/>
    <w:rsid w:val="75860393"/>
    <w:rsid w:val="758B206A"/>
    <w:rsid w:val="758F0E96"/>
    <w:rsid w:val="759929D8"/>
    <w:rsid w:val="75B415C0"/>
    <w:rsid w:val="75F573FC"/>
    <w:rsid w:val="760D2A7F"/>
    <w:rsid w:val="7620086F"/>
    <w:rsid w:val="762B1157"/>
    <w:rsid w:val="76455E33"/>
    <w:rsid w:val="76975DFE"/>
    <w:rsid w:val="76BF6607"/>
    <w:rsid w:val="76E41046"/>
    <w:rsid w:val="76F0487A"/>
    <w:rsid w:val="77000835"/>
    <w:rsid w:val="772D6E8E"/>
    <w:rsid w:val="7731279D"/>
    <w:rsid w:val="77577C6A"/>
    <w:rsid w:val="776112D4"/>
    <w:rsid w:val="776B3F01"/>
    <w:rsid w:val="778B619F"/>
    <w:rsid w:val="77DB72D8"/>
    <w:rsid w:val="77DC741B"/>
    <w:rsid w:val="77F932A5"/>
    <w:rsid w:val="78200134"/>
    <w:rsid w:val="78760DAF"/>
    <w:rsid w:val="787B63C5"/>
    <w:rsid w:val="789B25C4"/>
    <w:rsid w:val="78E81581"/>
    <w:rsid w:val="793D1193"/>
    <w:rsid w:val="794B223C"/>
    <w:rsid w:val="7956473D"/>
    <w:rsid w:val="795F7D0D"/>
    <w:rsid w:val="79971568"/>
    <w:rsid w:val="79A66FD3"/>
    <w:rsid w:val="79A74F98"/>
    <w:rsid w:val="79D0629D"/>
    <w:rsid w:val="79EE0E19"/>
    <w:rsid w:val="7A4B626B"/>
    <w:rsid w:val="7A660A22"/>
    <w:rsid w:val="7A8F2E13"/>
    <w:rsid w:val="7ABE3177"/>
    <w:rsid w:val="7AEA338E"/>
    <w:rsid w:val="7B011C90"/>
    <w:rsid w:val="7B1D781F"/>
    <w:rsid w:val="7B3D021F"/>
    <w:rsid w:val="7C3074C7"/>
    <w:rsid w:val="7C396C3E"/>
    <w:rsid w:val="7C833A9B"/>
    <w:rsid w:val="7CF44998"/>
    <w:rsid w:val="7D557E11"/>
    <w:rsid w:val="7D5D6F6D"/>
    <w:rsid w:val="7D6B6113"/>
    <w:rsid w:val="7D785D38"/>
    <w:rsid w:val="7D913A27"/>
    <w:rsid w:val="7DA26EDC"/>
    <w:rsid w:val="7DAC5273"/>
    <w:rsid w:val="7E066731"/>
    <w:rsid w:val="7E3F39F1"/>
    <w:rsid w:val="7E5E6CCB"/>
    <w:rsid w:val="7E680EAA"/>
    <w:rsid w:val="7E832AC7"/>
    <w:rsid w:val="7E9B156F"/>
    <w:rsid w:val="7E9F071A"/>
    <w:rsid w:val="7EA97B73"/>
    <w:rsid w:val="7EB20667"/>
    <w:rsid w:val="7ECB20F8"/>
    <w:rsid w:val="7EEC8560"/>
    <w:rsid w:val="7F034416"/>
    <w:rsid w:val="7F3900A1"/>
    <w:rsid w:val="7F3C6183"/>
    <w:rsid w:val="7F5B391B"/>
    <w:rsid w:val="7F686F78"/>
    <w:rsid w:val="7F6A7194"/>
    <w:rsid w:val="7F89586C"/>
    <w:rsid w:val="7F9F1785"/>
    <w:rsid w:val="7FF35BB4"/>
    <w:rsid w:val="BFC57707"/>
    <w:rsid w:val="DFF5B08B"/>
    <w:rsid w:val="EEB93A9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ind w:firstLine="420"/>
    </w:pPr>
  </w:style>
  <w:style w:type="paragraph" w:styleId="3">
    <w:name w:val="annotation text"/>
    <w:basedOn w:val="1"/>
    <w:autoRedefine/>
    <w:qFormat/>
    <w:uiPriority w:val="0"/>
    <w:pPr>
      <w:jc w:val="left"/>
    </w:pPr>
  </w:style>
  <w:style w:type="paragraph" w:styleId="4">
    <w:name w:val="Body Text"/>
    <w:basedOn w:val="1"/>
    <w:next w:val="5"/>
    <w:autoRedefine/>
    <w:unhideWhenUsed/>
    <w:qFormat/>
    <w:uiPriority w:val="99"/>
    <w:pPr>
      <w:ind w:left="118"/>
    </w:pPr>
    <w:rPr>
      <w:rFonts w:ascii="宋体" w:hAnsi="宋体" w:eastAsia="宋体"/>
    </w:rPr>
  </w:style>
  <w:style w:type="paragraph" w:customStyle="1" w:styleId="5">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styleId="6">
    <w:name w:val="Body Text Indent"/>
    <w:basedOn w:val="1"/>
    <w:next w:val="7"/>
    <w:autoRedefine/>
    <w:qFormat/>
    <w:uiPriority w:val="0"/>
    <w:pPr>
      <w:ind w:firstLine="480" w:firstLineChars="200"/>
    </w:pPr>
    <w:rPr>
      <w:rFonts w:ascii="宋体"/>
      <w:color w:val="000000"/>
      <w:sz w:val="24"/>
    </w:rPr>
  </w:style>
  <w:style w:type="paragraph" w:styleId="7">
    <w:name w:val="toc 9"/>
    <w:basedOn w:val="1"/>
    <w:next w:val="1"/>
    <w:autoRedefine/>
    <w:qFormat/>
    <w:uiPriority w:val="0"/>
    <w:pPr>
      <w:widowControl/>
      <w:wordWrap w:val="0"/>
      <w:autoSpaceDE/>
      <w:autoSpaceDN/>
      <w:spacing w:before="0" w:after="0" w:line="240" w:lineRule="auto"/>
      <w:ind w:left="2975" w:firstLine="0"/>
      <w:jc w:val="both"/>
    </w:pPr>
    <w:rPr>
      <w:sz w:val="21"/>
      <w:szCs w:val="22"/>
    </w:rPr>
  </w:style>
  <w:style w:type="paragraph" w:styleId="8">
    <w:name w:val="Plain Text"/>
    <w:basedOn w:val="1"/>
    <w:autoRedefine/>
    <w:qFormat/>
    <w:uiPriority w:val="0"/>
    <w:rPr>
      <w:rFonts w:ascii="宋体" w:hAnsi="Courier New" w:eastAsia="宋体" w:cs="Times New Roman"/>
      <w:szCs w:val="24"/>
    </w:rPr>
  </w:style>
  <w:style w:type="paragraph" w:styleId="9">
    <w:name w:val="Body Text First Indent"/>
    <w:basedOn w:val="4"/>
    <w:next w:val="1"/>
    <w:autoRedefine/>
    <w:qFormat/>
    <w:uiPriority w:val="0"/>
    <w:pPr>
      <w:ind w:firstLine="420" w:firstLineChars="100"/>
    </w:pPr>
  </w:style>
  <w:style w:type="paragraph" w:styleId="10">
    <w:name w:val="Body Text First Indent 2"/>
    <w:basedOn w:val="6"/>
    <w:next w:val="1"/>
    <w:autoRedefine/>
    <w:qFormat/>
    <w:uiPriority w:val="0"/>
    <w:pPr>
      <w:ind w:firstLine="420" w:firstLineChars="200"/>
    </w:pPr>
    <w:rPr>
      <w:snapToGrid w:val="0"/>
      <w:kern w:val="0"/>
      <w:sz w:val="24"/>
      <w:szCs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Emphasis"/>
    <w:basedOn w:val="13"/>
    <w:autoRedefine/>
    <w:qFormat/>
    <w:uiPriority w:val="0"/>
    <w:rPr>
      <w:i/>
    </w:rPr>
  </w:style>
  <w:style w:type="paragraph" w:customStyle="1" w:styleId="16">
    <w:name w:val="正文首行缩进2个字 Char"/>
    <w:basedOn w:val="1"/>
    <w:autoRedefine/>
    <w:qFormat/>
    <w:uiPriority w:val="0"/>
    <w:pPr>
      <w:ind w:firstLine="480" w:firstLineChars="200"/>
    </w:pPr>
    <w:rPr>
      <w:rFonts w:eastAsia="楷体"/>
      <w:sz w:val="24"/>
      <w:szCs w:val="24"/>
    </w:rPr>
  </w:style>
  <w:style w:type="paragraph" w:customStyle="1" w:styleId="17">
    <w:name w:val=" Char Char Char1 Char Char Char Char Char Char Char Char Char Char Char Char Char"/>
    <w:basedOn w:val="1"/>
    <w:autoRedefine/>
    <w:qFormat/>
    <w:uiPriority w:val="0"/>
    <w:rPr>
      <w:rFonts w:ascii="Times New Roman" w:hAnsi="Times New Roman" w:eastAsia="宋体" w:cs="Times New Roman"/>
      <w:sz w:val="24"/>
    </w:rPr>
  </w:style>
  <w:style w:type="paragraph" w:customStyle="1" w:styleId="18">
    <w:name w:val="报告正文"/>
    <w:basedOn w:val="1"/>
    <w:autoRedefine/>
    <w:semiHidden/>
    <w:qFormat/>
    <w:uiPriority w:val="0"/>
    <w:pPr>
      <w:spacing w:line="440" w:lineRule="exact"/>
      <w:ind w:firstLine="200" w:firstLineChars="200"/>
      <w:jc w:val="left"/>
    </w:pPr>
    <w:rPr>
      <w:rFonts w:eastAsia="仿宋_GB2312"/>
      <w:sz w:val="24"/>
    </w:rPr>
  </w:style>
  <w:style w:type="character" w:customStyle="1" w:styleId="19">
    <w:name w:val="15"/>
    <w:basedOn w:val="13"/>
    <w:qFormat/>
    <w:uiPriority w:val="0"/>
    <w:rPr>
      <w:rFonts w:hint="default" w:ascii="Times New Roman" w:hAnsi="Times New Roman" w:cs="Times New Roman"/>
      <w:b/>
      <w:bCs/>
    </w:rPr>
  </w:style>
  <w:style w:type="paragraph" w:customStyle="1" w:styleId="20">
    <w:name w:val="Default"/>
    <w:basedOn w:val="21"/>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21">
    <w:name w:val="纯文本1"/>
    <w:qFormat/>
    <w:uiPriority w:val="0"/>
    <w:pPr>
      <w:adjustRightInd w:val="0"/>
      <w:jc w:val="center"/>
      <w:textAlignment w:val="baseline"/>
    </w:pPr>
    <w:rPr>
      <w:rFonts w:ascii="宋体" w:hAnsi="Courier New" w:eastAsia="宋体" w:cs="Times New Roman"/>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4965</Words>
  <Characters>5416</Characters>
  <Lines>1</Lines>
  <Paragraphs>1</Paragraphs>
  <TotalTime>22</TotalTime>
  <ScaleCrop>false</ScaleCrop>
  <LinksUpToDate>false</LinksUpToDate>
  <CharactersWithSpaces>5421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小刘小刘</cp:lastModifiedBy>
  <cp:lastPrinted>2026-02-24T16:26:00Z</cp:lastPrinted>
  <dcterms:modified xsi:type="dcterms:W3CDTF">2026-05-28T08:15:16Z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77F00A0166D649D7B11CD50E265CFEC4_13</vt:lpwstr>
  </property>
  <property fmtid="{D5CDD505-2E9C-101B-9397-08002B2CF9AE}" pid="4" name="KSOTemplateDocerSaveRecord">
    <vt:lpwstr>eyJoZGlkIjoiZmQ2YzI1ZDAyMjM0MDY3NzAxYzYyNTNhZWNlOGZlODMiLCJ1c2VySWQiOiI0NDQzOTcwNDEifQ==</vt:lpwstr>
  </property>
</Properties>
</file>